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6" w:lineRule="exact"/>
        <w:rPr>
          <w:sz w:val="24"/>
          <w:szCs w:val="24"/>
          <w:color w:val="auto"/>
        </w:rPr>
      </w:pPr>
    </w:p>
    <w:p>
      <w:pPr>
        <w:jc w:val="center"/>
        <w:ind w:left="1600"/>
        <w:spacing w:after="0" w:line="27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For the month of April, 2026</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001-41208</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NOVONIX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Level 38</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71 Eagle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Brisbane, QLD 4000 Australia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66" w:lineRule="exact"/>
        <w:rPr>
          <w:sz w:val="24"/>
          <w:szCs w:val="24"/>
          <w:color w:val="auto"/>
        </w:rPr>
      </w:pPr>
    </w:p>
    <w:p>
      <w:pPr>
        <w:ind w:right="1619"/>
        <w:spacing w:after="0" w:line="259"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6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1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100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0000FF"/>
              </w:rPr>
              <w:t>Appendix 2A (Application for quotation of securities) dated April 27, 2026.</w:t>
            </w:r>
          </w:p>
        </w:tc>
      </w:tr>
      <w:tr>
        <w:trPr>
          <w:trHeight w:val="527"/>
        </w:trPr>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4580" w:type="dxa"/>
            <w:vAlign w:val="bottom"/>
            <w:tcBorders>
              <w:top w:val="single" w:sz="8" w:color="0000FF"/>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NOVONIX LIMITED</w:t>
      </w:r>
    </w:p>
    <w:p>
      <w:pPr>
        <w:spacing w:after="0" w:line="200" w:lineRule="exact"/>
        <w:rPr>
          <w:sz w:val="20"/>
          <w:szCs w:val="20"/>
          <w:color w:val="auto"/>
        </w:rPr>
      </w:pPr>
    </w:p>
    <w:p>
      <w:pPr>
        <w:spacing w:after="0" w:line="24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Robert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Robert Long</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3" w:name="page4"/>
    <w:bookmarkEnd w:id="3"/>
    <w:p>
      <w:pPr>
        <w:ind w:left="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23114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8"/>
          <w:szCs w:val="18"/>
          <w:color w:val="auto"/>
        </w:rPr>
        <w:t>EXHIBIT 99.1</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Announcement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104775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Entity name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NOVONIX LIMITED</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Announcement Type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New announcement</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Date of this announcement</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Monday April 27, 2026</w:t>
      </w:r>
    </w:p>
    <w:p>
      <w:pPr>
        <w:spacing w:after="0" w:line="32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The +securities to be quoted are:</w:t>
      </w:r>
    </w:p>
    <w:p>
      <w:pPr>
        <w:spacing w:after="0" w:line="21" w:lineRule="exact"/>
        <w:rPr>
          <w:sz w:val="20"/>
          <w:szCs w:val="20"/>
          <w:color w:val="auto"/>
        </w:rPr>
      </w:pPr>
    </w:p>
    <w:p>
      <w:pPr>
        <w:ind w:left="600" w:right="1180"/>
        <w:spacing w:after="0" w:line="328" w:lineRule="auto"/>
        <w:rPr>
          <w:sz w:val="20"/>
          <w:szCs w:val="20"/>
          <w:color w:val="auto"/>
        </w:rPr>
      </w:pPr>
      <w:r>
        <w:rPr>
          <w:rFonts w:ascii="Arial" w:cs="Arial" w:eastAsia="Arial" w:hAnsi="Arial"/>
          <w:sz w:val="16"/>
          <w:szCs w:val="16"/>
          <w:color w:val="auto"/>
        </w:rPr>
        <w:t xml:space="preserve">+Securities issued, transferred or re-classified as a result of options being exercised or other +convertible securities being converted </w:t>
      </w:r>
      <w:r>
        <w:rPr>
          <w:rFonts w:ascii="Arial" w:cs="Arial" w:eastAsia="Arial" w:hAnsi="Arial"/>
          <w:sz w:val="16"/>
          <w:szCs w:val="16"/>
          <w:b w:val="1"/>
          <w:bCs w:val="1"/>
          <w:color w:val="auto"/>
        </w:rPr>
        <w:t>Total number of +securities to be quoted</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200" w:type="dxa"/>
            <w:vAlign w:val="bottom"/>
            <w:tcBorders>
              <w:top w:val="single" w:sz="8" w:color="auto"/>
              <w:left w:val="single" w:sz="8" w:color="auto"/>
            </w:tcBorders>
          </w:tcPr>
          <w:p>
            <w:pPr>
              <w:ind w:left="580"/>
              <w:spacing w:after="0"/>
              <w:rPr>
                <w:sz w:val="20"/>
                <w:szCs w:val="20"/>
                <w:color w:val="auto"/>
              </w:rPr>
            </w:pPr>
            <w:r>
              <w:rPr>
                <w:rFonts w:ascii="Arial" w:cs="Arial" w:eastAsia="Arial" w:hAnsi="Arial"/>
                <w:sz w:val="16"/>
                <w:szCs w:val="16"/>
                <w:b w:val="1"/>
                <w:bCs w:val="1"/>
                <w:color w:val="auto"/>
              </w:rPr>
              <w:t>ASX +security</w:t>
            </w:r>
          </w:p>
        </w:tc>
        <w:tc>
          <w:tcPr>
            <w:tcW w:w="3580" w:type="dxa"/>
            <w:vAlign w:val="bottom"/>
            <w:tcBorders>
              <w:top w:val="single" w:sz="8" w:color="auto"/>
            </w:tcBorders>
          </w:tcPr>
          <w:p>
            <w:pPr>
              <w:spacing w:after="0"/>
              <w:rPr>
                <w:sz w:val="24"/>
                <w:szCs w:val="24"/>
                <w:color w:val="auto"/>
              </w:rPr>
            </w:pPr>
          </w:p>
        </w:tc>
        <w:tc>
          <w:tcPr>
            <w:tcW w:w="5460" w:type="dxa"/>
            <w:vAlign w:val="bottom"/>
            <w:tcBorders>
              <w:top w:val="single" w:sz="8" w:color="auto"/>
              <w:right w:val="single" w:sz="8" w:color="auto"/>
            </w:tcBorders>
          </w:tcPr>
          <w:p>
            <w:pPr>
              <w:jc w:val="right"/>
              <w:ind w:right="2260"/>
              <w:spacing w:after="0"/>
              <w:rPr>
                <w:sz w:val="20"/>
                <w:szCs w:val="20"/>
                <w:color w:val="auto"/>
              </w:rPr>
            </w:pPr>
            <w:r>
              <w:rPr>
                <w:rFonts w:ascii="Arial" w:cs="Arial" w:eastAsia="Arial" w:hAnsi="Arial"/>
                <w:sz w:val="16"/>
                <w:szCs w:val="16"/>
                <w:b w:val="1"/>
                <w:bCs w:val="1"/>
                <w:color w:val="auto"/>
              </w:rPr>
              <w:t>Number of +securities to</w:t>
            </w:r>
          </w:p>
        </w:tc>
      </w:tr>
      <w:tr>
        <w:trPr>
          <w:trHeight w:val="223"/>
        </w:trPr>
        <w:tc>
          <w:tcPr>
            <w:tcW w:w="2200" w:type="dxa"/>
            <w:vAlign w:val="bottom"/>
            <w:tcBorders>
              <w:left w:val="single" w:sz="8" w:color="auto"/>
            </w:tcBorders>
          </w:tcPr>
          <w:p>
            <w:pPr>
              <w:ind w:left="580"/>
              <w:spacing w:after="0"/>
              <w:rPr>
                <w:sz w:val="20"/>
                <w:szCs w:val="20"/>
                <w:color w:val="auto"/>
              </w:rPr>
            </w:pPr>
            <w:r>
              <w:rPr>
                <w:rFonts w:ascii="Arial" w:cs="Arial" w:eastAsia="Arial" w:hAnsi="Arial"/>
                <w:sz w:val="16"/>
                <w:szCs w:val="16"/>
                <w:b w:val="1"/>
                <w:bCs w:val="1"/>
                <w:color w:val="auto"/>
              </w:rPr>
              <w:t>code</w:t>
            </w:r>
          </w:p>
        </w:tc>
        <w:tc>
          <w:tcPr>
            <w:tcW w:w="3580" w:type="dxa"/>
            <w:vAlign w:val="bottom"/>
          </w:tcPr>
          <w:p>
            <w:pPr>
              <w:ind w:left="520"/>
              <w:spacing w:after="0"/>
              <w:rPr>
                <w:sz w:val="20"/>
                <w:szCs w:val="20"/>
                <w:color w:val="auto"/>
              </w:rPr>
            </w:pPr>
            <w:r>
              <w:rPr>
                <w:rFonts w:ascii="Arial" w:cs="Arial" w:eastAsia="Arial" w:hAnsi="Arial"/>
                <w:sz w:val="16"/>
                <w:szCs w:val="16"/>
                <w:b w:val="1"/>
                <w:bCs w:val="1"/>
                <w:color w:val="auto"/>
              </w:rPr>
              <w:t>Security description</w:t>
            </w:r>
          </w:p>
        </w:tc>
        <w:tc>
          <w:tcPr>
            <w:tcW w:w="5460" w:type="dxa"/>
            <w:vAlign w:val="bottom"/>
            <w:tcBorders>
              <w:right w:val="single" w:sz="8" w:color="auto"/>
            </w:tcBorders>
          </w:tcPr>
          <w:p>
            <w:pPr>
              <w:jc w:val="right"/>
              <w:ind w:right="1120"/>
              <w:spacing w:after="0"/>
              <w:rPr>
                <w:sz w:val="20"/>
                <w:szCs w:val="20"/>
                <w:color w:val="auto"/>
              </w:rPr>
            </w:pPr>
            <w:r>
              <w:rPr>
                <w:rFonts w:ascii="Arial" w:cs="Arial" w:eastAsia="Arial" w:hAnsi="Arial"/>
                <w:sz w:val="16"/>
                <w:szCs w:val="16"/>
                <w:b w:val="1"/>
                <w:bCs w:val="1"/>
                <w:color w:val="auto"/>
              </w:rPr>
              <w:t>be quoted Issue date</w:t>
            </w:r>
          </w:p>
        </w:tc>
      </w:tr>
      <w:tr>
        <w:trPr>
          <w:trHeight w:val="424"/>
        </w:trPr>
        <w:tc>
          <w:tcPr>
            <w:tcW w:w="2200" w:type="dxa"/>
            <w:vAlign w:val="bottom"/>
            <w:tcBorders>
              <w:left w:val="single" w:sz="8" w:color="auto"/>
            </w:tcBorders>
          </w:tcPr>
          <w:p>
            <w:pPr>
              <w:ind w:left="580"/>
              <w:spacing w:after="0"/>
              <w:rPr>
                <w:sz w:val="20"/>
                <w:szCs w:val="20"/>
                <w:color w:val="auto"/>
              </w:rPr>
            </w:pPr>
            <w:r>
              <w:rPr>
                <w:rFonts w:ascii="Arial" w:cs="Arial" w:eastAsia="Arial" w:hAnsi="Arial"/>
                <w:sz w:val="16"/>
                <w:szCs w:val="16"/>
                <w:color w:val="auto"/>
              </w:rPr>
              <w:t>NVX</w:t>
            </w:r>
          </w:p>
        </w:tc>
        <w:tc>
          <w:tcPr>
            <w:tcW w:w="3580" w:type="dxa"/>
            <w:vAlign w:val="bottom"/>
          </w:tcPr>
          <w:p>
            <w:pPr>
              <w:ind w:left="520"/>
              <w:spacing w:after="0"/>
              <w:rPr>
                <w:sz w:val="20"/>
                <w:szCs w:val="20"/>
                <w:color w:val="auto"/>
              </w:rPr>
            </w:pPr>
            <w:r>
              <w:rPr>
                <w:rFonts w:ascii="Arial" w:cs="Arial" w:eastAsia="Arial" w:hAnsi="Arial"/>
                <w:sz w:val="16"/>
                <w:szCs w:val="16"/>
                <w:color w:val="auto"/>
              </w:rPr>
              <w:t>ORDINARY FULLY PAID</w:t>
            </w:r>
          </w:p>
        </w:tc>
        <w:tc>
          <w:tcPr>
            <w:tcW w:w="5460" w:type="dxa"/>
            <w:vAlign w:val="bottom"/>
            <w:tcBorders>
              <w:right w:val="single" w:sz="8" w:color="auto"/>
            </w:tcBorders>
          </w:tcPr>
          <w:p>
            <w:pPr>
              <w:jc w:val="right"/>
              <w:ind w:right="1100"/>
              <w:spacing w:after="0"/>
              <w:rPr>
                <w:sz w:val="20"/>
                <w:szCs w:val="20"/>
                <w:color w:val="auto"/>
              </w:rPr>
            </w:pPr>
            <w:r>
              <w:rPr>
                <w:rFonts w:ascii="Arial" w:cs="Arial" w:eastAsia="Arial" w:hAnsi="Arial"/>
                <w:sz w:val="16"/>
                <w:szCs w:val="16"/>
                <w:color w:val="auto"/>
              </w:rPr>
              <w:t>32,566 27/04/2026</w:t>
            </w:r>
          </w:p>
        </w:tc>
      </w:tr>
      <w:tr>
        <w:trPr>
          <w:trHeight w:val="313"/>
        </w:trPr>
        <w:tc>
          <w:tcPr>
            <w:tcW w:w="5780" w:type="dxa"/>
            <w:vAlign w:val="bottom"/>
            <w:tcBorders>
              <w:left w:val="single" w:sz="8" w:color="auto"/>
              <w:bottom w:val="single" w:sz="8" w:color="auto"/>
            </w:tcBorders>
            <w:gridSpan w:val="2"/>
          </w:tcPr>
          <w:p>
            <w:pPr>
              <w:spacing w:after="0"/>
              <w:rPr>
                <w:sz w:val="24"/>
                <w:szCs w:val="24"/>
                <w:color w:val="auto"/>
              </w:rPr>
            </w:pPr>
          </w:p>
        </w:tc>
        <w:tc>
          <w:tcPr>
            <w:tcW w:w="5460" w:type="dxa"/>
            <w:vAlign w:val="bottom"/>
            <w:tcBorders>
              <w:bottom w:val="single" w:sz="8" w:color="auto"/>
              <w:right w:val="single" w:sz="8" w:color="auto"/>
            </w:tcBorders>
          </w:tcPr>
          <w:p>
            <w:pPr>
              <w:spacing w:after="0"/>
              <w:rPr>
                <w:sz w:val="24"/>
                <w:szCs w:val="24"/>
                <w:color w:val="auto"/>
              </w:rPr>
            </w:pPr>
          </w:p>
        </w:tc>
      </w:tr>
      <w:tr>
        <w:trPr>
          <w:trHeight w:val="208"/>
        </w:trPr>
        <w:tc>
          <w:tcPr>
            <w:tcW w:w="5780" w:type="dxa"/>
            <w:vAlign w:val="bottom"/>
            <w:gridSpan w:val="2"/>
          </w:tcPr>
          <w:p>
            <w:pPr>
              <w:ind w:left="600"/>
              <w:spacing w:after="0"/>
              <w:rPr>
                <w:sz w:val="20"/>
                <w:szCs w:val="20"/>
                <w:color w:val="auto"/>
              </w:rPr>
            </w:pPr>
            <w:r>
              <w:rPr>
                <w:rFonts w:ascii="Arial" w:cs="Arial" w:eastAsia="Arial" w:hAnsi="Arial"/>
                <w:sz w:val="16"/>
                <w:szCs w:val="16"/>
                <w:color w:val="auto"/>
              </w:rPr>
              <w:t>Refer to next page for full details of the announcement</w:t>
            </w:r>
          </w:p>
        </w:tc>
        <w:tc>
          <w:tcPr>
            <w:tcW w:w="5460" w:type="dxa"/>
            <w:vAlign w:val="bottom"/>
          </w:tcPr>
          <w:p>
            <w:pPr>
              <w:spacing w:after="0"/>
              <w:rPr>
                <w:sz w:val="18"/>
                <w:szCs w:val="18"/>
                <w:color w:val="auto"/>
              </w:rPr>
            </w:pPr>
          </w:p>
        </w:tc>
      </w:tr>
      <w:tr>
        <w:trPr>
          <w:trHeight w:val="217"/>
        </w:trPr>
        <w:tc>
          <w:tcPr>
            <w:tcW w:w="5780" w:type="dxa"/>
            <w:vAlign w:val="bottom"/>
            <w:tcBorders>
              <w:bottom w:val="single" w:sz="8" w:color="7F7F7F"/>
            </w:tcBorders>
            <w:gridSpan w:val="2"/>
          </w:tcPr>
          <w:p>
            <w:pPr>
              <w:spacing w:after="0"/>
              <w:rPr>
                <w:sz w:val="18"/>
                <w:szCs w:val="18"/>
                <w:color w:val="auto"/>
              </w:rPr>
            </w:pPr>
          </w:p>
        </w:tc>
        <w:tc>
          <w:tcPr>
            <w:tcW w:w="5460" w:type="dxa"/>
            <w:vAlign w:val="bottom"/>
            <w:tcBorders>
              <w:bottom w:val="single" w:sz="8" w:color="7F7F7F"/>
            </w:tcBorders>
          </w:tcPr>
          <w:p>
            <w:pPr>
              <w:spacing w:after="0"/>
              <w:rPr>
                <w:sz w:val="18"/>
                <w:szCs w:val="18"/>
                <w:color w:val="auto"/>
              </w:rPr>
            </w:pPr>
          </w:p>
        </w:tc>
      </w:tr>
      <w:tr>
        <w:trPr>
          <w:trHeight w:val="261"/>
        </w:trPr>
        <w:tc>
          <w:tcPr>
            <w:tcW w:w="5780" w:type="dxa"/>
            <w:vAlign w:val="bottom"/>
            <w:gridSpan w:val="2"/>
          </w:tcPr>
          <w:p>
            <w:pPr>
              <w:ind w:left="20"/>
              <w:spacing w:after="0"/>
              <w:rPr>
                <w:sz w:val="20"/>
                <w:szCs w:val="20"/>
                <w:color w:val="auto"/>
              </w:rPr>
            </w:pPr>
            <w:r>
              <w:rPr>
                <w:rFonts w:ascii="Arial" w:cs="Arial" w:eastAsia="Arial" w:hAnsi="Arial"/>
                <w:sz w:val="16"/>
                <w:szCs w:val="16"/>
                <w:color w:val="auto"/>
              </w:rPr>
              <w:t>Appendix 2A - Application for quotation of securities</w:t>
            </w:r>
          </w:p>
        </w:tc>
        <w:tc>
          <w:tcPr>
            <w:tcW w:w="5460" w:type="dxa"/>
            <w:vAlign w:val="bottom"/>
          </w:tcPr>
          <w:p>
            <w:pPr>
              <w:jc w:val="right"/>
              <w:spacing w:after="0"/>
              <w:rPr>
                <w:sz w:val="20"/>
                <w:szCs w:val="20"/>
                <w:color w:val="auto"/>
              </w:rPr>
            </w:pPr>
            <w:r>
              <w:rPr>
                <w:rFonts w:ascii="Arial" w:cs="Arial" w:eastAsia="Arial" w:hAnsi="Arial"/>
                <w:sz w:val="15"/>
                <w:szCs w:val="15"/>
                <w:color w:val="auto"/>
              </w:rPr>
              <w:t>1 / 6</w:t>
            </w:r>
          </w:p>
        </w:tc>
      </w:tr>
      <w:tr>
        <w:trPr>
          <w:trHeight w:val="522"/>
        </w:trPr>
        <w:tc>
          <w:tcPr>
            <w:tcW w:w="22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 w:name="page5"/>
    <w:bookmarkEnd w:id="4"/>
    <w:p>
      <w:pPr>
        <w:ind w:left="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23114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1 - Entity and announcement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23056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1.1 Name of entity</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NOVONIX LIMITED</w:t>
      </w:r>
    </w:p>
    <w:p>
      <w:pPr>
        <w:spacing w:after="0" w:line="140" w:lineRule="exact"/>
        <w:rPr>
          <w:sz w:val="20"/>
          <w:szCs w:val="20"/>
          <w:color w:val="auto"/>
        </w:rPr>
      </w:pPr>
    </w:p>
    <w:p>
      <w:pPr>
        <w:ind w:left="600" w:right="340"/>
        <w:spacing w:after="0" w:line="286" w:lineRule="auto"/>
        <w:rPr>
          <w:sz w:val="20"/>
          <w:szCs w:val="20"/>
          <w:color w:val="auto"/>
        </w:rPr>
      </w:pPr>
      <w:r>
        <w:rPr>
          <w:rFonts w:ascii="Arial" w:cs="Arial" w:eastAsia="Arial" w:hAnsi="Arial"/>
          <w:sz w:val="16"/>
          <w:szCs w:val="16"/>
          <w:color w:val="auto"/>
        </w:rPr>
        <w:t>We (the entity named above) apply for +quotation of the following +securities and agree to the matters set out in Appendix 2A of the ASX Listing Rules.</w:t>
      </w:r>
    </w:p>
    <w:p>
      <w:pPr>
        <w:sectPr>
          <w:pgSz w:w="11900" w:h="16838" w:orient="portrait"/>
          <w:cols w:equalWidth="0" w:num="1">
            <w:col w:w="11240"/>
          </w:cols>
          <w:pgMar w:left="320" w:top="490" w:right="339" w:bottom="1440" w:gutter="0" w:footer="0" w:header="0"/>
        </w:sectPr>
      </w:pP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1.2 Registered number type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number</w:t>
      </w:r>
    </w:p>
    <w:p>
      <w:pPr>
        <w:spacing w:after="0" w:line="100" w:lineRule="exact"/>
        <w:rPr>
          <w:sz w:val="20"/>
          <w:szCs w:val="20"/>
          <w:color w:val="auto"/>
        </w:rPr>
      </w:pPr>
    </w:p>
    <w:p>
      <w:pPr>
        <w:sectPr>
          <w:pgSz w:w="11900" w:h="16838" w:orient="portrait"/>
          <w:cols w:equalWidth="0" w:num="2">
            <w:col w:w="5020" w:space="720"/>
            <w:col w:w="5500"/>
          </w:cols>
          <w:pgMar w:left="320" w:top="490" w:right="339" w:bottom="1440" w:gutter="0" w:footer="0" w:header="0"/>
          <w:type w:val="continuous"/>
        </w:sectPr>
      </w:pPr>
    </w:p>
    <w:p>
      <w:pPr>
        <w:ind w:left="580"/>
        <w:spacing w:after="0"/>
        <w:rPr>
          <w:sz w:val="20"/>
          <w:szCs w:val="20"/>
          <w:color w:val="auto"/>
        </w:rPr>
      </w:pPr>
      <w:r>
        <w:rPr>
          <w:rFonts w:ascii="Arial" w:cs="Arial" w:eastAsia="Arial" w:hAnsi="Arial"/>
          <w:sz w:val="15"/>
          <w:szCs w:val="15"/>
          <w:color w:val="auto"/>
        </w:rPr>
        <w:t>ABN</w:t>
      </w:r>
    </w:p>
    <w:p>
      <w:pPr>
        <w:spacing w:after="0" w:line="20" w:lineRule="exact"/>
        <w:rPr>
          <w:sz w:val="20"/>
          <w:szCs w:val="20"/>
          <w:color w:val="auto"/>
        </w:rPr>
      </w:pPr>
      <w:r>
        <w:rPr>
          <w:sz w:val="20"/>
          <w:szCs w:val="20"/>
          <w:color w:val="auto"/>
        </w:rPr>
        <w:br w:type="column"/>
      </w:r>
    </w:p>
    <w:p>
      <w:pPr>
        <w:jc w:val="center"/>
        <w:ind w:right="4500"/>
        <w:spacing w:after="0"/>
        <w:rPr>
          <w:sz w:val="20"/>
          <w:szCs w:val="20"/>
          <w:color w:val="auto"/>
        </w:rPr>
      </w:pPr>
      <w:r>
        <w:rPr>
          <w:rFonts w:ascii="Arial" w:cs="Arial" w:eastAsia="Arial" w:hAnsi="Arial"/>
          <w:sz w:val="16"/>
          <w:szCs w:val="16"/>
          <w:color w:val="auto"/>
        </w:rPr>
        <w:t>54157690830</w:t>
      </w:r>
    </w:p>
    <w:p>
      <w:pPr>
        <w:spacing w:after="0" w:line="200" w:lineRule="exact"/>
        <w:rPr>
          <w:sz w:val="20"/>
          <w:szCs w:val="20"/>
          <w:color w:val="auto"/>
        </w:rPr>
      </w:pPr>
    </w:p>
    <w:p>
      <w:pPr>
        <w:sectPr>
          <w:pgSz w:w="11900" w:h="16838" w:orient="portrait"/>
          <w:cols w:equalWidth="0" w:num="2">
            <w:col w:w="5020" w:space="720"/>
            <w:col w:w="5500"/>
          </w:cols>
          <w:pgMar w:left="320" w:top="490" w:right="339" w:bottom="1440" w:gutter="0" w:footer="0" w:header="0"/>
          <w:type w:val="continuous"/>
        </w:sectPr>
      </w:pPr>
    </w:p>
    <w:p>
      <w:pPr>
        <w:spacing w:after="0" w:line="23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1.3 ASX issuer code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NVX</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1.4 The announcement is</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New announcement</w:t>
      </w:r>
    </w:p>
    <w:p>
      <w:pPr>
        <w:spacing w:after="0" w:line="4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1.5 Date of this announcement</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27/4/2026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40" w:type="dxa"/>
            <w:vAlign w:val="bottom"/>
          </w:tcPr>
          <w:p>
            <w:pPr>
              <w:ind w:left="20"/>
              <w:spacing w:after="0"/>
              <w:rPr>
                <w:sz w:val="20"/>
                <w:szCs w:val="20"/>
                <w:color w:val="auto"/>
              </w:rPr>
            </w:pPr>
            <w:r>
              <w:rPr>
                <w:rFonts w:ascii="Arial" w:cs="Arial" w:eastAsia="Arial" w:hAnsi="Arial"/>
                <w:sz w:val="16"/>
                <w:szCs w:val="16"/>
                <w:color w:val="auto"/>
              </w:rPr>
              <w:t>Appendix 2A - Application for quotation of securities</w:t>
            </w:r>
          </w:p>
        </w:tc>
        <w:tc>
          <w:tcPr>
            <w:tcW w:w="3900" w:type="dxa"/>
            <w:vAlign w:val="bottom"/>
          </w:tcPr>
          <w:p>
            <w:pPr>
              <w:jc w:val="right"/>
              <w:spacing w:after="0"/>
              <w:rPr>
                <w:sz w:val="20"/>
                <w:szCs w:val="20"/>
                <w:color w:val="auto"/>
              </w:rPr>
            </w:pPr>
            <w:r>
              <w:rPr>
                <w:rFonts w:ascii="Arial" w:cs="Arial" w:eastAsia="Arial" w:hAnsi="Arial"/>
                <w:sz w:val="15"/>
                <w:szCs w:val="15"/>
                <w:color w:val="auto"/>
              </w:rPr>
              <w:t>2 / 6</w:t>
            </w:r>
          </w:p>
        </w:tc>
      </w:tr>
      <w:tr>
        <w:trPr>
          <w:trHeight w:val="509"/>
        </w:trPr>
        <w:tc>
          <w:tcPr>
            <w:tcW w:w="73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5" w:name="page6"/>
    <w:bookmarkEnd w:id="5"/>
    <w:p>
      <w:pPr>
        <w:ind w:left="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200025</wp:posOffset>
            </wp:positionV>
            <wp:extent cx="23114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2 - Type of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12598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2.1 The +securities to be quoted are:</w:t>
      </w:r>
    </w:p>
    <w:p>
      <w:pPr>
        <w:spacing w:after="0" w:line="21" w:lineRule="exact"/>
        <w:rPr>
          <w:sz w:val="20"/>
          <w:szCs w:val="20"/>
          <w:color w:val="auto"/>
        </w:rPr>
      </w:pPr>
    </w:p>
    <w:p>
      <w:pPr>
        <w:ind w:left="600" w:right="1180"/>
        <w:spacing w:after="0" w:line="352" w:lineRule="auto"/>
        <w:rPr>
          <w:sz w:val="20"/>
          <w:szCs w:val="20"/>
          <w:color w:val="auto"/>
        </w:rPr>
      </w:pPr>
      <w:r>
        <w:rPr>
          <w:rFonts w:ascii="Arial" w:cs="Arial" w:eastAsia="Arial" w:hAnsi="Arial"/>
          <w:sz w:val="16"/>
          <w:szCs w:val="16"/>
          <w:color w:val="auto"/>
        </w:rPr>
        <w:t xml:space="preserve">+Securities issued, transferred or re-classified as a result of options being exercised or other +convertible securities being converted </w:t>
      </w:r>
      <w:r>
        <w:rPr>
          <w:rFonts w:ascii="Arial" w:cs="Arial" w:eastAsia="Arial" w:hAnsi="Arial"/>
          <w:sz w:val="16"/>
          <w:szCs w:val="16"/>
          <w:b w:val="1"/>
          <w:bCs w:val="1"/>
          <w:color w:val="auto"/>
        </w:rPr>
        <w:t>2.2 The +class of +securities to be quoted is:</w:t>
      </w:r>
    </w:p>
    <w:p>
      <w:pPr>
        <w:ind w:left="600"/>
        <w:spacing w:after="0"/>
        <w:rPr>
          <w:sz w:val="20"/>
          <w:szCs w:val="20"/>
          <w:color w:val="auto"/>
        </w:rPr>
      </w:pPr>
      <w:r>
        <w:rPr>
          <w:rFonts w:ascii="Arial" w:cs="Arial" w:eastAsia="Arial" w:hAnsi="Arial"/>
          <w:sz w:val="16"/>
          <w:szCs w:val="16"/>
          <w:color w:val="auto"/>
        </w:rPr>
        <w:t>Additional +securities in a class that is already quoted on ASX ("existing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40" w:type="dxa"/>
            <w:vAlign w:val="bottom"/>
          </w:tcPr>
          <w:p>
            <w:pPr>
              <w:ind w:left="20"/>
              <w:spacing w:after="0"/>
              <w:rPr>
                <w:sz w:val="20"/>
                <w:szCs w:val="20"/>
                <w:color w:val="auto"/>
              </w:rPr>
            </w:pPr>
            <w:r>
              <w:rPr>
                <w:rFonts w:ascii="Arial" w:cs="Arial" w:eastAsia="Arial" w:hAnsi="Arial"/>
                <w:sz w:val="16"/>
                <w:szCs w:val="16"/>
                <w:color w:val="auto"/>
              </w:rPr>
              <w:t>Appendix 2A - Application for quotation of securities</w:t>
            </w:r>
          </w:p>
        </w:tc>
        <w:tc>
          <w:tcPr>
            <w:tcW w:w="3900" w:type="dxa"/>
            <w:vAlign w:val="bottom"/>
          </w:tcPr>
          <w:p>
            <w:pPr>
              <w:jc w:val="right"/>
              <w:spacing w:after="0"/>
              <w:rPr>
                <w:sz w:val="20"/>
                <w:szCs w:val="20"/>
                <w:color w:val="auto"/>
              </w:rPr>
            </w:pPr>
            <w:r>
              <w:rPr>
                <w:rFonts w:ascii="Arial" w:cs="Arial" w:eastAsia="Arial" w:hAnsi="Arial"/>
                <w:sz w:val="15"/>
                <w:szCs w:val="15"/>
                <w:color w:val="auto"/>
              </w:rPr>
              <w:t>3 / 6</w:t>
            </w:r>
          </w:p>
        </w:tc>
      </w:tr>
      <w:tr>
        <w:trPr>
          <w:trHeight w:val="522"/>
        </w:trPr>
        <w:tc>
          <w:tcPr>
            <w:tcW w:w="73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 w:name="page7"/>
    <w:bookmarkEnd w:id="6"/>
    <w:p>
      <w:pPr>
        <w:ind w:left="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200025</wp:posOffset>
            </wp:positionV>
            <wp:extent cx="23114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3B - number and type of +securities to be quoted (existing class) where issue has not previously been notified to ASX in an Appendix 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wp:posOffset>
            </wp:positionV>
            <wp:extent cx="70637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09" w:lineRule="exact"/>
        <w:rPr>
          <w:sz w:val="20"/>
          <w:szCs w:val="20"/>
          <w:color w:val="auto"/>
        </w:rPr>
      </w:pPr>
    </w:p>
    <w:p>
      <w:pPr>
        <w:ind w:left="640" w:right="4100"/>
        <w:spacing w:after="0" w:line="265" w:lineRule="auto"/>
        <w:rPr>
          <w:sz w:val="20"/>
          <w:szCs w:val="20"/>
          <w:color w:val="auto"/>
        </w:rPr>
      </w:pPr>
      <w:r>
        <w:rPr>
          <w:rFonts w:ascii="Arial" w:cs="Arial" w:eastAsia="Arial" w:hAnsi="Arial"/>
          <w:sz w:val="16"/>
          <w:szCs w:val="16"/>
          <w:b w:val="1"/>
          <w:bCs w:val="1"/>
          <w:color w:val="auto"/>
        </w:rPr>
        <w:t>Existing +securities converting into additional +securities in an existing class FROM (Existing Class)</w:t>
      </w:r>
    </w:p>
    <w:p>
      <w:pPr>
        <w:sectPr>
          <w:pgSz w:w="11900" w:h="16838" w:orient="portrait"/>
          <w:cols w:equalWidth="0" w:num="1">
            <w:col w:w="11240"/>
          </w:cols>
          <w:pgMar w:left="320" w:top="490" w:right="339" w:bottom="1440" w:gutter="0" w:footer="0" w:header="0"/>
        </w:sectPr>
      </w:pPr>
    </w:p>
    <w:p>
      <w:pPr>
        <w:spacing w:after="0" w:line="1" w:lineRule="exact"/>
        <w:rPr>
          <w:sz w:val="20"/>
          <w:szCs w:val="20"/>
          <w:color w:val="auto"/>
        </w:rPr>
      </w:pPr>
    </w:p>
    <w:p>
      <w:pPr>
        <w:ind w:left="640" w:right="120"/>
        <w:spacing w:after="0" w:line="388" w:lineRule="auto"/>
        <w:rPr>
          <w:sz w:val="20"/>
          <w:szCs w:val="20"/>
          <w:color w:val="auto"/>
        </w:rPr>
      </w:pPr>
      <w:r>
        <w:rPr>
          <w:rFonts w:ascii="Arial" w:cs="Arial" w:eastAsia="Arial" w:hAnsi="Arial"/>
          <w:sz w:val="16"/>
          <w:szCs w:val="16"/>
          <w:b w:val="1"/>
          <w:bCs w:val="1"/>
          <w:color w:val="auto"/>
        </w:rPr>
        <w:t xml:space="preserve">ASX +security code and description </w:t>
      </w:r>
      <w:r>
        <w:rPr>
          <w:rFonts w:ascii="Arial" w:cs="Arial" w:eastAsia="Arial" w:hAnsi="Arial"/>
          <w:sz w:val="16"/>
          <w:szCs w:val="16"/>
          <w:color w:val="auto"/>
        </w:rPr>
        <w:t>NVX:AD : PERFORMANCE RIGHTS</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TO (Existing Class)</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ASX +security code and description</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NVX : ORDINARY FULLY PAID</w:t>
      </w:r>
    </w:p>
    <w:p>
      <w:pPr>
        <w:spacing w:after="0" w:line="262" w:lineRule="exact"/>
        <w:rPr>
          <w:sz w:val="20"/>
          <w:szCs w:val="20"/>
          <w:color w:val="auto"/>
        </w:rPr>
      </w:pPr>
    </w:p>
    <w:p>
      <w:pPr>
        <w:ind w:left="660" w:right="200"/>
        <w:spacing w:after="0" w:line="263" w:lineRule="auto"/>
        <w:rPr>
          <w:sz w:val="20"/>
          <w:szCs w:val="20"/>
          <w:color w:val="auto"/>
        </w:rPr>
      </w:pPr>
      <w:r>
        <w:rPr>
          <w:rFonts w:ascii="Arial" w:cs="Arial" w:eastAsia="Arial" w:hAnsi="Arial"/>
          <w:sz w:val="16"/>
          <w:szCs w:val="16"/>
          <w:b w:val="1"/>
          <w:bCs w:val="1"/>
          <w:color w:val="auto"/>
        </w:rPr>
        <w:t>Please state the number of options that were exercised or other +convertible securities that were converted</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47,572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40"/>
        <w:spacing w:after="0" w:line="271" w:lineRule="auto"/>
        <w:rPr>
          <w:sz w:val="20"/>
          <w:szCs w:val="20"/>
          <w:color w:val="auto"/>
        </w:rPr>
      </w:pPr>
      <w:r>
        <w:rPr>
          <w:rFonts w:ascii="Arial" w:cs="Arial" w:eastAsia="Arial" w:hAnsi="Arial"/>
          <w:sz w:val="16"/>
          <w:szCs w:val="16"/>
          <w:b w:val="1"/>
          <w:bCs w:val="1"/>
          <w:color w:val="auto"/>
        </w:rPr>
        <w:t>The first date the options were exercised or other +convertible securities were converted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27/4/2026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1220"/>
        <w:spacing w:after="0" w:line="271" w:lineRule="auto"/>
        <w:rPr>
          <w:sz w:val="20"/>
          <w:szCs w:val="20"/>
          <w:color w:val="auto"/>
        </w:rPr>
      </w:pPr>
      <w:r>
        <w:rPr>
          <w:rFonts w:ascii="Arial" w:cs="Arial" w:eastAsia="Arial" w:hAnsi="Arial"/>
          <w:sz w:val="16"/>
          <w:szCs w:val="16"/>
          <w:b w:val="1"/>
          <w:bCs w:val="1"/>
          <w:color w:val="auto"/>
        </w:rPr>
        <w:t>The last date the options were exercised or other +convertible securities were converted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27/4/2026</w:t>
      </w:r>
    </w:p>
    <w:p>
      <w:pPr>
        <w:spacing w:after="0" w:line="388" w:lineRule="exact"/>
        <w:rPr>
          <w:sz w:val="20"/>
          <w:szCs w:val="20"/>
          <w:color w:val="auto"/>
        </w:rPr>
      </w:pPr>
    </w:p>
    <w:p>
      <w:pPr>
        <w:sectPr>
          <w:pgSz w:w="11900" w:h="16838" w:orient="portrait"/>
          <w:cols w:equalWidth="0" w:num="3">
            <w:col w:w="3540" w:space="720"/>
            <w:col w:w="2640" w:space="720"/>
            <w:col w:w="3620"/>
          </w:cols>
          <w:pgMar w:left="320" w:top="490" w:right="339" w:bottom="1440" w:gutter="0" w:footer="0" w:header="0"/>
          <w:type w:val="continuous"/>
        </w:sectPr>
      </w:pPr>
    </w:p>
    <w:p>
      <w:pPr>
        <w:spacing w:after="0" w:line="237" w:lineRule="exact"/>
        <w:rPr>
          <w:sz w:val="20"/>
          <w:szCs w:val="20"/>
          <w:color w:val="auto"/>
        </w:rPr>
      </w:pPr>
    </w:p>
    <w:p>
      <w:pPr>
        <w:ind w:left="640" w:right="320"/>
        <w:spacing w:after="0" w:line="256" w:lineRule="auto"/>
        <w:rPr>
          <w:sz w:val="20"/>
          <w:szCs w:val="20"/>
          <w:color w:val="auto"/>
        </w:rPr>
      </w:pPr>
      <w:r>
        <w:rPr>
          <w:rFonts w:ascii="Arial" w:cs="Arial" w:eastAsia="Arial" w:hAnsi="Arial"/>
          <w:sz w:val="16"/>
          <w:szCs w:val="16"/>
          <w:b w:val="1"/>
          <w:bCs w:val="1"/>
          <w:color w:val="auto"/>
        </w:rPr>
        <w:t>Is this all of the options or other +convertible securities on issue of that type (ie have all of those options now been exercised or have all of those convertible securities now been converted)?</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The right of the holder of the options or other +convertible securities to receive the +underlying securities is being satisfied by:</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An issue of new +securities</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The underlying +securities being received by the holder are:</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Intended to be, but are not yet, quoted by ASX</w:t>
      </w:r>
    </w:p>
    <w:p>
      <w:pPr>
        <w:spacing w:after="0" w:line="30" w:lineRule="exact"/>
        <w:rPr>
          <w:sz w:val="20"/>
          <w:szCs w:val="20"/>
          <w:color w:val="auto"/>
        </w:rPr>
      </w:pPr>
    </w:p>
    <w:p>
      <w:pPr>
        <w:ind w:left="640" w:right="580"/>
        <w:spacing w:after="0" w:line="256" w:lineRule="auto"/>
        <w:rPr>
          <w:sz w:val="20"/>
          <w:szCs w:val="20"/>
          <w:color w:val="auto"/>
        </w:rPr>
      </w:pPr>
      <w:r>
        <w:rPr>
          <w:rFonts w:ascii="Arial" w:cs="Arial" w:eastAsia="Arial" w:hAnsi="Arial"/>
          <w:sz w:val="16"/>
          <w:szCs w:val="16"/>
          <w:b w:val="1"/>
          <w:bCs w:val="1"/>
          <w:color w:val="auto"/>
        </w:rPr>
        <w:t xml:space="preserve">Were the options being exercised or other +convertible securities being converted issued under an +employee incentive scheme? </w:t>
      </w:r>
      <w:r>
        <w:rPr>
          <w:rFonts w:ascii="Arial" w:cs="Arial" w:eastAsia="Arial" w:hAnsi="Arial"/>
          <w:sz w:val="16"/>
          <w:szCs w:val="16"/>
          <w:color w:val="auto"/>
        </w:rPr>
        <w:t>Yes</w:t>
      </w:r>
    </w:p>
    <w:p>
      <w:pPr>
        <w:spacing w:after="0" w:line="1" w:lineRule="exact"/>
        <w:rPr>
          <w:sz w:val="20"/>
          <w:szCs w:val="20"/>
          <w:color w:val="auto"/>
        </w:rPr>
      </w:pPr>
    </w:p>
    <w:p>
      <w:pPr>
        <w:ind w:left="640" w:right="20"/>
        <w:spacing w:after="0" w:line="262" w:lineRule="auto"/>
        <w:rPr>
          <w:sz w:val="20"/>
          <w:szCs w:val="20"/>
          <w:color w:val="auto"/>
        </w:rPr>
      </w:pPr>
      <w:r>
        <w:rPr>
          <w:rFonts w:ascii="Arial" w:cs="Arial" w:eastAsia="Arial" w:hAnsi="Arial"/>
          <w:sz w:val="16"/>
          <w:szCs w:val="16"/>
          <w:b w:val="1"/>
          <w:bCs w:val="1"/>
          <w:color w:val="auto"/>
        </w:rPr>
        <w:t>Are any of the options being exercised or other +convertible securities being converted held by +key managemetn personnel (KMP) or an +associate?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Issue date</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27/4/2026</w:t>
      </w:r>
    </w:p>
    <w:p>
      <w:pPr>
        <w:spacing w:after="0" w:line="154" w:lineRule="exact"/>
        <w:rPr>
          <w:sz w:val="20"/>
          <w:szCs w:val="20"/>
          <w:color w:val="auto"/>
        </w:rPr>
      </w:pPr>
    </w:p>
    <w:p>
      <w:pPr>
        <w:ind w:left="640" w:right="2480"/>
        <w:spacing w:after="0" w:line="256" w:lineRule="auto"/>
        <w:rPr>
          <w:sz w:val="20"/>
          <w:szCs w:val="20"/>
          <w:color w:val="auto"/>
        </w:rPr>
      </w:pPr>
      <w:r>
        <w:rPr>
          <w:rFonts w:ascii="Arial" w:cs="Arial" w:eastAsia="Arial" w:hAnsi="Arial"/>
          <w:sz w:val="16"/>
          <w:szCs w:val="16"/>
          <w:b w:val="1"/>
          <w:bCs w:val="1"/>
          <w:color w:val="auto"/>
        </w:rPr>
        <w:t>Will the +securities to be quoted rank equally in all respects from their issue date with the existing issued +securities in that class?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40" w:type="dxa"/>
            <w:vAlign w:val="bottom"/>
          </w:tcPr>
          <w:p>
            <w:pPr>
              <w:ind w:left="20"/>
              <w:spacing w:after="0"/>
              <w:rPr>
                <w:sz w:val="20"/>
                <w:szCs w:val="20"/>
                <w:color w:val="auto"/>
              </w:rPr>
            </w:pPr>
            <w:r>
              <w:rPr>
                <w:rFonts w:ascii="Arial" w:cs="Arial" w:eastAsia="Arial" w:hAnsi="Arial"/>
                <w:sz w:val="16"/>
                <w:szCs w:val="16"/>
                <w:color w:val="auto"/>
              </w:rPr>
              <w:t>Appendix 2A - Application for quotation of securities</w:t>
            </w:r>
          </w:p>
        </w:tc>
        <w:tc>
          <w:tcPr>
            <w:tcW w:w="3900" w:type="dxa"/>
            <w:vAlign w:val="bottom"/>
          </w:tcPr>
          <w:p>
            <w:pPr>
              <w:jc w:val="right"/>
              <w:spacing w:after="0"/>
              <w:rPr>
                <w:sz w:val="20"/>
                <w:szCs w:val="20"/>
                <w:color w:val="auto"/>
              </w:rPr>
            </w:pPr>
            <w:r>
              <w:rPr>
                <w:rFonts w:ascii="Arial" w:cs="Arial" w:eastAsia="Arial" w:hAnsi="Arial"/>
                <w:sz w:val="15"/>
                <w:szCs w:val="15"/>
                <w:color w:val="auto"/>
              </w:rPr>
              <w:t>4 / 6</w:t>
            </w:r>
          </w:p>
        </w:tc>
      </w:tr>
      <w:tr>
        <w:trPr>
          <w:trHeight w:val="508"/>
        </w:trPr>
        <w:tc>
          <w:tcPr>
            <w:tcW w:w="73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7" w:name="page8"/>
    <w:bookmarkEnd w:id="7"/>
    <w:p>
      <w:pPr>
        <w:ind w:left="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200025</wp:posOffset>
            </wp:positionV>
            <wp:extent cx="231140"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Issue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158115</wp:posOffset>
            </wp:positionV>
            <wp:extent cx="70294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Number of +securities to be quoted</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23,566</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Are the +securities being issued for a cash consideration?</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w:t>
      </w:r>
    </w:p>
    <w:p>
      <w:pPr>
        <w:spacing w:after="0" w:line="167" w:lineRule="exact"/>
        <w:rPr>
          <w:sz w:val="20"/>
          <w:szCs w:val="20"/>
          <w:color w:val="auto"/>
        </w:rPr>
      </w:pPr>
    </w:p>
    <w:p>
      <w:pPr>
        <w:jc w:val="right"/>
        <w:ind w:right="5320"/>
        <w:spacing w:after="0"/>
        <w:rPr>
          <w:sz w:val="20"/>
          <w:szCs w:val="20"/>
          <w:color w:val="auto"/>
        </w:rPr>
      </w:pPr>
      <w:r>
        <w:rPr>
          <w:rFonts w:ascii="Arial" w:cs="Arial" w:eastAsia="Arial" w:hAnsi="Arial"/>
          <w:sz w:val="16"/>
          <w:szCs w:val="16"/>
          <w:b w:val="1"/>
          <w:bCs w:val="1"/>
          <w:color w:val="auto"/>
        </w:rPr>
        <w:t>Please describe the consideration being provided for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35560</wp:posOffset>
            </wp:positionV>
            <wp:extent cx="6416040" cy="209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6040" cy="209550"/>
                    </a:xfrm>
                    <a:prstGeom prst="rect">
                      <a:avLst/>
                    </a:prstGeom>
                    <a:noFill/>
                  </pic:spPr>
                </pic:pic>
              </a:graphicData>
            </a:graphic>
          </wp:anchor>
        </w:drawing>
      </w:r>
    </w:p>
    <w:p>
      <w:pPr>
        <w:spacing w:after="0" w:line="93" w:lineRule="exact"/>
        <w:rPr>
          <w:sz w:val="20"/>
          <w:szCs w:val="20"/>
          <w:color w:val="auto"/>
        </w:rPr>
      </w:pPr>
    </w:p>
    <w:p>
      <w:pPr>
        <w:jc w:val="right"/>
        <w:ind w:right="5380"/>
        <w:spacing w:after="0"/>
        <w:rPr>
          <w:sz w:val="20"/>
          <w:szCs w:val="20"/>
          <w:color w:val="auto"/>
        </w:rPr>
      </w:pPr>
      <w:r>
        <w:rPr>
          <w:rFonts w:ascii="Arial" w:cs="Arial" w:eastAsia="Arial" w:hAnsi="Arial"/>
          <w:sz w:val="16"/>
          <w:szCs w:val="16"/>
          <w:color w:val="auto"/>
        </w:rPr>
        <w:t>Issue of ordinary shares on the vesting of employee performance rights.</w:t>
      </w:r>
    </w:p>
    <w:p>
      <w:pPr>
        <w:spacing w:after="0" w:line="127" w:lineRule="exact"/>
        <w:rPr>
          <w:sz w:val="20"/>
          <w:szCs w:val="20"/>
          <w:color w:val="auto"/>
        </w:rPr>
      </w:pPr>
    </w:p>
    <w:p>
      <w:pPr>
        <w:ind w:left="640" w:right="2460"/>
        <w:spacing w:after="0" w:line="296" w:lineRule="auto"/>
        <w:rPr>
          <w:sz w:val="20"/>
          <w:szCs w:val="20"/>
          <w:color w:val="auto"/>
        </w:rPr>
      </w:pPr>
      <w:r>
        <w:rPr>
          <w:rFonts w:ascii="Arial" w:cs="Arial" w:eastAsia="Arial" w:hAnsi="Arial"/>
          <w:sz w:val="16"/>
          <w:szCs w:val="16"/>
          <w:b w:val="1"/>
          <w:bCs w:val="1"/>
          <w:color w:val="auto"/>
        </w:rPr>
        <w:t>Please provide an estimate (in AUD) of the value of the consideration being provided per +security for the +securities to be quoted</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0.265000</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Any other information the entity wishes to provide about the +securities to be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35560</wp:posOffset>
            </wp:positionV>
            <wp:extent cx="6416040" cy="2101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6040" cy="2101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40" w:type="dxa"/>
            <w:vAlign w:val="bottom"/>
          </w:tcPr>
          <w:p>
            <w:pPr>
              <w:ind w:left="20"/>
              <w:spacing w:after="0"/>
              <w:rPr>
                <w:sz w:val="20"/>
                <w:szCs w:val="20"/>
                <w:color w:val="auto"/>
              </w:rPr>
            </w:pPr>
            <w:r>
              <w:rPr>
                <w:rFonts w:ascii="Arial" w:cs="Arial" w:eastAsia="Arial" w:hAnsi="Arial"/>
                <w:sz w:val="16"/>
                <w:szCs w:val="16"/>
                <w:color w:val="auto"/>
              </w:rPr>
              <w:t>Appendix 2A - Application for quotation of securities</w:t>
            </w:r>
          </w:p>
        </w:tc>
        <w:tc>
          <w:tcPr>
            <w:tcW w:w="3900" w:type="dxa"/>
            <w:vAlign w:val="bottom"/>
          </w:tcPr>
          <w:p>
            <w:pPr>
              <w:jc w:val="right"/>
              <w:spacing w:after="0"/>
              <w:rPr>
                <w:sz w:val="20"/>
                <w:szCs w:val="20"/>
                <w:color w:val="auto"/>
              </w:rPr>
            </w:pPr>
            <w:r>
              <w:rPr>
                <w:rFonts w:ascii="Arial" w:cs="Arial" w:eastAsia="Arial" w:hAnsi="Arial"/>
                <w:sz w:val="15"/>
                <w:szCs w:val="15"/>
                <w:color w:val="auto"/>
              </w:rPr>
              <w:t>5 / 6</w:t>
            </w:r>
          </w:p>
        </w:tc>
      </w:tr>
      <w:tr>
        <w:trPr>
          <w:trHeight w:val="522"/>
        </w:trPr>
        <w:tc>
          <w:tcPr>
            <w:tcW w:w="73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 w:name="page9"/>
    <w:bookmarkEnd w:id="8"/>
    <w:p>
      <w:pPr>
        <w:ind w:left="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200025</wp:posOffset>
            </wp:positionV>
            <wp:extent cx="23114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4 - Issued capital following quotation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23056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Following the quotation of the +securities the subject of this application, the issued capital of the entity will comprise:</w:t>
      </w:r>
    </w:p>
    <w:p>
      <w:pPr>
        <w:spacing w:after="0" w:line="86" w:lineRule="exact"/>
        <w:rPr>
          <w:sz w:val="20"/>
          <w:szCs w:val="20"/>
          <w:color w:val="auto"/>
        </w:rPr>
      </w:pPr>
    </w:p>
    <w:p>
      <w:pPr>
        <w:ind w:left="660" w:right="460"/>
        <w:spacing w:after="0" w:line="286" w:lineRule="auto"/>
        <w:rPr>
          <w:sz w:val="20"/>
          <w:szCs w:val="20"/>
          <w:color w:val="auto"/>
        </w:rPr>
      </w:pPr>
      <w:r>
        <w:rPr>
          <w:rFonts w:ascii="Arial" w:cs="Arial" w:eastAsia="Arial" w:hAnsi="Arial"/>
          <w:sz w:val="16"/>
          <w:szCs w:val="16"/>
          <w:color w:val="auto"/>
        </w:rPr>
        <w:t>The figures in parts 4.1 and 4.2 below are automatically generated and may not reflect the entity's current issued capital if other Appendix 2A, Appendix 3G or Appendix 3H forms are currently with ASX for processing.</w:t>
      </w:r>
    </w:p>
    <w:p>
      <w:pPr>
        <w:spacing w:after="0" w:line="48" w:lineRule="exact"/>
        <w:rPr>
          <w:sz w:val="20"/>
          <w:szCs w:val="20"/>
          <w:color w:val="auto"/>
        </w:rPr>
      </w:pPr>
    </w:p>
    <w:p>
      <w:pPr>
        <w:ind w:left="600" w:right="1960"/>
        <w:spacing w:after="0" w:line="296" w:lineRule="auto"/>
        <w:rPr>
          <w:sz w:val="20"/>
          <w:szCs w:val="20"/>
          <w:color w:val="auto"/>
        </w:rPr>
      </w:pPr>
      <w:r>
        <w:rPr>
          <w:rFonts w:ascii="Arial" w:cs="Arial" w:eastAsia="Arial" w:hAnsi="Arial"/>
          <w:sz w:val="16"/>
          <w:szCs w:val="16"/>
          <w:b w:val="1"/>
          <w:bCs w:val="1"/>
          <w:color w:val="auto"/>
        </w:rPr>
        <w:t>4.1 Quoted +securities (total number of each +class of +securities quoted on ASX following the +quotation of the +securities subject of this application)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60" w:type="dxa"/>
            <w:vAlign w:val="bottom"/>
          </w:tcPr>
          <w:p>
            <w:pPr>
              <w:spacing w:after="0"/>
              <w:rPr>
                <w:sz w:val="17"/>
                <w:szCs w:val="17"/>
                <w:color w:val="auto"/>
              </w:rPr>
            </w:pPr>
          </w:p>
        </w:tc>
        <w:tc>
          <w:tcPr>
            <w:tcW w:w="238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 number of</w:t>
            </w:r>
          </w:p>
        </w:tc>
      </w:tr>
      <w:tr>
        <w:trPr>
          <w:trHeight w:val="223"/>
        </w:trPr>
        <w:tc>
          <w:tcPr>
            <w:tcW w:w="8860" w:type="dxa"/>
            <w:vAlign w:val="bottom"/>
          </w:tcPr>
          <w:p>
            <w:pPr>
              <w:ind w:left="660"/>
              <w:spacing w:after="0"/>
              <w:rPr>
                <w:sz w:val="20"/>
                <w:szCs w:val="20"/>
                <w:color w:val="auto"/>
              </w:rPr>
            </w:pPr>
            <w:r>
              <w:rPr>
                <w:rFonts w:ascii="Arial" w:cs="Arial" w:eastAsia="Arial" w:hAnsi="Arial"/>
                <w:sz w:val="16"/>
                <w:szCs w:val="16"/>
                <w:b w:val="1"/>
                <w:bCs w:val="1"/>
                <w:color w:val="auto"/>
              </w:rPr>
              <w:t>ASX +security code and description</w:t>
            </w:r>
          </w:p>
        </w:tc>
        <w:tc>
          <w:tcPr>
            <w:tcW w:w="2380" w:type="dxa"/>
            <w:vAlign w:val="bottom"/>
          </w:tcPr>
          <w:p>
            <w:pPr>
              <w:jc w:val="right"/>
              <w:ind w:right="159"/>
              <w:spacing w:after="0"/>
              <w:rPr>
                <w:sz w:val="20"/>
                <w:szCs w:val="20"/>
                <w:color w:val="auto"/>
              </w:rPr>
            </w:pPr>
            <w:r>
              <w:rPr>
                <w:rFonts w:ascii="Arial" w:cs="Arial" w:eastAsia="Arial" w:hAnsi="Arial"/>
                <w:sz w:val="16"/>
                <w:szCs w:val="16"/>
                <w:b w:val="1"/>
                <w:bCs w:val="1"/>
                <w:color w:val="auto"/>
              </w:rPr>
              <w:t>+securities on issue</w:t>
            </w:r>
          </w:p>
        </w:tc>
      </w:tr>
      <w:tr>
        <w:trPr>
          <w:trHeight w:val="640"/>
        </w:trPr>
        <w:tc>
          <w:tcPr>
            <w:tcW w:w="8860" w:type="dxa"/>
            <w:vAlign w:val="bottom"/>
          </w:tcPr>
          <w:p>
            <w:pPr>
              <w:ind w:left="660"/>
              <w:spacing w:after="0"/>
              <w:rPr>
                <w:sz w:val="20"/>
                <w:szCs w:val="20"/>
                <w:color w:val="auto"/>
              </w:rPr>
            </w:pPr>
            <w:r>
              <w:rPr>
                <w:rFonts w:ascii="Arial" w:cs="Arial" w:eastAsia="Arial" w:hAnsi="Arial"/>
                <w:sz w:val="16"/>
                <w:szCs w:val="16"/>
                <w:color w:val="auto"/>
              </w:rPr>
              <w:t>NVX : ORDINARY FULLY PAID</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861,442,940</w:t>
            </w:r>
          </w:p>
        </w:tc>
      </w:tr>
      <w:tr>
        <w:trPr>
          <w:trHeight w:val="710"/>
        </w:trPr>
        <w:tc>
          <w:tcPr>
            <w:tcW w:w="8860" w:type="dxa"/>
            <w:vAlign w:val="bottom"/>
          </w:tcPr>
          <w:p>
            <w:pPr>
              <w:ind w:left="600"/>
              <w:spacing w:after="0"/>
              <w:rPr>
                <w:sz w:val="20"/>
                <w:szCs w:val="20"/>
                <w:color w:val="auto"/>
              </w:rPr>
            </w:pPr>
            <w:r>
              <w:rPr>
                <w:rFonts w:ascii="Arial" w:cs="Arial" w:eastAsia="Arial" w:hAnsi="Arial"/>
                <w:sz w:val="16"/>
                <w:szCs w:val="16"/>
                <w:b w:val="1"/>
                <w:bCs w:val="1"/>
                <w:color w:val="auto"/>
              </w:rPr>
              <w:t>4.2 Unquoted +securities (total number of each +class of +securities issued but not quoted on ASX)</w:t>
            </w:r>
          </w:p>
        </w:tc>
        <w:tc>
          <w:tcPr>
            <w:tcW w:w="2380" w:type="dxa"/>
            <w:vAlign w:val="bottom"/>
          </w:tcPr>
          <w:p>
            <w:pPr>
              <w:spacing w:after="0"/>
              <w:rPr>
                <w:sz w:val="24"/>
                <w:szCs w:val="24"/>
                <w:color w:val="auto"/>
              </w:rPr>
            </w:pPr>
          </w:p>
        </w:tc>
      </w:tr>
      <w:tr>
        <w:trPr>
          <w:trHeight w:val="331"/>
        </w:trPr>
        <w:tc>
          <w:tcPr>
            <w:tcW w:w="8860" w:type="dxa"/>
            <w:vAlign w:val="bottom"/>
          </w:tcPr>
          <w:p>
            <w:pPr>
              <w:spacing w:after="0"/>
              <w:rPr>
                <w:sz w:val="24"/>
                <w:szCs w:val="24"/>
                <w:color w:val="auto"/>
              </w:rPr>
            </w:pPr>
          </w:p>
        </w:tc>
        <w:tc>
          <w:tcPr>
            <w:tcW w:w="238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 number of</w:t>
            </w:r>
          </w:p>
        </w:tc>
      </w:tr>
      <w:tr>
        <w:trPr>
          <w:trHeight w:val="223"/>
        </w:trPr>
        <w:tc>
          <w:tcPr>
            <w:tcW w:w="8860" w:type="dxa"/>
            <w:vAlign w:val="bottom"/>
          </w:tcPr>
          <w:p>
            <w:pPr>
              <w:ind w:left="660"/>
              <w:spacing w:after="0"/>
              <w:rPr>
                <w:sz w:val="20"/>
                <w:szCs w:val="20"/>
                <w:color w:val="auto"/>
              </w:rPr>
            </w:pPr>
            <w:r>
              <w:rPr>
                <w:rFonts w:ascii="Arial" w:cs="Arial" w:eastAsia="Arial" w:hAnsi="Arial"/>
                <w:sz w:val="16"/>
                <w:szCs w:val="16"/>
                <w:b w:val="1"/>
                <w:bCs w:val="1"/>
                <w:color w:val="auto"/>
              </w:rPr>
              <w:t>ASX +security code and description</w:t>
            </w:r>
          </w:p>
        </w:tc>
        <w:tc>
          <w:tcPr>
            <w:tcW w:w="2380" w:type="dxa"/>
            <w:vAlign w:val="bottom"/>
          </w:tcPr>
          <w:p>
            <w:pPr>
              <w:jc w:val="right"/>
              <w:ind w:right="159"/>
              <w:spacing w:after="0"/>
              <w:rPr>
                <w:sz w:val="20"/>
                <w:szCs w:val="20"/>
                <w:color w:val="auto"/>
              </w:rPr>
            </w:pPr>
            <w:r>
              <w:rPr>
                <w:rFonts w:ascii="Arial" w:cs="Arial" w:eastAsia="Arial" w:hAnsi="Arial"/>
                <w:sz w:val="16"/>
                <w:szCs w:val="16"/>
                <w:b w:val="1"/>
                <w:bCs w:val="1"/>
                <w:color w:val="auto"/>
              </w:rPr>
              <w:t>+securities on issue</w:t>
            </w:r>
          </w:p>
        </w:tc>
      </w:tr>
      <w:tr>
        <w:trPr>
          <w:trHeight w:val="464"/>
        </w:trPr>
        <w:tc>
          <w:tcPr>
            <w:tcW w:w="8860" w:type="dxa"/>
            <w:vAlign w:val="bottom"/>
          </w:tcPr>
          <w:p>
            <w:pPr>
              <w:ind w:left="660"/>
              <w:spacing w:after="0"/>
              <w:rPr>
                <w:sz w:val="20"/>
                <w:szCs w:val="20"/>
                <w:color w:val="auto"/>
              </w:rPr>
            </w:pPr>
            <w:r>
              <w:rPr>
                <w:rFonts w:ascii="Arial" w:cs="Arial" w:eastAsia="Arial" w:hAnsi="Arial"/>
                <w:sz w:val="16"/>
                <w:szCs w:val="16"/>
                <w:color w:val="auto"/>
              </w:rPr>
              <w:t>NVXAD : PERFORMANCE RIGHTS</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28,612,929</w:t>
            </w:r>
          </w:p>
        </w:tc>
      </w:tr>
      <w:tr>
        <w:trPr>
          <w:trHeight w:val="473"/>
        </w:trPr>
        <w:tc>
          <w:tcPr>
            <w:tcW w:w="8860" w:type="dxa"/>
            <w:vAlign w:val="bottom"/>
          </w:tcPr>
          <w:p>
            <w:pPr>
              <w:ind w:left="660"/>
              <w:spacing w:after="0"/>
              <w:rPr>
                <w:sz w:val="20"/>
                <w:szCs w:val="20"/>
                <w:color w:val="auto"/>
              </w:rPr>
            </w:pPr>
            <w:r>
              <w:rPr>
                <w:rFonts w:ascii="Arial" w:cs="Arial" w:eastAsia="Arial" w:hAnsi="Arial"/>
                <w:sz w:val="16"/>
                <w:szCs w:val="16"/>
                <w:color w:val="auto"/>
              </w:rPr>
              <w:t>NVXAA : OPTION EXPIRING VARIOUS DATES EX VARIOUS PRICES</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14,016,667</w:t>
            </w:r>
          </w:p>
        </w:tc>
      </w:tr>
      <w:tr>
        <w:trPr>
          <w:trHeight w:val="473"/>
        </w:trPr>
        <w:tc>
          <w:tcPr>
            <w:tcW w:w="8860" w:type="dxa"/>
            <w:vAlign w:val="bottom"/>
          </w:tcPr>
          <w:p>
            <w:pPr>
              <w:ind w:left="660"/>
              <w:spacing w:after="0"/>
              <w:rPr>
                <w:sz w:val="20"/>
                <w:szCs w:val="20"/>
                <w:color w:val="auto"/>
              </w:rPr>
            </w:pPr>
            <w:r>
              <w:rPr>
                <w:rFonts w:ascii="Arial" w:cs="Arial" w:eastAsia="Arial" w:hAnsi="Arial"/>
                <w:sz w:val="16"/>
                <w:szCs w:val="16"/>
                <w:color w:val="auto"/>
              </w:rPr>
              <w:t>NVXAL : CONVERTIBLE NOTES</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45,221,586</w:t>
            </w:r>
          </w:p>
        </w:tc>
      </w:tr>
      <w:tr>
        <w:trPr>
          <w:trHeight w:val="688"/>
        </w:trPr>
        <w:tc>
          <w:tcPr>
            <w:tcW w:w="8860" w:type="dxa"/>
            <w:vAlign w:val="bottom"/>
          </w:tcPr>
          <w:p>
            <w:pPr>
              <w:ind w:left="660"/>
              <w:spacing w:after="0"/>
              <w:rPr>
                <w:sz w:val="20"/>
                <w:szCs w:val="20"/>
                <w:color w:val="auto"/>
              </w:rPr>
            </w:pPr>
            <w:r>
              <w:rPr>
                <w:rFonts w:ascii="Arial" w:cs="Arial" w:eastAsia="Arial" w:hAnsi="Arial"/>
                <w:sz w:val="16"/>
                <w:szCs w:val="16"/>
                <w:color w:val="auto"/>
              </w:rPr>
              <w:t>NVXAH : CONVERTIBLE DEBENTURES</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35,000,000</w:t>
            </w:r>
          </w:p>
        </w:tc>
      </w:tr>
      <w:tr>
        <w:trPr>
          <w:trHeight w:val="218"/>
        </w:trPr>
        <w:tc>
          <w:tcPr>
            <w:tcW w:w="8860" w:type="dxa"/>
            <w:vAlign w:val="bottom"/>
            <w:tcBorders>
              <w:bottom w:val="single" w:sz="8" w:color="7F7F7F"/>
            </w:tcBorders>
          </w:tcPr>
          <w:p>
            <w:pPr>
              <w:spacing w:after="0"/>
              <w:rPr>
                <w:sz w:val="18"/>
                <w:szCs w:val="18"/>
                <w:color w:val="auto"/>
              </w:rPr>
            </w:pPr>
          </w:p>
        </w:tc>
        <w:tc>
          <w:tcPr>
            <w:tcW w:w="2380" w:type="dxa"/>
            <w:vAlign w:val="bottom"/>
            <w:tcBorders>
              <w:bottom w:val="single" w:sz="8" w:color="7F7F7F"/>
            </w:tcBorders>
          </w:tcPr>
          <w:p>
            <w:pPr>
              <w:spacing w:after="0"/>
              <w:rPr>
                <w:sz w:val="18"/>
                <w:szCs w:val="18"/>
                <w:color w:val="auto"/>
              </w:rPr>
            </w:pPr>
          </w:p>
        </w:tc>
      </w:tr>
      <w:tr>
        <w:trPr>
          <w:trHeight w:val="262"/>
        </w:trPr>
        <w:tc>
          <w:tcPr>
            <w:tcW w:w="8860" w:type="dxa"/>
            <w:vAlign w:val="bottom"/>
          </w:tcPr>
          <w:p>
            <w:pPr>
              <w:ind w:left="20"/>
              <w:spacing w:after="0"/>
              <w:rPr>
                <w:sz w:val="20"/>
                <w:szCs w:val="20"/>
                <w:color w:val="auto"/>
              </w:rPr>
            </w:pPr>
            <w:r>
              <w:rPr>
                <w:rFonts w:ascii="Arial" w:cs="Arial" w:eastAsia="Arial" w:hAnsi="Arial"/>
                <w:sz w:val="16"/>
                <w:szCs w:val="16"/>
                <w:color w:val="auto"/>
              </w:rPr>
              <w:t>Appendix 2A - Application for quotation of securities</w:t>
            </w:r>
          </w:p>
        </w:tc>
        <w:tc>
          <w:tcPr>
            <w:tcW w:w="2380" w:type="dxa"/>
            <w:vAlign w:val="bottom"/>
          </w:tcPr>
          <w:p>
            <w:pPr>
              <w:jc w:val="right"/>
              <w:spacing w:after="0"/>
              <w:rPr>
                <w:sz w:val="20"/>
                <w:szCs w:val="20"/>
                <w:color w:val="auto"/>
              </w:rPr>
            </w:pPr>
            <w:r>
              <w:rPr>
                <w:rFonts w:ascii="Arial" w:cs="Arial" w:eastAsia="Arial" w:hAnsi="Arial"/>
                <w:sz w:val="15"/>
                <w:szCs w:val="15"/>
                <w:color w:val="auto"/>
              </w:rPr>
              <w:t>6 / 6</w:t>
            </w:r>
          </w:p>
        </w:tc>
      </w:tr>
      <w:tr>
        <w:trPr>
          <w:trHeight w:val="508"/>
        </w:trPr>
        <w:tc>
          <w:tcPr>
            <w:tcW w:w="88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2026-04-27T05:55:21Z</dcterms:created>
  <dcterms:modified xsi:type="dcterms:W3CDTF">2026-04-27T05:55:21Z</dcterms:modified>
</cp:coreProperties>
</file>