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June,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(Request for trading halt) dated June 16, 2026</w:t>
      </w:r>
    </w:p>
    <w:p>
      <w:pPr>
        <w:spacing w:after="0" w:line="27" w:lineRule="exact"/>
        <w:rPr>
          <w:sz w:val="20"/>
          <w:szCs w:val="20"/>
          <w:color w:val="auto"/>
        </w:rPr>
      </w:pPr>
    </w:p>
    <w:p>
      <w:pPr>
        <w:ind w:right="659"/>
        <w:spacing w:after="0" w:line="260" w:lineRule="auto"/>
        <w:rPr>
          <w:sz w:val="20"/>
          <w:szCs w:val="20"/>
          <w:color w:val="auto"/>
        </w:rPr>
      </w:pPr>
      <w:r>
        <w:rPr>
          <w:rFonts w:ascii="Times New Roman" w:cs="Times New Roman" w:eastAsia="Times New Roman" w:hAnsi="Times New Roman"/>
          <w:sz w:val="18"/>
          <w:szCs w:val="18"/>
          <w:color w:val="auto"/>
        </w:rPr>
        <w:t xml:space="preserve">Exhibit 99.2 </w:t>
      </w:r>
      <w:r>
        <w:rPr>
          <w:rFonts w:ascii="Times New Roman" w:cs="Times New Roman" w:eastAsia="Times New Roman" w:hAnsi="Times New Roman"/>
          <w:sz w:val="18"/>
          <w:szCs w:val="18"/>
          <w:u w:val="single" w:color="auto"/>
          <w:color w:val="0000FF"/>
        </w:rPr>
        <w:t>ASX Announcement (Successful Institutional Placement and Launch of Share Purchase Plan) dated June 17, 2026</w:t>
      </w:r>
      <w:r>
        <w:rPr>
          <w:rFonts w:ascii="Times New Roman" w:cs="Times New Roman" w:eastAsia="Times New Roman" w:hAnsi="Times New Roman"/>
          <w:sz w:val="18"/>
          <w:szCs w:val="18"/>
          <w:color w:val="auto"/>
        </w:rPr>
        <w:t xml:space="preserve"> Exhibit 99.3 </w:t>
      </w:r>
      <w:r>
        <w:rPr>
          <w:rFonts w:ascii="Times New Roman" w:cs="Times New Roman" w:eastAsia="Times New Roman" w:hAnsi="Times New Roman"/>
          <w:sz w:val="18"/>
          <w:szCs w:val="18"/>
          <w:u w:val="single" w:color="auto"/>
          <w:color w:val="0000FF"/>
        </w:rPr>
        <w:t>ASX Announcement (Appendix 3B) dated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710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Long</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Long</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 w:name="page4"/>
    <w:bookmarkEnd w:id="3"/>
    <w:p>
      <w:pPr>
        <w:ind w:left="742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267335</wp:posOffset>
            </wp:positionV>
            <wp:extent cx="579501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50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16 June 2026</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Manager</w:t>
      </w:r>
    </w:p>
    <w:p>
      <w:pPr>
        <w:ind w:left="440"/>
        <w:spacing w:after="0"/>
        <w:rPr>
          <w:sz w:val="20"/>
          <w:szCs w:val="20"/>
          <w:color w:val="auto"/>
        </w:rPr>
      </w:pPr>
      <w:r>
        <w:rPr>
          <w:rFonts w:ascii="Arial" w:cs="Arial" w:eastAsia="Arial" w:hAnsi="Arial"/>
          <w:sz w:val="22"/>
          <w:szCs w:val="22"/>
          <w:color w:val="auto"/>
        </w:rPr>
        <w:t>Market Announcements Office</w:t>
      </w:r>
    </w:p>
    <w:p>
      <w:pPr>
        <w:ind w:left="440"/>
        <w:spacing w:after="0" w:line="230" w:lineRule="auto"/>
        <w:rPr>
          <w:sz w:val="20"/>
          <w:szCs w:val="20"/>
          <w:color w:val="auto"/>
        </w:rPr>
      </w:pPr>
      <w:r>
        <w:rPr>
          <w:rFonts w:ascii="Arial" w:cs="Arial" w:eastAsia="Arial" w:hAnsi="Arial"/>
          <w:sz w:val="22"/>
          <w:szCs w:val="22"/>
          <w:color w:val="auto"/>
        </w:rPr>
        <w:t>Australian Securities Exchange</w:t>
      </w:r>
    </w:p>
    <w:p>
      <w:pPr>
        <w:ind w:left="440"/>
        <w:spacing w:after="0" w:line="231" w:lineRule="auto"/>
        <w:rPr>
          <w:sz w:val="20"/>
          <w:szCs w:val="20"/>
          <w:color w:val="auto"/>
        </w:rPr>
      </w:pPr>
      <w:r>
        <w:rPr>
          <w:rFonts w:ascii="Arial" w:cs="Arial" w:eastAsia="Arial" w:hAnsi="Arial"/>
          <w:sz w:val="22"/>
          <w:szCs w:val="22"/>
          <w:color w:val="auto"/>
        </w:rPr>
        <w:t>39 Martin Place</w:t>
      </w:r>
    </w:p>
    <w:p>
      <w:pPr>
        <w:ind w:left="440"/>
        <w:spacing w:after="0"/>
        <w:rPr>
          <w:sz w:val="20"/>
          <w:szCs w:val="20"/>
          <w:color w:val="auto"/>
        </w:rPr>
      </w:pPr>
      <w:r>
        <w:rPr>
          <w:rFonts w:ascii="Arial" w:cs="Arial" w:eastAsia="Arial" w:hAnsi="Arial"/>
          <w:sz w:val="22"/>
          <w:szCs w:val="22"/>
          <w:color w:val="auto"/>
        </w:rPr>
        <w:t>Sydney NSW 2000</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email</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Request for trading halt – Novonix Limited (ASX:NVX)</w:t>
      </w:r>
    </w:p>
    <w:p>
      <w:pPr>
        <w:spacing w:after="0" w:line="235" w:lineRule="exact"/>
        <w:rPr>
          <w:sz w:val="20"/>
          <w:szCs w:val="20"/>
          <w:color w:val="auto"/>
        </w:rPr>
      </w:pPr>
    </w:p>
    <w:p>
      <w:pPr>
        <w:ind w:left="440" w:right="379"/>
        <w:spacing w:after="0" w:line="245" w:lineRule="auto"/>
        <w:rPr>
          <w:sz w:val="20"/>
          <w:szCs w:val="20"/>
          <w:color w:val="auto"/>
        </w:rPr>
      </w:pPr>
      <w:r>
        <w:rPr>
          <w:rFonts w:ascii="Arial" w:cs="Arial" w:eastAsia="Arial" w:hAnsi="Arial"/>
          <w:sz w:val="22"/>
          <w:szCs w:val="22"/>
          <w:color w:val="auto"/>
        </w:rPr>
        <w:t>Novonix Limited (ACN 157 690 830) (</w:t>
      </w:r>
      <w:r>
        <w:rPr>
          <w:rFonts w:ascii="Arial" w:cs="Arial" w:eastAsia="Arial" w:hAnsi="Arial"/>
          <w:sz w:val="22"/>
          <w:szCs w:val="22"/>
          <w:b w:val="1"/>
          <w:bCs w:val="1"/>
          <w:i w:val="1"/>
          <w:iCs w:val="1"/>
          <w:color w:val="auto"/>
        </w:rPr>
        <w:t>Novonix</w:t>
      </w:r>
      <w:r>
        <w:rPr>
          <w:rFonts w:ascii="Arial" w:cs="Arial" w:eastAsia="Arial" w:hAnsi="Arial"/>
          <w:sz w:val="22"/>
          <w:szCs w:val="22"/>
          <w:color w:val="auto"/>
        </w:rPr>
        <w:t>) requests the implementation of a trading halt in its ordinary shares (ASX Code: NVX) pursuant to Listing Rule 17.1 from the commencement of trading today, 16 June 2026.</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For the purpose of ASX Listing Rule 17.1, Novonix provides the following information:</w:t>
      </w:r>
    </w:p>
    <w:p>
      <w:pPr>
        <w:spacing w:after="0" w:line="218" w:lineRule="exact"/>
        <w:rPr>
          <w:sz w:val="20"/>
          <w:szCs w:val="20"/>
          <w:color w:val="auto"/>
        </w:rPr>
      </w:pPr>
    </w:p>
    <w:p>
      <w:pPr>
        <w:ind w:left="1080" w:right="559" w:hanging="632"/>
        <w:spacing w:after="0" w:line="259"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22"/>
          <w:szCs w:val="22"/>
          <w:color w:val="auto"/>
        </w:rPr>
        <w:t>Novonix is seeking the trading halt in its securities pending an announcement regarding a proposed material capital raising;</w:t>
      </w:r>
    </w:p>
    <w:p>
      <w:pPr>
        <w:spacing w:after="0" w:line="156" w:lineRule="exact"/>
        <w:rPr>
          <w:rFonts w:ascii="Arial" w:cs="Arial" w:eastAsia="Arial" w:hAnsi="Arial"/>
          <w:sz w:val="17"/>
          <w:szCs w:val="17"/>
          <w:color w:val="auto"/>
        </w:rPr>
      </w:pPr>
    </w:p>
    <w:p>
      <w:pPr>
        <w:ind w:left="1080" w:hanging="632"/>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22"/>
          <w:szCs w:val="22"/>
          <w:color w:val="auto"/>
        </w:rPr>
        <w:t>Novonix requests that the trading halt remains in place until the earlier of:</w:t>
      </w:r>
    </w:p>
    <w:p>
      <w:pPr>
        <w:spacing w:after="0" w:line="206" w:lineRule="exact"/>
        <w:rPr>
          <w:rFonts w:ascii="Arial" w:cs="Arial" w:eastAsia="Arial" w:hAnsi="Arial"/>
          <w:sz w:val="17"/>
          <w:szCs w:val="17"/>
          <w:color w:val="auto"/>
        </w:rPr>
      </w:pPr>
    </w:p>
    <w:p>
      <w:pPr>
        <w:ind w:left="1720" w:right="439" w:hanging="638"/>
        <w:spacing w:after="0" w:line="259" w:lineRule="auto"/>
        <w:tabs>
          <w:tab w:leader="none" w:pos="1720" w:val="left"/>
        </w:tabs>
        <w:numPr>
          <w:ilvl w:val="1"/>
          <w:numId w:val="1"/>
        </w:numPr>
        <w:rPr>
          <w:rFonts w:ascii="Arial" w:cs="Arial" w:eastAsia="Arial" w:hAnsi="Arial"/>
          <w:sz w:val="17"/>
          <w:szCs w:val="17"/>
          <w:color w:val="auto"/>
        </w:rPr>
      </w:pPr>
      <w:r>
        <w:rPr>
          <w:rFonts w:ascii="Arial" w:cs="Arial" w:eastAsia="Arial" w:hAnsi="Arial"/>
          <w:sz w:val="22"/>
          <w:szCs w:val="22"/>
          <w:color w:val="auto"/>
        </w:rPr>
        <w:t>Novonix making an announcement to the market regarding the outcome of the proposed capital raising; and</w:t>
      </w:r>
    </w:p>
    <w:p>
      <w:pPr>
        <w:spacing w:after="0" w:line="156" w:lineRule="exact"/>
        <w:rPr>
          <w:rFonts w:ascii="Arial" w:cs="Arial" w:eastAsia="Arial" w:hAnsi="Arial"/>
          <w:sz w:val="17"/>
          <w:szCs w:val="17"/>
          <w:color w:val="auto"/>
        </w:rPr>
      </w:pPr>
    </w:p>
    <w:p>
      <w:pPr>
        <w:ind w:left="1720" w:hanging="638"/>
        <w:spacing w:after="0"/>
        <w:tabs>
          <w:tab w:leader="none" w:pos="1720" w:val="left"/>
        </w:tabs>
        <w:numPr>
          <w:ilvl w:val="1"/>
          <w:numId w:val="1"/>
        </w:numPr>
        <w:rPr>
          <w:rFonts w:ascii="Arial" w:cs="Arial" w:eastAsia="Arial" w:hAnsi="Arial"/>
          <w:sz w:val="17"/>
          <w:szCs w:val="17"/>
          <w:color w:val="auto"/>
        </w:rPr>
      </w:pPr>
      <w:r>
        <w:rPr>
          <w:rFonts w:ascii="Arial" w:cs="Arial" w:eastAsia="Arial" w:hAnsi="Arial"/>
          <w:sz w:val="22"/>
          <w:szCs w:val="22"/>
          <w:color w:val="auto"/>
        </w:rPr>
        <w:t>commencement of trading on 18 June 2026; and</w:t>
      </w:r>
    </w:p>
    <w:p>
      <w:pPr>
        <w:spacing w:after="0" w:line="206" w:lineRule="exact"/>
        <w:rPr>
          <w:rFonts w:ascii="Arial" w:cs="Arial" w:eastAsia="Arial" w:hAnsi="Arial"/>
          <w:sz w:val="17"/>
          <w:szCs w:val="17"/>
          <w:color w:val="auto"/>
        </w:rPr>
      </w:pPr>
    </w:p>
    <w:p>
      <w:pPr>
        <w:ind w:left="1080" w:right="479" w:hanging="632"/>
        <w:spacing w:after="0" w:line="245"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22"/>
          <w:szCs w:val="22"/>
          <w:color w:val="auto"/>
        </w:rPr>
        <w:t>Novonix is not aware of any reason why the trading halt should not be granted or of any other information necessary to inform the market about the trading halt.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Please feel free to contact me if you require any further information.</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259080</wp:posOffset>
            </wp:positionV>
            <wp:extent cx="1543050"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Suzanne Yeates</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Company Secretary</w:t>
      </w:r>
    </w:p>
    <w:p>
      <w:pPr>
        <w:ind w:left="440"/>
        <w:spacing w:after="0"/>
        <w:rPr>
          <w:sz w:val="20"/>
          <w:szCs w:val="20"/>
          <w:color w:val="auto"/>
        </w:rPr>
      </w:pPr>
      <w:r>
        <w:rPr>
          <w:rFonts w:ascii="Arial" w:cs="Arial" w:eastAsia="Arial" w:hAnsi="Arial"/>
          <w:sz w:val="22"/>
          <w:szCs w:val="22"/>
          <w:b w:val="1"/>
          <w:bCs w:val="1"/>
          <w:color w:val="auto"/>
        </w:rPr>
        <w:t>NOVONIX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1335405</wp:posOffset>
            </wp:positionV>
            <wp:extent cx="61722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634365"/>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21"/>
          <w:szCs w:val="21"/>
          <w:color w:val="373A36"/>
        </w:rPr>
        <w:t>1029 West 19</w:t>
      </w:r>
      <w:r>
        <w:rPr>
          <w:rFonts w:ascii="Arial" w:cs="Arial" w:eastAsia="Arial" w:hAnsi="Arial"/>
          <w:sz w:val="27"/>
          <w:szCs w:val="27"/>
          <w:color w:val="373A36"/>
          <w:vertAlign w:val="superscript"/>
        </w:rPr>
        <w:t>th</w:t>
      </w:r>
      <w:r>
        <w:rPr>
          <w:rFonts w:ascii="Arial" w:cs="Arial" w:eastAsia="Arial" w:hAnsi="Arial"/>
          <w:sz w:val="21"/>
          <w:szCs w:val="21"/>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278765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00AE42"/>
        </w:rPr>
        <w:t>ASX ANNOUNCEMENT</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23"/>
          <w:szCs w:val="23"/>
          <w:color w:val="auto"/>
        </w:rPr>
        <w:t xml:space="preserve">(ASX: </w:t>
      </w:r>
      <w:r>
        <w:rPr>
          <w:rFonts w:ascii="Arial" w:cs="Arial" w:eastAsia="Arial" w:hAnsi="Arial"/>
          <w:sz w:val="23"/>
          <w:szCs w:val="23"/>
          <w:b w:val="1"/>
          <w:bCs w:val="1"/>
          <w:color w:val="auto"/>
        </w:rPr>
        <w:t>NVX</w:t>
      </w:r>
      <w:r>
        <w:rPr>
          <w:rFonts w:ascii="Arial" w:cs="Arial" w:eastAsia="Arial" w:hAnsi="Arial"/>
          <w:sz w:val="23"/>
          <w:szCs w:val="23"/>
          <w:color w:val="auto"/>
        </w:rPr>
        <w:t>)</w:t>
      </w:r>
    </w:p>
    <w:p>
      <w:pPr>
        <w:spacing w:after="0" w:line="200" w:lineRule="exact"/>
        <w:rPr>
          <w:sz w:val="20"/>
          <w:szCs w:val="20"/>
          <w:color w:val="auto"/>
        </w:rPr>
      </w:pPr>
    </w:p>
    <w:p>
      <w:pPr>
        <w:spacing w:after="0" w:line="272" w:lineRule="exact"/>
        <w:rPr>
          <w:sz w:val="20"/>
          <w:szCs w:val="20"/>
          <w:color w:val="auto"/>
        </w:rPr>
      </w:pPr>
    </w:p>
    <w:p>
      <w:pPr>
        <w:ind w:left="300" w:right="580"/>
        <w:spacing w:after="0" w:line="272" w:lineRule="auto"/>
        <w:rPr>
          <w:sz w:val="20"/>
          <w:szCs w:val="20"/>
          <w:color w:val="auto"/>
        </w:rPr>
      </w:pPr>
      <w:r>
        <w:rPr>
          <w:rFonts w:ascii="Arial" w:cs="Arial" w:eastAsia="Arial" w:hAnsi="Arial"/>
          <w:sz w:val="22"/>
          <w:szCs w:val="22"/>
          <w:b w:val="1"/>
          <w:bCs w:val="1"/>
          <w:color w:val="auto"/>
        </w:rPr>
        <w:t>NOT FOR RELEASE TO US WIRE SERVICES OR DISTRIBUTION IN THE UNITED STATES</w:t>
      </w:r>
    </w:p>
    <w:p>
      <w:pPr>
        <w:spacing w:after="0" w:line="208" w:lineRule="exact"/>
        <w:rPr>
          <w:sz w:val="20"/>
          <w:szCs w:val="20"/>
          <w:color w:val="auto"/>
        </w:rPr>
      </w:pPr>
    </w:p>
    <w:p>
      <w:pPr>
        <w:ind w:left="300" w:right="100"/>
        <w:spacing w:after="0" w:line="298" w:lineRule="auto"/>
        <w:rPr>
          <w:sz w:val="20"/>
          <w:szCs w:val="20"/>
          <w:color w:val="auto"/>
        </w:rPr>
      </w:pPr>
      <w:r>
        <w:rPr>
          <w:rFonts w:ascii="Arial" w:cs="Arial" w:eastAsia="Arial" w:hAnsi="Arial"/>
          <w:sz w:val="32"/>
          <w:szCs w:val="32"/>
          <w:b w:val="1"/>
          <w:bCs w:val="1"/>
          <w:color w:val="00AE42"/>
        </w:rPr>
        <w:t>Successful Institutional Placement and Launch of Share Purchase Plan</w:t>
      </w:r>
    </w:p>
    <w:p>
      <w:pPr>
        <w:spacing w:after="0" w:line="62" w:lineRule="exact"/>
        <w:rPr>
          <w:sz w:val="20"/>
          <w:szCs w:val="20"/>
          <w:color w:val="auto"/>
        </w:rPr>
      </w:pPr>
    </w:p>
    <w:p>
      <w:pPr>
        <w:ind w:left="1020" w:right="600" w:hanging="307"/>
        <w:spacing w:after="0" w:line="283" w:lineRule="auto"/>
        <w:tabs>
          <w:tab w:leader="none" w:pos="1020" w:val="left"/>
        </w:tabs>
        <w:numPr>
          <w:ilvl w:val="0"/>
          <w:numId w:val="2"/>
        </w:numPr>
        <w:rPr>
          <w:rFonts w:ascii="Times New Roman" w:cs="Times New Roman" w:eastAsia="Times New Roman" w:hAnsi="Times New Roman"/>
          <w:sz w:val="17"/>
          <w:szCs w:val="17"/>
          <w:color w:val="00AE42"/>
        </w:rPr>
      </w:pPr>
      <w:r>
        <w:rPr>
          <w:rFonts w:ascii="Arial" w:cs="Arial" w:eastAsia="Arial" w:hAnsi="Arial"/>
          <w:sz w:val="21"/>
          <w:szCs w:val="21"/>
          <w:color w:val="auto"/>
        </w:rPr>
        <w:t>NOVONIX has received firm commitments from institutional and sophisticated investors for a placement of A$20.7 million fully paid ordinary shares.</w:t>
      </w:r>
    </w:p>
    <w:p>
      <w:pPr>
        <w:spacing w:after="0" w:line="132" w:lineRule="exact"/>
        <w:rPr>
          <w:rFonts w:ascii="Times New Roman" w:cs="Times New Roman" w:eastAsia="Times New Roman" w:hAnsi="Times New Roman"/>
          <w:sz w:val="17"/>
          <w:szCs w:val="17"/>
          <w:color w:val="00AE42"/>
        </w:rPr>
      </w:pPr>
    </w:p>
    <w:p>
      <w:pPr>
        <w:ind w:left="1020" w:hanging="307"/>
        <w:spacing w:after="0"/>
        <w:tabs>
          <w:tab w:leader="none" w:pos="1020" w:val="left"/>
        </w:tabs>
        <w:numPr>
          <w:ilvl w:val="0"/>
          <w:numId w:val="2"/>
        </w:numPr>
        <w:rPr>
          <w:rFonts w:ascii="Times New Roman" w:cs="Times New Roman" w:eastAsia="Times New Roman" w:hAnsi="Times New Roman"/>
          <w:sz w:val="18"/>
          <w:szCs w:val="18"/>
          <w:color w:val="00AE42"/>
        </w:rPr>
      </w:pPr>
      <w:r>
        <w:rPr>
          <w:rFonts w:ascii="Arial" w:cs="Arial" w:eastAsia="Arial" w:hAnsi="Arial"/>
          <w:sz w:val="22"/>
          <w:szCs w:val="22"/>
          <w:color w:val="auto"/>
        </w:rPr>
        <w:t>The offer price of A$0.16 per new share represents a:</w:t>
      </w:r>
    </w:p>
    <w:p>
      <w:pPr>
        <w:spacing w:after="0" w:line="206" w:lineRule="exact"/>
        <w:rPr>
          <w:rFonts w:ascii="Times New Roman" w:cs="Times New Roman" w:eastAsia="Times New Roman" w:hAnsi="Times New Roman"/>
          <w:sz w:val="18"/>
          <w:szCs w:val="18"/>
          <w:color w:val="00AE42"/>
        </w:rPr>
      </w:pPr>
    </w:p>
    <w:p>
      <w:pPr>
        <w:ind w:left="1480" w:right="560" w:hanging="326"/>
        <w:spacing w:after="0" w:line="259" w:lineRule="auto"/>
        <w:tabs>
          <w:tab w:leader="none" w:pos="1480" w:val="left"/>
        </w:tabs>
        <w:numPr>
          <w:ilvl w:val="1"/>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31.2% discount to the 5-day VWAP (up to and including 15 June 2026) of A$0.23; and</w:t>
      </w:r>
    </w:p>
    <w:p>
      <w:pPr>
        <w:spacing w:after="0" w:line="48" w:lineRule="exact"/>
        <w:rPr>
          <w:rFonts w:ascii="Times New Roman" w:cs="Times New Roman" w:eastAsia="Times New Roman" w:hAnsi="Times New Roman"/>
          <w:sz w:val="18"/>
          <w:szCs w:val="18"/>
          <w:color w:val="auto"/>
        </w:rPr>
      </w:pPr>
    </w:p>
    <w:p>
      <w:pPr>
        <w:ind w:left="1480" w:right="600" w:hanging="326"/>
        <w:spacing w:after="0" w:line="259" w:lineRule="auto"/>
        <w:tabs>
          <w:tab w:leader="none" w:pos="1480" w:val="left"/>
        </w:tabs>
        <w:numPr>
          <w:ilvl w:val="1"/>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33.3% discount to the last traded price of NOVONIX shares of A$0.24 on 15 June 2026.</w:t>
      </w:r>
    </w:p>
    <w:p>
      <w:pPr>
        <w:spacing w:after="0" w:line="48" w:lineRule="exact"/>
        <w:rPr>
          <w:rFonts w:ascii="Times New Roman" w:cs="Times New Roman" w:eastAsia="Times New Roman" w:hAnsi="Times New Roman"/>
          <w:sz w:val="18"/>
          <w:szCs w:val="18"/>
          <w:color w:val="auto"/>
        </w:rPr>
      </w:pPr>
    </w:p>
    <w:p>
      <w:pPr>
        <w:ind w:left="1020" w:right="520" w:hanging="307"/>
        <w:spacing w:after="0" w:line="257" w:lineRule="auto"/>
        <w:tabs>
          <w:tab w:leader="none" w:pos="1020" w:val="left"/>
        </w:tabs>
        <w:numPr>
          <w:ilvl w:val="0"/>
          <w:numId w:val="2"/>
        </w:numPr>
        <w:rPr>
          <w:rFonts w:ascii="Times New Roman" w:cs="Times New Roman" w:eastAsia="Times New Roman" w:hAnsi="Times New Roman"/>
          <w:sz w:val="17"/>
          <w:szCs w:val="17"/>
          <w:color w:val="00AE42"/>
        </w:rPr>
      </w:pPr>
      <w:r>
        <w:rPr>
          <w:rFonts w:ascii="Arial" w:cs="Arial" w:eastAsia="Arial" w:hAnsi="Arial"/>
          <w:sz w:val="21"/>
          <w:szCs w:val="21"/>
          <w:color w:val="auto"/>
        </w:rPr>
        <w:t>In addition to the placement, NOVONIX is also offering eligible shareholders the opportunity to acquire new fully paid ordinary shares at an issue price of A$0.16 per new share under a non-underwritten share purchase plan (“SPP”) which, if fully subscribed, will raise approximately A$3.0 million (before costs).</w:t>
      </w:r>
      <w:r>
        <w:rPr>
          <w:rFonts w:ascii="Arial" w:cs="Arial" w:eastAsia="Arial" w:hAnsi="Arial"/>
          <w:sz w:val="27"/>
          <w:szCs w:val="27"/>
          <w:color w:val="auto"/>
          <w:vertAlign w:val="superscript"/>
        </w:rPr>
        <w:t>1</w:t>
      </w:r>
    </w:p>
    <w:p>
      <w:pPr>
        <w:spacing w:after="0" w:line="79" w:lineRule="exact"/>
        <w:rPr>
          <w:rFonts w:ascii="Times New Roman" w:cs="Times New Roman" w:eastAsia="Times New Roman" w:hAnsi="Times New Roman"/>
          <w:sz w:val="17"/>
          <w:szCs w:val="17"/>
          <w:color w:val="00AE42"/>
        </w:rPr>
      </w:pPr>
    </w:p>
    <w:p>
      <w:pPr>
        <w:ind w:left="1020" w:right="460" w:hanging="307"/>
        <w:spacing w:after="0" w:line="245" w:lineRule="auto"/>
        <w:tabs>
          <w:tab w:leader="none" w:pos="1020" w:val="left"/>
        </w:tabs>
        <w:numPr>
          <w:ilvl w:val="0"/>
          <w:numId w:val="2"/>
        </w:numPr>
        <w:rPr>
          <w:rFonts w:ascii="Times New Roman" w:cs="Times New Roman" w:eastAsia="Times New Roman" w:hAnsi="Times New Roman"/>
          <w:sz w:val="18"/>
          <w:szCs w:val="18"/>
          <w:color w:val="00AE42"/>
        </w:rPr>
      </w:pPr>
      <w:r>
        <w:rPr>
          <w:rFonts w:ascii="Arial" w:cs="Arial" w:eastAsia="Arial" w:hAnsi="Arial"/>
          <w:sz w:val="22"/>
          <w:szCs w:val="22"/>
          <w:color w:val="auto"/>
        </w:rPr>
        <w:t>The funds raised under the placement and SPP will be applied towards funding capital expenditure required to support production capacity and meet forecast customer demand.</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3"/>
          <w:szCs w:val="23"/>
          <w:b w:val="1"/>
          <w:bCs w:val="1"/>
          <w:color w:val="auto"/>
        </w:rPr>
        <w:t xml:space="preserve">BRISBANE, Australia, June 17, 2026 </w:t>
      </w:r>
      <w:r>
        <w:rPr>
          <w:rFonts w:ascii="Arial" w:cs="Arial" w:eastAsia="Arial" w:hAnsi="Arial"/>
          <w:sz w:val="21"/>
          <w:szCs w:val="21"/>
          <w:color w:val="auto"/>
        </w:rPr>
        <w:t>- NOVONIX Limited (NASDAQ: NVX, ASX: NVX)</w:t>
      </w:r>
      <w:r>
        <w:rPr>
          <w:rFonts w:ascii="Arial" w:cs="Arial" w:eastAsia="Arial" w:hAnsi="Arial"/>
          <w:sz w:val="23"/>
          <w:szCs w:val="23"/>
          <w:b w:val="1"/>
          <w:bCs w:val="1"/>
          <w:color w:val="auto"/>
        </w:rPr>
        <w:t xml:space="preserve"> </w:t>
      </w:r>
      <w:r>
        <w:rPr>
          <w:rFonts w:ascii="Arial" w:cs="Arial" w:eastAsia="Arial" w:hAnsi="Arial"/>
          <w:sz w:val="21"/>
          <w:szCs w:val="21"/>
          <w:color w:val="auto"/>
        </w:rPr>
        <w:t xml:space="preserve">(“NOVONIX” or “the Company”) a leading battery materials and technology company, is pleased to announce that it has received firm commitments for approximately A$20.7 million through a placement to institutional and sophisticated investors </w:t>
      </w:r>
      <w:r>
        <w:rPr>
          <w:rFonts w:ascii="Arial" w:cs="Arial" w:eastAsia="Arial" w:hAnsi="Arial"/>
          <w:sz w:val="21"/>
          <w:szCs w:val="21"/>
          <w:b w:val="1"/>
          <w:bCs w:val="1"/>
          <w:color w:val="auto"/>
        </w:rPr>
        <w:t>,</w:t>
      </w:r>
      <w:r>
        <w:rPr>
          <w:rFonts w:ascii="Arial" w:cs="Arial" w:eastAsia="Arial" w:hAnsi="Arial"/>
          <w:sz w:val="21"/>
          <w:szCs w:val="21"/>
          <w:color w:val="auto"/>
        </w:rPr>
        <w:t xml:space="preserve"> utilising the Company’s existing 15% placement capacity</w:t>
      </w:r>
      <w:r>
        <w:rPr>
          <w:rFonts w:ascii="Arial" w:cs="Arial" w:eastAsia="Arial" w:hAnsi="Arial"/>
          <w:sz w:val="28"/>
          <w:szCs w:val="28"/>
          <w:color w:val="auto"/>
          <w:vertAlign w:val="superscript"/>
        </w:rPr>
        <w:t>2</w:t>
      </w:r>
      <w:r>
        <w:rPr>
          <w:rFonts w:ascii="Arial" w:cs="Arial" w:eastAsia="Arial" w:hAnsi="Arial"/>
          <w:sz w:val="21"/>
          <w:szCs w:val="21"/>
          <w:color w:val="auto"/>
        </w:rPr>
        <w:t xml:space="preserve"> under ASX Listing Rule 7.1 (“</w:t>
      </w:r>
      <w:r>
        <w:rPr>
          <w:rFonts w:ascii="Arial" w:cs="Arial" w:eastAsia="Arial" w:hAnsi="Arial"/>
          <w:sz w:val="21"/>
          <w:szCs w:val="21"/>
          <w:b w:val="1"/>
          <w:bCs w:val="1"/>
          <w:color w:val="auto"/>
        </w:rPr>
        <w:t>Institutional</w:t>
      </w:r>
      <w:r>
        <w:rPr>
          <w:rFonts w:ascii="Arial" w:cs="Arial" w:eastAsia="Arial" w:hAnsi="Arial"/>
          <w:sz w:val="21"/>
          <w:szCs w:val="21"/>
          <w:color w:val="auto"/>
        </w:rPr>
        <w:t xml:space="preserve"> </w:t>
      </w:r>
      <w:r>
        <w:rPr>
          <w:rFonts w:ascii="Arial" w:cs="Arial" w:eastAsia="Arial" w:hAnsi="Arial"/>
          <w:sz w:val="21"/>
          <w:szCs w:val="21"/>
          <w:b w:val="1"/>
          <w:bCs w:val="1"/>
          <w:color w:val="auto"/>
        </w:rPr>
        <w:t>Placement</w:t>
      </w:r>
      <w:r>
        <w:rPr>
          <w:rFonts w:ascii="Arial" w:cs="Arial" w:eastAsia="Arial" w:hAnsi="Arial"/>
          <w:sz w:val="21"/>
          <w:szCs w:val="21"/>
          <w:color w:val="auto"/>
        </w:rPr>
        <w:t>”).</w:t>
      </w:r>
    </w:p>
    <w:p>
      <w:pPr>
        <w:spacing w:after="0" w:line="320" w:lineRule="exact"/>
        <w:rPr>
          <w:sz w:val="20"/>
          <w:szCs w:val="20"/>
          <w:color w:val="auto"/>
        </w:rPr>
      </w:pPr>
    </w:p>
    <w:p>
      <w:pPr>
        <w:ind w:left="300"/>
        <w:spacing w:after="0" w:line="238" w:lineRule="auto"/>
        <w:rPr>
          <w:sz w:val="20"/>
          <w:szCs w:val="20"/>
          <w:color w:val="auto"/>
        </w:rPr>
      </w:pPr>
      <w:r>
        <w:rPr>
          <w:rFonts w:ascii="Arial" w:cs="Arial" w:eastAsia="Arial" w:hAnsi="Arial"/>
          <w:sz w:val="22"/>
          <w:szCs w:val="22"/>
          <w:color w:val="auto"/>
        </w:rPr>
        <w:t>In conjunction with the Institutional Placement, the Company will also offer eligible shareholders the opportunity to acquire new shares under the SPP at the same price offered to investors under the Institutional Placement, being A$0.16 per fully paid ordinary share (“Offer Price”). The Offer Price represents a 33.3% discount to the last traded price of NOVONIX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90805</wp:posOffset>
            </wp:positionV>
            <wp:extent cx="16884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04" w:lineRule="exact"/>
        <w:rPr>
          <w:sz w:val="20"/>
          <w:szCs w:val="20"/>
          <w:color w:val="auto"/>
        </w:rPr>
      </w:pPr>
    </w:p>
    <w:p>
      <w:pPr>
        <w:ind w:left="300" w:right="80" w:hanging="8"/>
        <w:spacing w:after="0" w:line="220" w:lineRule="auto"/>
        <w:tabs>
          <w:tab w:leader="none" w:pos="412" w:val="left"/>
        </w:tabs>
        <w:numPr>
          <w:ilvl w:val="0"/>
          <w:numId w:val="3"/>
        </w:numPr>
        <w:rPr>
          <w:rFonts w:ascii="Arial" w:cs="Arial" w:eastAsia="Arial" w:hAnsi="Arial"/>
          <w:sz w:val="24"/>
          <w:szCs w:val="24"/>
          <w:color w:val="auto"/>
          <w:vertAlign w:val="superscript"/>
        </w:rPr>
      </w:pPr>
      <w:r>
        <w:rPr>
          <w:rFonts w:ascii="Arial" w:cs="Arial" w:eastAsia="Arial" w:hAnsi="Arial"/>
          <w:sz w:val="16"/>
          <w:szCs w:val="16"/>
          <w:color w:val="auto"/>
        </w:rPr>
        <w:t>The Company intends to apply for waivers from ASX Listing Rules 7.1 and 10.11 to permit the Company to issue new shares under the SPP at a discount greater than 20% of the five-day VWAP. If the ASX does not grant these waivers, the issue of new shares under the SPP would be conditional on receipt of shareholder approval.</w:t>
      </w:r>
    </w:p>
    <w:p>
      <w:pPr>
        <w:spacing w:after="0" w:line="2" w:lineRule="exact"/>
        <w:rPr>
          <w:rFonts w:ascii="Arial" w:cs="Arial" w:eastAsia="Arial" w:hAnsi="Arial"/>
          <w:sz w:val="24"/>
          <w:szCs w:val="24"/>
          <w:color w:val="auto"/>
          <w:vertAlign w:val="superscript"/>
        </w:rPr>
      </w:pPr>
    </w:p>
    <w:p>
      <w:pPr>
        <w:ind w:left="30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6"/>
          <w:szCs w:val="16"/>
          <w:color w:val="auto"/>
        </w:rPr>
        <w:t xml:space="preserve"> Based on remaining placement capacity of approximately 129,334,163 shares under ASX Listing Rule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11875" cy="642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1875" cy="642620"/>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right="380"/>
        <w:spacing w:after="0" w:line="259" w:lineRule="auto"/>
        <w:rPr>
          <w:sz w:val="20"/>
          <w:szCs w:val="20"/>
          <w:color w:val="auto"/>
        </w:rPr>
      </w:pPr>
      <w:r>
        <w:rPr>
          <w:rFonts w:ascii="Arial" w:cs="Arial" w:eastAsia="Arial" w:hAnsi="Arial"/>
          <w:sz w:val="22"/>
          <w:szCs w:val="22"/>
          <w:color w:val="auto"/>
        </w:rPr>
        <w:t>shares on 15 June 2026 of A$0.24 and a 31.2% discount to the 5-day VWAP (up to and including 15 June 2026) of A$0.23.</w:t>
      </w:r>
    </w:p>
    <w:p>
      <w:pPr>
        <w:spacing w:after="0" w:line="89" w:lineRule="exact"/>
        <w:rPr>
          <w:sz w:val="20"/>
          <w:szCs w:val="20"/>
          <w:color w:val="auto"/>
        </w:rPr>
      </w:pPr>
    </w:p>
    <w:p>
      <w:pPr>
        <w:ind w:left="300" w:right="160"/>
        <w:spacing w:after="0" w:line="245" w:lineRule="auto"/>
        <w:rPr>
          <w:sz w:val="20"/>
          <w:szCs w:val="20"/>
          <w:color w:val="auto"/>
        </w:rPr>
      </w:pPr>
      <w:r>
        <w:rPr>
          <w:rFonts w:ascii="Arial" w:cs="Arial" w:eastAsia="Arial" w:hAnsi="Arial"/>
          <w:sz w:val="22"/>
          <w:szCs w:val="22"/>
          <w:color w:val="auto"/>
        </w:rPr>
        <w:t>Proceeds of the Institutional Placement and SPP are expected to be allocated towards capital expenditure required to support production capacity and to meet forecast customer demand.</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Mike O’Kronley, Managing Director and CEO of NOVONIX said:</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This capital raise positions the Company to continue investing in the production capacity</w:t>
      </w:r>
      <w:r>
        <w:rPr>
          <w:rFonts w:ascii="Arial" w:cs="Arial" w:eastAsia="Arial" w:hAnsi="Arial"/>
          <w:sz w:val="22"/>
          <w:szCs w:val="22"/>
          <w:color w:val="auto"/>
        </w:rPr>
        <w:t xml:space="preserve"> </w:t>
      </w:r>
      <w:r>
        <w:rPr>
          <w:rFonts w:ascii="Arial" w:cs="Arial" w:eastAsia="Arial" w:hAnsi="Arial"/>
          <w:sz w:val="22"/>
          <w:szCs w:val="22"/>
          <w:i w:val="1"/>
          <w:iCs w:val="1"/>
          <w:color w:val="auto"/>
        </w:rPr>
        <w:t>required to support forecast customer demand. Expanding our capacity is an important step in executing our growth strategy and reinforcing our ability to supply high-quality material to strategic customers as demand continues to increase.</w:t>
      </w:r>
      <w:r>
        <w:rPr>
          <w:rFonts w:ascii="Arial" w:cs="Arial" w:eastAsia="Arial" w:hAnsi="Arial"/>
          <w:sz w:val="22"/>
          <w:szCs w:val="22"/>
          <w:color w:val="auto"/>
        </w:rPr>
        <w:t>"</w:t>
      </w:r>
    </w:p>
    <w:p>
      <w:pPr>
        <w:spacing w:after="0" w:line="107" w:lineRule="exact"/>
        <w:rPr>
          <w:sz w:val="20"/>
          <w:szCs w:val="20"/>
          <w:color w:val="auto"/>
        </w:rPr>
      </w:pPr>
    </w:p>
    <w:p>
      <w:pPr>
        <w:ind w:left="300" w:right="280"/>
        <w:spacing w:after="0"/>
        <w:rPr>
          <w:sz w:val="20"/>
          <w:szCs w:val="20"/>
          <w:color w:val="auto"/>
        </w:rPr>
      </w:pPr>
      <w:r>
        <w:rPr>
          <w:rFonts w:ascii="Arial" w:cs="Arial" w:eastAsia="Arial" w:hAnsi="Arial"/>
          <w:sz w:val="22"/>
          <w:szCs w:val="22"/>
          <w:color w:val="auto"/>
        </w:rPr>
        <w:t xml:space="preserve">Bell Potter Securities Limited was the </w:t>
      </w:r>
      <w:r>
        <w:rPr>
          <w:rFonts w:ascii="Arial" w:cs="Arial" w:eastAsia="Arial" w:hAnsi="Arial"/>
          <w:sz w:val="22"/>
          <w:szCs w:val="22"/>
          <w:b w:val="1"/>
          <w:bCs w:val="1"/>
          <w:color w:val="auto"/>
        </w:rPr>
        <w:t>Lead Manager</w:t>
      </w:r>
      <w:r>
        <w:rPr>
          <w:rFonts w:ascii="Arial" w:cs="Arial" w:eastAsia="Arial" w:hAnsi="Arial"/>
          <w:sz w:val="22"/>
          <w:szCs w:val="22"/>
          <w:color w:val="auto"/>
        </w:rPr>
        <w:t xml:space="preserve"> for the Institutional Placement and will receive a fee of 5% of funds raised under the Institutional Placement. New shares issued under the Institutional Placement and SPP will rank equally with existing fully paid ordinary shares of NOVONIX from the date of issue.</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23"/>
          <w:szCs w:val="23"/>
          <w:b w:val="1"/>
          <w:bCs w:val="1"/>
          <w:color w:val="auto"/>
        </w:rPr>
        <w:t>Share Purchase Plan Details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Shareholders on the NOVONIX register at 7:00pm (Sydney time) on 16 June 2026</w:t>
      </w:r>
    </w:p>
    <w:p>
      <w:pPr>
        <w:spacing w:after="0" w:line="10" w:lineRule="exact"/>
        <w:rPr>
          <w:sz w:val="20"/>
          <w:szCs w:val="20"/>
          <w:color w:val="auto"/>
        </w:rPr>
      </w:pPr>
    </w:p>
    <w:p>
      <w:pPr>
        <w:ind w:left="300" w:right="30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Record Date</w:t>
      </w:r>
      <w:r>
        <w:rPr>
          <w:rFonts w:ascii="Arial" w:cs="Arial" w:eastAsia="Arial" w:hAnsi="Arial"/>
          <w:sz w:val="21"/>
          <w:szCs w:val="21"/>
          <w:color w:val="auto"/>
        </w:rPr>
        <w:t>") with a registered address in Australia or New Zealand will be entitled to subscribe for up to A$30,000 worth of fully paid ordinary shares per shareholder, free of transaction and brokerage costs, through the SPP, subject to eligibility criteria and other terms and conditions of the SPP which will be set out in the SPP booklet that will be dispatched to eligible shareholders on or around 22 June 2026. Shares issued under the SPP will rank equally with existing fully paid ordinary shares of NOVONIX.</w:t>
      </w:r>
    </w:p>
    <w:p>
      <w:pPr>
        <w:spacing w:after="0" w:line="105" w:lineRule="exact"/>
        <w:rPr>
          <w:sz w:val="20"/>
          <w:szCs w:val="20"/>
          <w:color w:val="auto"/>
        </w:rPr>
      </w:pPr>
    </w:p>
    <w:p>
      <w:pPr>
        <w:ind w:left="300" w:right="40"/>
        <w:spacing w:after="0" w:line="237" w:lineRule="auto"/>
        <w:rPr>
          <w:sz w:val="20"/>
          <w:szCs w:val="20"/>
          <w:color w:val="auto"/>
        </w:rPr>
      </w:pPr>
      <w:r>
        <w:rPr>
          <w:rFonts w:ascii="Arial" w:cs="Arial" w:eastAsia="Arial" w:hAnsi="Arial"/>
          <w:sz w:val="22"/>
          <w:szCs w:val="22"/>
          <w:color w:val="auto"/>
        </w:rPr>
        <w:t>The shares offered under the SPP ("</w:t>
      </w:r>
      <w:r>
        <w:rPr>
          <w:rFonts w:ascii="Arial" w:cs="Arial" w:eastAsia="Arial" w:hAnsi="Arial"/>
          <w:sz w:val="22"/>
          <w:szCs w:val="22"/>
          <w:b w:val="1"/>
          <w:bCs w:val="1"/>
          <w:color w:val="auto"/>
        </w:rPr>
        <w:t>SPP Shares</w:t>
      </w:r>
      <w:r>
        <w:rPr>
          <w:rFonts w:ascii="Arial" w:cs="Arial" w:eastAsia="Arial" w:hAnsi="Arial"/>
          <w:sz w:val="22"/>
          <w:szCs w:val="22"/>
          <w:color w:val="auto"/>
        </w:rPr>
        <w:t>") will be issued to eligible shareholders at the Offer Price, which is the same price as the shares issued to investors under the Institutional Placement. The Offer Price represents a discount of approximately 31.2% of the volume weighted average price of NOVONIX shares over the last 5 days on which trades were recorded before the day on which the SPP (and the Institutional Placement) were announced.</w:t>
      </w:r>
    </w:p>
    <w:p>
      <w:pPr>
        <w:spacing w:after="0" w:line="96" w:lineRule="exact"/>
        <w:rPr>
          <w:sz w:val="20"/>
          <w:szCs w:val="20"/>
          <w:color w:val="auto"/>
        </w:rPr>
      </w:pPr>
    </w:p>
    <w:p>
      <w:pPr>
        <w:ind w:left="300" w:right="20"/>
        <w:spacing w:after="0"/>
        <w:rPr>
          <w:sz w:val="20"/>
          <w:szCs w:val="20"/>
          <w:color w:val="auto"/>
        </w:rPr>
      </w:pPr>
      <w:r>
        <w:rPr>
          <w:rFonts w:ascii="Arial" w:cs="Arial" w:eastAsia="Arial" w:hAnsi="Arial"/>
          <w:sz w:val="22"/>
          <w:szCs w:val="22"/>
          <w:color w:val="auto"/>
        </w:rPr>
        <w:t>The Offer Price is such that the discount offered to eligible shareholders under the SPP is higher than the maximum 20% discount allowable under the Listing Rules. Accordingly, the Company is required to seek and intends to apply for a waiver of ASX Listing Rules 7.1 and 10.11 to permit the Company to issue the SPP Shares at the Offer Price without shareholder approval ("</w:t>
      </w:r>
      <w:r>
        <w:rPr>
          <w:rFonts w:ascii="Arial" w:cs="Arial" w:eastAsia="Arial" w:hAnsi="Arial"/>
          <w:sz w:val="22"/>
          <w:szCs w:val="22"/>
          <w:b w:val="1"/>
          <w:bCs w:val="1"/>
          <w:color w:val="auto"/>
        </w:rPr>
        <w:t>Waivers</w:t>
      </w:r>
      <w:r>
        <w:rPr>
          <w:rFonts w:ascii="Arial" w:cs="Arial" w:eastAsia="Arial" w:hAnsi="Arial"/>
          <w:sz w:val="22"/>
          <w:szCs w:val="22"/>
          <w:color w:val="auto"/>
        </w:rPr>
        <w:t>").</w:t>
      </w:r>
    </w:p>
    <w:p>
      <w:pPr>
        <w:spacing w:after="0" w:line="99" w:lineRule="exact"/>
        <w:rPr>
          <w:sz w:val="20"/>
          <w:szCs w:val="20"/>
          <w:color w:val="auto"/>
        </w:rPr>
      </w:pPr>
    </w:p>
    <w:p>
      <w:pPr>
        <w:ind w:left="300" w:right="360"/>
        <w:spacing w:after="0"/>
        <w:rPr>
          <w:sz w:val="20"/>
          <w:szCs w:val="20"/>
          <w:color w:val="auto"/>
        </w:rPr>
      </w:pPr>
      <w:r>
        <w:rPr>
          <w:rFonts w:ascii="Arial" w:cs="Arial" w:eastAsia="Arial" w:hAnsi="Arial"/>
          <w:sz w:val="22"/>
          <w:szCs w:val="22"/>
          <w:color w:val="auto"/>
        </w:rPr>
        <w:t>In the event that the Waivers are not granted, the Company intends to seek shareholder approval to issue the SPP Shares at the Offer Price. Accordingly, the issue of the SPP Shares is conditional on receipt of the Waivers or, if the Waivers are not granted, shareholder approval being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111875" cy="642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1875" cy="642620"/>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right="40"/>
        <w:spacing w:after="0" w:line="245" w:lineRule="auto"/>
        <w:rPr>
          <w:sz w:val="20"/>
          <w:szCs w:val="20"/>
          <w:color w:val="auto"/>
        </w:rPr>
      </w:pPr>
      <w:r>
        <w:rPr>
          <w:rFonts w:ascii="Arial" w:cs="Arial" w:eastAsia="Arial" w:hAnsi="Arial"/>
          <w:sz w:val="22"/>
          <w:szCs w:val="22"/>
          <w:color w:val="auto"/>
        </w:rPr>
        <w:t>The SPP will open on 22 June 2026 and will close at 5:00pm (Sydney time) on Friday, 14 August 2026. If the Waivers are not granted, a general meeting will be convened during the SPP offer period seeking shareholder approval for the issue of SPP Shares.</w:t>
      </w:r>
    </w:p>
    <w:p>
      <w:pPr>
        <w:spacing w:after="0" w:line="103" w:lineRule="exact"/>
        <w:rPr>
          <w:sz w:val="20"/>
          <w:szCs w:val="20"/>
          <w:color w:val="auto"/>
        </w:rPr>
      </w:pPr>
    </w:p>
    <w:p>
      <w:pPr>
        <w:ind w:left="300" w:right="340"/>
        <w:spacing w:after="0" w:line="259" w:lineRule="auto"/>
        <w:rPr>
          <w:sz w:val="20"/>
          <w:szCs w:val="20"/>
          <w:color w:val="auto"/>
        </w:rPr>
      </w:pPr>
      <w:r>
        <w:rPr>
          <w:rFonts w:ascii="Arial" w:cs="Arial" w:eastAsia="Arial" w:hAnsi="Arial"/>
          <w:sz w:val="22"/>
          <w:szCs w:val="22"/>
          <w:color w:val="auto"/>
        </w:rPr>
        <w:t>The SPP recognizes the support of NOVONIX shareholders. If fully subscribed, the SPP will raise approximately A$3.0 million.</w:t>
      </w:r>
    </w:p>
    <w:p>
      <w:pPr>
        <w:spacing w:after="0" w:line="75" w:lineRule="exact"/>
        <w:rPr>
          <w:sz w:val="20"/>
          <w:szCs w:val="20"/>
          <w:color w:val="auto"/>
        </w:rPr>
      </w:pPr>
    </w:p>
    <w:p>
      <w:pPr>
        <w:ind w:left="300" w:right="520"/>
        <w:spacing w:after="0"/>
        <w:rPr>
          <w:sz w:val="20"/>
          <w:szCs w:val="20"/>
          <w:color w:val="auto"/>
        </w:rPr>
      </w:pPr>
      <w:r>
        <w:rPr>
          <w:rFonts w:ascii="Arial" w:cs="Arial" w:eastAsia="Arial" w:hAnsi="Arial"/>
          <w:sz w:val="22"/>
          <w:szCs w:val="22"/>
          <w:color w:val="auto"/>
        </w:rPr>
        <w:t>NOVONIX may decide to scale back applications should it receive demand above that target or to issue a higher amount, at its absolute discretion (and, if a higher amount is issued, to either accept applications in full or scale back applications, at its absolute discretion).</w:t>
      </w:r>
    </w:p>
    <w:p>
      <w:pPr>
        <w:spacing w:after="0" w:line="109" w:lineRule="exact"/>
        <w:rPr>
          <w:sz w:val="20"/>
          <w:szCs w:val="20"/>
          <w:color w:val="auto"/>
        </w:rPr>
      </w:pPr>
    </w:p>
    <w:p>
      <w:pPr>
        <w:ind w:left="300" w:right="600"/>
        <w:spacing w:after="0" w:line="262" w:lineRule="auto"/>
        <w:rPr>
          <w:sz w:val="20"/>
          <w:szCs w:val="20"/>
          <w:color w:val="auto"/>
        </w:rPr>
      </w:pPr>
      <w:r>
        <w:rPr>
          <w:rFonts w:ascii="Arial" w:cs="Arial" w:eastAsia="Arial" w:hAnsi="Arial"/>
          <w:sz w:val="21"/>
          <w:szCs w:val="21"/>
          <w:color w:val="auto"/>
        </w:rPr>
        <w:t>Further information surrounding the SPP will be included in the SPP Booklet which is expected to be distributed on or around Monday, 22 June 2026. Existing, eligible shareholders wishing to participate in the SPP should read the SPP Booklet carefully.</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23"/>
          <w:szCs w:val="23"/>
          <w:b w:val="1"/>
          <w:bCs w:val="1"/>
          <w:color w:val="auto"/>
        </w:rPr>
        <w:t>Indicative Timetable</w:t>
      </w:r>
    </w:p>
    <w:p>
      <w:pPr>
        <w:spacing w:after="0" w:line="133" w:lineRule="exact"/>
        <w:rPr>
          <w:sz w:val="20"/>
          <w:szCs w:val="20"/>
          <w:color w:val="auto"/>
        </w:rPr>
      </w:pPr>
    </w:p>
    <w:tbl>
      <w:tblPr>
        <w:tblLayout w:type="fixed"/>
        <w:tblInd w:w="310" w:type="dxa"/>
        <w:tblCellMar>
          <w:top w:w="0" w:type="dxa"/>
          <w:left w:w="0" w:type="dxa"/>
          <w:bottom w:w="0" w:type="dxa"/>
          <w:right w:w="0" w:type="dxa"/>
        </w:tblCellMar>
      </w:tblPr>
      <w:tr>
        <w:trPr>
          <w:trHeight w:val="372"/>
        </w:trPr>
        <w:tc>
          <w:tcPr>
            <w:tcW w:w="4860" w:type="dxa"/>
            <w:vAlign w:val="bottom"/>
            <w:tcBorders>
              <w:left w:val="single" w:sz="8" w:color="CFD2D3"/>
              <w:bottom w:val="single" w:sz="8" w:color="00AE42"/>
            </w:tcBorders>
            <w:shd w:val="clear" w:color="auto" w:fill="00AE42"/>
          </w:tcPr>
          <w:p>
            <w:pPr>
              <w:ind w:left="100"/>
              <w:spacing w:after="0"/>
              <w:rPr>
                <w:sz w:val="20"/>
                <w:szCs w:val="20"/>
                <w:color w:val="auto"/>
              </w:rPr>
            </w:pPr>
            <w:r>
              <w:rPr>
                <w:rFonts w:ascii="Arial" w:cs="Arial" w:eastAsia="Arial" w:hAnsi="Arial"/>
                <w:sz w:val="23"/>
                <w:szCs w:val="23"/>
                <w:b w:val="1"/>
                <w:bCs w:val="1"/>
                <w:color w:val="FFFFFF"/>
              </w:rPr>
              <w:t>Institutional Placement</w:t>
            </w:r>
          </w:p>
        </w:tc>
        <w:tc>
          <w:tcPr>
            <w:tcW w:w="3800" w:type="dxa"/>
            <w:vAlign w:val="bottom"/>
            <w:tcBorders>
              <w:bottom w:val="single" w:sz="8" w:color="00AE42"/>
              <w:right w:val="single" w:sz="8" w:color="CFD2D3"/>
            </w:tcBorders>
            <w:shd w:val="clear" w:color="auto" w:fill="00AE42"/>
          </w:tcPr>
          <w:p>
            <w:pPr>
              <w:ind w:left="220"/>
              <w:spacing w:after="0"/>
              <w:rPr>
                <w:sz w:val="20"/>
                <w:szCs w:val="20"/>
                <w:color w:val="auto"/>
              </w:rPr>
            </w:pPr>
            <w:r>
              <w:rPr>
                <w:rFonts w:ascii="Arial" w:cs="Arial" w:eastAsia="Arial" w:hAnsi="Arial"/>
                <w:sz w:val="23"/>
                <w:szCs w:val="23"/>
                <w:b w:val="1"/>
                <w:bCs w:val="1"/>
                <w:color w:val="FFFFFF"/>
              </w:rPr>
              <w:t>Date</w:t>
            </w:r>
          </w:p>
        </w:tc>
        <w:tc>
          <w:tcPr>
            <w:tcW w:w="0" w:type="dxa"/>
            <w:vAlign w:val="bottom"/>
          </w:tcPr>
          <w:p>
            <w:pPr>
              <w:spacing w:after="0"/>
              <w:rPr>
                <w:sz w:val="1"/>
                <w:szCs w:val="1"/>
                <w:color w:val="auto"/>
              </w:rPr>
            </w:pPr>
          </w:p>
        </w:tc>
      </w:tr>
      <w:tr>
        <w:trPr>
          <w:trHeight w:val="402"/>
        </w:trPr>
        <w:tc>
          <w:tcPr>
            <w:tcW w:w="4860" w:type="dxa"/>
            <w:vAlign w:val="bottom"/>
            <w:tcBorders>
              <w:left w:val="single" w:sz="8" w:color="CFD2D3"/>
            </w:tcBorders>
          </w:tcPr>
          <w:p>
            <w:pPr>
              <w:ind w:left="100"/>
              <w:spacing w:after="0"/>
              <w:rPr>
                <w:sz w:val="20"/>
                <w:szCs w:val="20"/>
                <w:color w:val="auto"/>
              </w:rPr>
            </w:pPr>
            <w:r>
              <w:rPr>
                <w:rFonts w:ascii="Arial" w:cs="Arial" w:eastAsia="Arial" w:hAnsi="Arial"/>
                <w:sz w:val="20"/>
                <w:szCs w:val="20"/>
                <w:color w:val="auto"/>
              </w:rPr>
              <w:t>Trading halt</w:t>
            </w:r>
          </w:p>
        </w:tc>
        <w:tc>
          <w:tcPr>
            <w:tcW w:w="3800" w:type="dxa"/>
            <w:vAlign w:val="bottom"/>
            <w:tcBorders>
              <w:right w:val="single" w:sz="8" w:color="CFD2D3"/>
            </w:tcBorders>
          </w:tcPr>
          <w:p>
            <w:pPr>
              <w:ind w:left="220"/>
              <w:spacing w:after="0"/>
              <w:rPr>
                <w:sz w:val="20"/>
                <w:szCs w:val="20"/>
                <w:color w:val="auto"/>
              </w:rPr>
            </w:pPr>
            <w:r>
              <w:rPr>
                <w:rFonts w:ascii="Arial" w:cs="Arial" w:eastAsia="Arial" w:hAnsi="Arial"/>
                <w:sz w:val="20"/>
                <w:szCs w:val="20"/>
                <w:color w:val="auto"/>
              </w:rPr>
              <w:t>Tuesday, 16 June 2026</w:t>
            </w:r>
          </w:p>
        </w:tc>
        <w:tc>
          <w:tcPr>
            <w:tcW w:w="0" w:type="dxa"/>
            <w:vAlign w:val="bottom"/>
          </w:tcPr>
          <w:p>
            <w:pPr>
              <w:spacing w:after="0"/>
              <w:rPr>
                <w:sz w:val="1"/>
                <w:szCs w:val="1"/>
                <w:color w:val="auto"/>
              </w:rPr>
            </w:pPr>
          </w:p>
        </w:tc>
      </w:tr>
      <w:tr>
        <w:trPr>
          <w:trHeight w:val="441"/>
        </w:trPr>
        <w:tc>
          <w:tcPr>
            <w:tcW w:w="4860" w:type="dxa"/>
            <w:vAlign w:val="bottom"/>
            <w:tcBorders>
              <w:left w:val="single" w:sz="8" w:color="CFD2D3"/>
            </w:tcBorders>
          </w:tcPr>
          <w:p>
            <w:pPr>
              <w:ind w:left="100"/>
              <w:spacing w:after="0"/>
              <w:rPr>
                <w:sz w:val="20"/>
                <w:szCs w:val="20"/>
                <w:color w:val="auto"/>
              </w:rPr>
            </w:pPr>
            <w:r>
              <w:rPr>
                <w:rFonts w:ascii="Arial" w:cs="Arial" w:eastAsia="Arial" w:hAnsi="Arial"/>
                <w:sz w:val="20"/>
                <w:szCs w:val="20"/>
                <w:color w:val="auto"/>
              </w:rPr>
              <w:t>Trading halt lifted and announcement of Institutional</w:t>
            </w:r>
          </w:p>
        </w:tc>
        <w:tc>
          <w:tcPr>
            <w:tcW w:w="3800" w:type="dxa"/>
            <w:vAlign w:val="bottom"/>
            <w:tcBorders>
              <w:right w:val="single" w:sz="8" w:color="CFD2D3"/>
            </w:tcBorders>
            <w:vMerge w:val="restart"/>
          </w:tcPr>
          <w:p>
            <w:pPr>
              <w:ind w:left="220"/>
              <w:spacing w:after="0"/>
              <w:rPr>
                <w:sz w:val="20"/>
                <w:szCs w:val="20"/>
                <w:color w:val="auto"/>
              </w:rPr>
            </w:pPr>
            <w:r>
              <w:rPr>
                <w:rFonts w:ascii="Arial" w:cs="Arial" w:eastAsia="Arial" w:hAnsi="Arial"/>
                <w:sz w:val="20"/>
                <w:szCs w:val="20"/>
                <w:color w:val="auto"/>
              </w:rPr>
              <w:t>Wednesday, 17 June 2026</w:t>
            </w:r>
          </w:p>
        </w:tc>
        <w:tc>
          <w:tcPr>
            <w:tcW w:w="0" w:type="dxa"/>
            <w:vAlign w:val="bottom"/>
          </w:tcPr>
          <w:p>
            <w:pPr>
              <w:spacing w:after="0"/>
              <w:rPr>
                <w:sz w:val="1"/>
                <w:szCs w:val="1"/>
                <w:color w:val="auto"/>
              </w:rPr>
            </w:pPr>
          </w:p>
        </w:tc>
      </w:tr>
      <w:tr>
        <w:trPr>
          <w:trHeight w:val="153"/>
        </w:trPr>
        <w:tc>
          <w:tcPr>
            <w:tcW w:w="4860" w:type="dxa"/>
            <w:vAlign w:val="bottom"/>
            <w:tcBorders>
              <w:left w:val="single" w:sz="8" w:color="CFD2D3"/>
            </w:tcBorders>
            <w:vMerge w:val="restart"/>
          </w:tcPr>
          <w:p>
            <w:pPr>
              <w:ind w:left="100"/>
              <w:spacing w:after="0"/>
              <w:rPr>
                <w:sz w:val="20"/>
                <w:szCs w:val="20"/>
                <w:color w:val="auto"/>
              </w:rPr>
            </w:pPr>
            <w:r>
              <w:rPr>
                <w:rFonts w:ascii="Arial" w:cs="Arial" w:eastAsia="Arial" w:hAnsi="Arial"/>
                <w:sz w:val="20"/>
                <w:szCs w:val="20"/>
                <w:color w:val="auto"/>
              </w:rPr>
              <w:t>Placement and SPP</w:t>
            </w:r>
          </w:p>
        </w:tc>
        <w:tc>
          <w:tcPr>
            <w:tcW w:w="3800" w:type="dxa"/>
            <w:vAlign w:val="bottom"/>
            <w:tcBorders>
              <w:right w:val="single" w:sz="8" w:color="CFD2D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Borders>
              <w:left w:val="single" w:sz="8" w:color="CFD2D3"/>
            </w:tcBorders>
            <w:vMerge w:val="continue"/>
          </w:tcPr>
          <w:p>
            <w:pPr>
              <w:spacing w:after="0"/>
              <w:rPr>
                <w:sz w:val="9"/>
                <w:szCs w:val="9"/>
                <w:color w:val="auto"/>
              </w:rPr>
            </w:pPr>
          </w:p>
        </w:tc>
        <w:tc>
          <w:tcPr>
            <w:tcW w:w="3800" w:type="dxa"/>
            <w:vAlign w:val="bottom"/>
            <w:tcBorders>
              <w:right w:val="single" w:sz="8" w:color="CFD2D3"/>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4860" w:type="dxa"/>
            <w:vAlign w:val="bottom"/>
            <w:tcBorders>
              <w:left w:val="single" w:sz="8" w:color="CFD2D3"/>
            </w:tcBorders>
          </w:tcPr>
          <w:p>
            <w:pPr>
              <w:ind w:left="100"/>
              <w:spacing w:after="0"/>
              <w:rPr>
                <w:sz w:val="20"/>
                <w:szCs w:val="20"/>
                <w:color w:val="auto"/>
              </w:rPr>
            </w:pPr>
            <w:r>
              <w:rPr>
                <w:rFonts w:ascii="Arial" w:cs="Arial" w:eastAsia="Arial" w:hAnsi="Arial"/>
                <w:sz w:val="20"/>
                <w:szCs w:val="20"/>
                <w:color w:val="auto"/>
              </w:rPr>
              <w:t>Settlement of new shares under the Institutional</w:t>
            </w:r>
          </w:p>
        </w:tc>
        <w:tc>
          <w:tcPr>
            <w:tcW w:w="3800" w:type="dxa"/>
            <w:vAlign w:val="bottom"/>
            <w:tcBorders>
              <w:right w:val="single" w:sz="8" w:color="CFD2D3"/>
            </w:tcBorders>
            <w:vMerge w:val="restart"/>
          </w:tcPr>
          <w:p>
            <w:pPr>
              <w:ind w:left="220"/>
              <w:spacing w:after="0"/>
              <w:rPr>
                <w:sz w:val="20"/>
                <w:szCs w:val="20"/>
                <w:color w:val="auto"/>
              </w:rPr>
            </w:pPr>
            <w:r>
              <w:rPr>
                <w:rFonts w:ascii="Arial" w:cs="Arial" w:eastAsia="Arial" w:hAnsi="Arial"/>
                <w:sz w:val="20"/>
                <w:szCs w:val="20"/>
                <w:color w:val="auto"/>
              </w:rPr>
              <w:t>Friday, 19 June 2026</w:t>
            </w:r>
          </w:p>
        </w:tc>
        <w:tc>
          <w:tcPr>
            <w:tcW w:w="0" w:type="dxa"/>
            <w:vAlign w:val="bottom"/>
          </w:tcPr>
          <w:p>
            <w:pPr>
              <w:spacing w:after="0"/>
              <w:rPr>
                <w:sz w:val="1"/>
                <w:szCs w:val="1"/>
                <w:color w:val="auto"/>
              </w:rPr>
            </w:pPr>
          </w:p>
        </w:tc>
      </w:tr>
      <w:tr>
        <w:trPr>
          <w:trHeight w:val="153"/>
        </w:trPr>
        <w:tc>
          <w:tcPr>
            <w:tcW w:w="4860" w:type="dxa"/>
            <w:vAlign w:val="bottom"/>
            <w:tcBorders>
              <w:left w:val="single" w:sz="8" w:color="CFD2D3"/>
            </w:tcBorders>
            <w:vMerge w:val="restart"/>
          </w:tcPr>
          <w:p>
            <w:pPr>
              <w:ind w:left="100"/>
              <w:spacing w:after="0"/>
              <w:rPr>
                <w:sz w:val="20"/>
                <w:szCs w:val="20"/>
                <w:color w:val="auto"/>
              </w:rPr>
            </w:pPr>
            <w:r>
              <w:rPr>
                <w:rFonts w:ascii="Arial" w:cs="Arial" w:eastAsia="Arial" w:hAnsi="Arial"/>
                <w:sz w:val="20"/>
                <w:szCs w:val="20"/>
                <w:color w:val="auto"/>
              </w:rPr>
              <w:t>Placement</w:t>
            </w:r>
          </w:p>
        </w:tc>
        <w:tc>
          <w:tcPr>
            <w:tcW w:w="3800" w:type="dxa"/>
            <w:vAlign w:val="bottom"/>
            <w:tcBorders>
              <w:right w:val="single" w:sz="8" w:color="CFD2D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Borders>
              <w:left w:val="single" w:sz="8" w:color="CFD2D3"/>
            </w:tcBorders>
            <w:vMerge w:val="continue"/>
          </w:tcPr>
          <w:p>
            <w:pPr>
              <w:spacing w:after="0"/>
              <w:rPr>
                <w:sz w:val="9"/>
                <w:szCs w:val="9"/>
                <w:color w:val="auto"/>
              </w:rPr>
            </w:pPr>
          </w:p>
        </w:tc>
        <w:tc>
          <w:tcPr>
            <w:tcW w:w="3800" w:type="dxa"/>
            <w:vAlign w:val="bottom"/>
            <w:tcBorders>
              <w:right w:val="single" w:sz="8" w:color="CFD2D3"/>
            </w:tcBorders>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4860" w:type="dxa"/>
            <w:vAlign w:val="bottom"/>
            <w:tcBorders>
              <w:left w:val="single" w:sz="8" w:color="CFD2D3"/>
            </w:tcBorders>
          </w:tcPr>
          <w:p>
            <w:pPr>
              <w:ind w:left="100"/>
              <w:spacing w:after="0"/>
              <w:rPr>
                <w:sz w:val="20"/>
                <w:szCs w:val="20"/>
                <w:color w:val="auto"/>
              </w:rPr>
            </w:pPr>
            <w:r>
              <w:rPr>
                <w:rFonts w:ascii="Arial" w:cs="Arial" w:eastAsia="Arial" w:hAnsi="Arial"/>
                <w:sz w:val="20"/>
                <w:szCs w:val="20"/>
                <w:color w:val="auto"/>
              </w:rPr>
              <w:t>Allotment of new shares under the Institutional</w:t>
            </w:r>
          </w:p>
        </w:tc>
        <w:tc>
          <w:tcPr>
            <w:tcW w:w="3800" w:type="dxa"/>
            <w:vAlign w:val="bottom"/>
            <w:tcBorders>
              <w:right w:val="single" w:sz="8" w:color="CFD2D3"/>
            </w:tcBorders>
            <w:vMerge w:val="restart"/>
          </w:tcPr>
          <w:p>
            <w:pPr>
              <w:ind w:left="220"/>
              <w:spacing w:after="0"/>
              <w:rPr>
                <w:sz w:val="20"/>
                <w:szCs w:val="20"/>
                <w:color w:val="auto"/>
              </w:rPr>
            </w:pPr>
            <w:r>
              <w:rPr>
                <w:rFonts w:ascii="Arial" w:cs="Arial" w:eastAsia="Arial" w:hAnsi="Arial"/>
                <w:sz w:val="20"/>
                <w:szCs w:val="20"/>
                <w:color w:val="auto"/>
              </w:rPr>
              <w:t>Monday, 22 June 2026</w:t>
            </w:r>
          </w:p>
        </w:tc>
        <w:tc>
          <w:tcPr>
            <w:tcW w:w="0" w:type="dxa"/>
            <w:vAlign w:val="bottom"/>
          </w:tcPr>
          <w:p>
            <w:pPr>
              <w:spacing w:after="0"/>
              <w:rPr>
                <w:sz w:val="1"/>
                <w:szCs w:val="1"/>
                <w:color w:val="auto"/>
              </w:rPr>
            </w:pPr>
          </w:p>
        </w:tc>
      </w:tr>
      <w:tr>
        <w:trPr>
          <w:trHeight w:val="153"/>
        </w:trPr>
        <w:tc>
          <w:tcPr>
            <w:tcW w:w="4860" w:type="dxa"/>
            <w:vAlign w:val="bottom"/>
            <w:tcBorders>
              <w:left w:val="single" w:sz="8" w:color="CFD2D3"/>
            </w:tcBorders>
            <w:vMerge w:val="restart"/>
          </w:tcPr>
          <w:p>
            <w:pPr>
              <w:ind w:left="100"/>
              <w:spacing w:after="0"/>
              <w:rPr>
                <w:sz w:val="20"/>
                <w:szCs w:val="20"/>
                <w:color w:val="auto"/>
              </w:rPr>
            </w:pPr>
            <w:r>
              <w:rPr>
                <w:rFonts w:ascii="Arial" w:cs="Arial" w:eastAsia="Arial" w:hAnsi="Arial"/>
                <w:sz w:val="20"/>
                <w:szCs w:val="20"/>
                <w:color w:val="auto"/>
              </w:rPr>
              <w:t>Placement</w:t>
            </w:r>
          </w:p>
        </w:tc>
        <w:tc>
          <w:tcPr>
            <w:tcW w:w="3800" w:type="dxa"/>
            <w:vAlign w:val="bottom"/>
            <w:tcBorders>
              <w:right w:val="single" w:sz="8" w:color="CFD2D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Borders>
              <w:left w:val="single" w:sz="8" w:color="CFD2D3"/>
            </w:tcBorders>
            <w:vMerge w:val="continue"/>
          </w:tcPr>
          <w:p>
            <w:pPr>
              <w:spacing w:after="0"/>
              <w:rPr>
                <w:sz w:val="9"/>
                <w:szCs w:val="9"/>
                <w:color w:val="auto"/>
              </w:rPr>
            </w:pPr>
          </w:p>
        </w:tc>
        <w:tc>
          <w:tcPr>
            <w:tcW w:w="3800" w:type="dxa"/>
            <w:vAlign w:val="bottom"/>
            <w:tcBorders>
              <w:right w:val="single" w:sz="8" w:color="CFD2D3"/>
            </w:tcBorders>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860" w:type="dxa"/>
            <w:vAlign w:val="bottom"/>
            <w:tcBorders>
              <w:left w:val="single" w:sz="8" w:color="CFD2D3"/>
            </w:tcBorders>
          </w:tcPr>
          <w:p>
            <w:pPr>
              <w:spacing w:after="0"/>
              <w:rPr>
                <w:sz w:val="7"/>
                <w:szCs w:val="7"/>
                <w:color w:val="auto"/>
              </w:rPr>
            </w:pPr>
          </w:p>
        </w:tc>
        <w:tc>
          <w:tcPr>
            <w:tcW w:w="3800" w:type="dxa"/>
            <w:vAlign w:val="bottom"/>
            <w:tcBorders>
              <w:right w:val="single" w:sz="8" w:color="CFD2D3"/>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4860" w:type="dxa"/>
            <w:vAlign w:val="bottom"/>
            <w:tcBorders>
              <w:left w:val="single" w:sz="8" w:color="CFD2D3"/>
              <w:bottom w:val="single" w:sz="8" w:color="00AE42"/>
            </w:tcBorders>
            <w:shd w:val="clear" w:color="auto" w:fill="00AE42"/>
          </w:tcPr>
          <w:p>
            <w:pPr>
              <w:ind w:left="100"/>
              <w:spacing w:after="0"/>
              <w:rPr>
                <w:sz w:val="20"/>
                <w:szCs w:val="20"/>
                <w:color w:val="auto"/>
              </w:rPr>
            </w:pPr>
            <w:r>
              <w:rPr>
                <w:rFonts w:ascii="Arial" w:cs="Arial" w:eastAsia="Arial" w:hAnsi="Arial"/>
                <w:sz w:val="23"/>
                <w:szCs w:val="23"/>
                <w:b w:val="1"/>
                <w:bCs w:val="1"/>
                <w:color w:val="FFFFFF"/>
              </w:rPr>
              <w:t>SPP</w:t>
            </w:r>
          </w:p>
        </w:tc>
        <w:tc>
          <w:tcPr>
            <w:tcW w:w="3800" w:type="dxa"/>
            <w:vAlign w:val="bottom"/>
            <w:tcBorders>
              <w:bottom w:val="single" w:sz="8" w:color="00AE42"/>
              <w:right w:val="single" w:sz="8" w:color="CFD2D3"/>
            </w:tcBorders>
            <w:shd w:val="clear" w:color="auto" w:fill="00AE42"/>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860" w:type="dxa"/>
            <w:vAlign w:val="bottom"/>
            <w:tcBorders>
              <w:left w:val="single" w:sz="8" w:color="CFD2D3"/>
            </w:tcBorders>
          </w:tcPr>
          <w:p>
            <w:pPr>
              <w:ind w:left="100"/>
              <w:spacing w:after="0"/>
              <w:rPr>
                <w:sz w:val="20"/>
                <w:szCs w:val="20"/>
                <w:color w:val="auto"/>
              </w:rPr>
            </w:pPr>
            <w:r>
              <w:rPr>
                <w:rFonts w:ascii="Arial" w:cs="Arial" w:eastAsia="Arial" w:hAnsi="Arial"/>
                <w:sz w:val="20"/>
                <w:szCs w:val="20"/>
                <w:color w:val="auto"/>
              </w:rPr>
              <w:t>Record date for the SPP</w:t>
            </w:r>
          </w:p>
        </w:tc>
        <w:tc>
          <w:tcPr>
            <w:tcW w:w="3800" w:type="dxa"/>
            <w:vAlign w:val="bottom"/>
            <w:tcBorders>
              <w:right w:val="single" w:sz="8" w:color="CFD2D3"/>
            </w:tcBorders>
          </w:tcPr>
          <w:p>
            <w:pPr>
              <w:ind w:left="220"/>
              <w:spacing w:after="0"/>
              <w:rPr>
                <w:sz w:val="20"/>
                <w:szCs w:val="20"/>
                <w:color w:val="auto"/>
              </w:rPr>
            </w:pPr>
            <w:r>
              <w:rPr>
                <w:rFonts w:ascii="Arial" w:cs="Arial" w:eastAsia="Arial" w:hAnsi="Arial"/>
                <w:sz w:val="20"/>
                <w:szCs w:val="20"/>
                <w:color w:val="auto"/>
              </w:rPr>
              <w:t>7:00pm on Tuesday, 16 June 2026</w:t>
            </w:r>
          </w:p>
        </w:tc>
        <w:tc>
          <w:tcPr>
            <w:tcW w:w="0" w:type="dxa"/>
            <w:vAlign w:val="bottom"/>
          </w:tcPr>
          <w:p>
            <w:pPr>
              <w:spacing w:after="0"/>
              <w:rPr>
                <w:sz w:val="1"/>
                <w:szCs w:val="1"/>
                <w:color w:val="auto"/>
              </w:rPr>
            </w:pPr>
          </w:p>
        </w:tc>
      </w:tr>
      <w:tr>
        <w:trPr>
          <w:trHeight w:val="432"/>
        </w:trPr>
        <w:tc>
          <w:tcPr>
            <w:tcW w:w="4860" w:type="dxa"/>
            <w:vAlign w:val="bottom"/>
            <w:tcBorders>
              <w:left w:val="single" w:sz="8" w:color="CFD2D3"/>
            </w:tcBorders>
          </w:tcPr>
          <w:p>
            <w:pPr>
              <w:ind w:left="100"/>
              <w:spacing w:after="0"/>
              <w:rPr>
                <w:sz w:val="20"/>
                <w:szCs w:val="20"/>
                <w:color w:val="auto"/>
              </w:rPr>
            </w:pPr>
            <w:r>
              <w:rPr>
                <w:rFonts w:ascii="Arial" w:cs="Arial" w:eastAsia="Arial" w:hAnsi="Arial"/>
                <w:sz w:val="20"/>
                <w:szCs w:val="20"/>
                <w:color w:val="auto"/>
              </w:rPr>
              <w:t>Dispatch of SPP Booklet and SPP opens</w:t>
            </w:r>
          </w:p>
        </w:tc>
        <w:tc>
          <w:tcPr>
            <w:tcW w:w="3800" w:type="dxa"/>
            <w:vAlign w:val="bottom"/>
            <w:tcBorders>
              <w:right w:val="single" w:sz="8" w:color="CFD2D3"/>
            </w:tcBorders>
          </w:tcPr>
          <w:p>
            <w:pPr>
              <w:ind w:left="220"/>
              <w:spacing w:after="0"/>
              <w:rPr>
                <w:sz w:val="20"/>
                <w:szCs w:val="20"/>
                <w:color w:val="auto"/>
              </w:rPr>
            </w:pPr>
            <w:r>
              <w:rPr>
                <w:rFonts w:ascii="Arial" w:cs="Arial" w:eastAsia="Arial" w:hAnsi="Arial"/>
                <w:sz w:val="20"/>
                <w:szCs w:val="20"/>
                <w:color w:val="auto"/>
              </w:rPr>
              <w:t>Monday, 22 June 2026</w:t>
            </w:r>
          </w:p>
        </w:tc>
        <w:tc>
          <w:tcPr>
            <w:tcW w:w="0" w:type="dxa"/>
            <w:vAlign w:val="bottom"/>
          </w:tcPr>
          <w:p>
            <w:pPr>
              <w:spacing w:after="0"/>
              <w:rPr>
                <w:sz w:val="1"/>
                <w:szCs w:val="1"/>
                <w:color w:val="auto"/>
              </w:rPr>
            </w:pPr>
          </w:p>
        </w:tc>
      </w:tr>
      <w:tr>
        <w:trPr>
          <w:trHeight w:val="603"/>
        </w:trPr>
        <w:tc>
          <w:tcPr>
            <w:tcW w:w="4860" w:type="dxa"/>
            <w:vAlign w:val="bottom"/>
            <w:tcBorders>
              <w:left w:val="single" w:sz="8" w:color="CFD2D3"/>
            </w:tcBorders>
          </w:tcPr>
          <w:p>
            <w:pPr>
              <w:ind w:left="100"/>
              <w:spacing w:after="0"/>
              <w:rPr>
                <w:sz w:val="20"/>
                <w:szCs w:val="20"/>
                <w:color w:val="auto"/>
              </w:rPr>
            </w:pPr>
            <w:r>
              <w:rPr>
                <w:rFonts w:ascii="Arial" w:cs="Arial" w:eastAsia="Arial" w:hAnsi="Arial"/>
                <w:sz w:val="20"/>
                <w:szCs w:val="20"/>
                <w:color w:val="auto"/>
              </w:rPr>
              <w:t>SPP closes</w:t>
            </w:r>
            <w:r>
              <w:rPr>
                <w:rFonts w:ascii="Arial" w:cs="Arial" w:eastAsia="Arial" w:hAnsi="Arial"/>
                <w:sz w:val="26"/>
                <w:szCs w:val="26"/>
                <w:color w:val="auto"/>
                <w:vertAlign w:val="superscript"/>
              </w:rPr>
              <w:t>3</w:t>
            </w:r>
          </w:p>
        </w:tc>
        <w:tc>
          <w:tcPr>
            <w:tcW w:w="3800" w:type="dxa"/>
            <w:vAlign w:val="bottom"/>
            <w:tcBorders>
              <w:right w:val="single" w:sz="8" w:color="CFD2D3"/>
            </w:tcBorders>
          </w:tcPr>
          <w:p>
            <w:pPr>
              <w:ind w:left="220"/>
              <w:spacing w:after="0"/>
              <w:rPr>
                <w:sz w:val="20"/>
                <w:szCs w:val="20"/>
                <w:color w:val="auto"/>
              </w:rPr>
            </w:pPr>
            <w:r>
              <w:rPr>
                <w:rFonts w:ascii="Arial" w:cs="Arial" w:eastAsia="Arial" w:hAnsi="Arial"/>
                <w:sz w:val="20"/>
                <w:szCs w:val="20"/>
                <w:color w:val="auto"/>
              </w:rPr>
              <w:t>5:00pm on Friday, 14 August 2026</w:t>
            </w:r>
          </w:p>
        </w:tc>
        <w:tc>
          <w:tcPr>
            <w:tcW w:w="0" w:type="dxa"/>
            <w:vAlign w:val="bottom"/>
          </w:tcPr>
          <w:p>
            <w:pPr>
              <w:spacing w:after="0"/>
              <w:rPr>
                <w:sz w:val="1"/>
                <w:szCs w:val="1"/>
                <w:color w:val="auto"/>
              </w:rPr>
            </w:pPr>
          </w:p>
        </w:tc>
      </w:tr>
      <w:tr>
        <w:trPr>
          <w:trHeight w:val="116"/>
        </w:trPr>
        <w:tc>
          <w:tcPr>
            <w:tcW w:w="4860" w:type="dxa"/>
            <w:vAlign w:val="bottom"/>
            <w:tcBorders>
              <w:left w:val="single" w:sz="8" w:color="CFD2D3"/>
              <w:bottom w:val="single" w:sz="8" w:color="CFD2D3"/>
            </w:tcBorders>
          </w:tcPr>
          <w:p>
            <w:pPr>
              <w:spacing w:after="0"/>
              <w:rPr>
                <w:sz w:val="10"/>
                <w:szCs w:val="10"/>
                <w:color w:val="auto"/>
              </w:rPr>
            </w:pPr>
          </w:p>
        </w:tc>
        <w:tc>
          <w:tcPr>
            <w:tcW w:w="3800" w:type="dxa"/>
            <w:vAlign w:val="bottom"/>
            <w:tcBorders>
              <w:bottom w:val="single" w:sz="8" w:color="CFD2D3"/>
              <w:right w:val="single" w:sz="8" w:color="CFD2D3"/>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00" w:right="40"/>
        <w:spacing w:after="0" w:line="237" w:lineRule="auto"/>
        <w:rPr>
          <w:sz w:val="20"/>
          <w:szCs w:val="20"/>
          <w:color w:val="auto"/>
        </w:rPr>
      </w:pPr>
      <w:r>
        <w:rPr>
          <w:rFonts w:ascii="Arial" w:cs="Arial" w:eastAsia="Arial" w:hAnsi="Arial"/>
          <w:sz w:val="20"/>
          <w:szCs w:val="20"/>
          <w:b w:val="1"/>
          <w:bCs w:val="1"/>
          <w:i w:val="1"/>
          <w:iCs w:val="1"/>
          <w:color w:val="auto"/>
        </w:rPr>
        <w:t xml:space="preserve">Note: </w:t>
      </w:r>
      <w:r>
        <w:rPr>
          <w:rFonts w:ascii="Arial" w:cs="Arial" w:eastAsia="Arial" w:hAnsi="Arial"/>
          <w:sz w:val="20"/>
          <w:szCs w:val="20"/>
          <w:i w:val="1"/>
          <w:iCs w:val="1"/>
          <w:color w:val="auto"/>
        </w:rPr>
        <w:t>All dates are indicative only. All dates and times are Sydney time, unless otherwise specified.</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NVX reserves the right to vary the date of the Institutional Placement and SPP, in general or in particular cases, at its discretion, subject to the ASX Listing Rules and the Corporations Act, including closing them early or terminating them altogether, without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452755</wp:posOffset>
            </wp:positionV>
            <wp:extent cx="16884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300" w:right="220" w:hanging="8"/>
        <w:spacing w:after="0" w:line="226" w:lineRule="auto"/>
        <w:tabs>
          <w:tab w:leader="none" w:pos="417" w:val="left"/>
        </w:tabs>
        <w:numPr>
          <w:ilvl w:val="0"/>
          <w:numId w:val="4"/>
        </w:numPr>
        <w:rPr>
          <w:rFonts w:ascii="Arial" w:cs="Arial" w:eastAsia="Arial" w:hAnsi="Arial"/>
          <w:sz w:val="24"/>
          <w:szCs w:val="24"/>
          <w:color w:val="auto"/>
          <w:vertAlign w:val="superscript"/>
        </w:rPr>
      </w:pPr>
      <w:r>
        <w:rPr>
          <w:rFonts w:ascii="Arial" w:cs="Arial" w:eastAsia="Arial" w:hAnsi="Arial"/>
          <w:sz w:val="18"/>
          <w:szCs w:val="18"/>
          <w:color w:val="auto"/>
        </w:rPr>
        <w:t>The offer period under the SPP contemplates the possibility that, if the Waivers are not granted, a general meeting will need to be called to seek shareholder approval for the issue of the SPP Shares. The Company reserves the right to close the SPP early or to withdraw the SPP, in its sole and absolute discretion, by lodging an announcement with ASX.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6111875" cy="642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1875" cy="642620"/>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222885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right="920"/>
        <w:spacing w:after="0"/>
        <w:rPr>
          <w:sz w:val="20"/>
          <w:szCs w:val="20"/>
          <w:color w:val="auto"/>
        </w:rPr>
      </w:pPr>
      <w:r>
        <w:rPr>
          <w:rFonts w:ascii="Arial" w:cs="Arial" w:eastAsia="Arial" w:hAnsi="Arial"/>
          <w:sz w:val="22"/>
          <w:szCs w:val="22"/>
          <w:color w:val="auto"/>
        </w:rPr>
        <w:t xml:space="preserve">This announcement has been authorised for release by Ron Edmonds, Chairman. </w:t>
      </w:r>
      <w:r>
        <w:rPr>
          <w:rFonts w:ascii="Arial" w:cs="Arial" w:eastAsia="Arial" w:hAnsi="Arial"/>
          <w:sz w:val="22"/>
          <w:szCs w:val="22"/>
          <w:b w:val="1"/>
          <w:bCs w:val="1"/>
          <w:color w:val="auto"/>
        </w:rPr>
        <w:t>About NOVONIX</w:t>
      </w:r>
    </w:p>
    <w:p>
      <w:pPr>
        <w:ind w:left="300" w:right="100"/>
        <w:spacing w:after="0" w:line="233" w:lineRule="auto"/>
        <w:rPr>
          <w:sz w:val="20"/>
          <w:szCs w:val="20"/>
          <w:color w:val="auto"/>
        </w:rPr>
      </w:pPr>
      <w:r>
        <w:rPr>
          <w:rFonts w:ascii="Arial" w:cs="Arial" w:eastAsia="Arial" w:hAnsi="Arial"/>
          <w:sz w:val="22"/>
          <w:szCs w:val="22"/>
          <w:color w:val="auto"/>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To learn more, visit us at www.novonixgroup.com or on LinkedIn and X.</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For NOVONIX Limited</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Investors: ir@novonixgroup.com</w:t>
      </w:r>
    </w:p>
    <w:p>
      <w:pPr>
        <w:ind w:left="300"/>
        <w:spacing w:after="0"/>
        <w:rPr>
          <w:sz w:val="20"/>
          <w:szCs w:val="20"/>
          <w:color w:val="auto"/>
        </w:rPr>
      </w:pPr>
      <w:r>
        <w:rPr>
          <w:rFonts w:ascii="Arial" w:cs="Arial" w:eastAsia="Arial" w:hAnsi="Arial"/>
          <w:sz w:val="22"/>
          <w:szCs w:val="22"/>
          <w:color w:val="auto"/>
        </w:rPr>
        <w:t>Media: media@novonixgroup.com</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 w:lineRule="exact"/>
        <w:rPr>
          <w:sz w:val="20"/>
          <w:szCs w:val="20"/>
          <w:color w:val="auto"/>
        </w:rPr>
      </w:pPr>
    </w:p>
    <w:p>
      <w:pPr>
        <w:ind w:left="300" w:right="60"/>
        <w:spacing w:after="0" w:line="236" w:lineRule="auto"/>
        <w:rPr>
          <w:sz w:val="20"/>
          <w:szCs w:val="20"/>
          <w:color w:val="auto"/>
        </w:rPr>
      </w:pPr>
      <w:r>
        <w:rPr>
          <w:rFonts w:ascii="Arial" w:cs="Arial" w:eastAsia="Arial" w:hAnsi="Arial"/>
          <w:sz w:val="18"/>
          <w:szCs w:val="18"/>
          <w:color w:val="auto"/>
        </w:rPr>
        <w:t>This announcement contains certain "forward-looking statements" that are based on management's belief, assumptions, opinions and expectations and on information currently available to management as of the date of this announcement. All statements other than statements of historical facts included in this announcement, including statements regarding NOVONIX’s forecasts, business strategy, plans and objectives, are forward-looking statements. These statements can generally be identified by the use of forward-looking words, such as "expect", "anticipate", "likely", "intend", "should", "could", "may", "predict", "plan", "propose", "will", "believe", "forecast", "estimate", or "target". Such statements may be based on underlying assumptions (which could prove incorrect or may be subject to change) and are subject to the risks disclosed in the Company’s most recent annual report on Form 20-F,many of which are outside the control of NOVONIX and are not reliably predictable, and which could cause actual results to differ materially, in terms of quantum and timing, from any results described in this announcement. You are strongly cautioned not to place undue reliance on forward-looking statements. Copies of the Company’s most recent annual report may be obtained by visiting the Company’s Investor Relations website at www.novonixgroup.com or the SEC’s website at www.sec.gov.</w:t>
      </w:r>
    </w:p>
    <w:p>
      <w:pPr>
        <w:spacing w:after="0" w:line="103"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color w:val="auto"/>
        </w:rPr>
        <w:t>No representation is made by NOVONIX or the Lead Manager or any of their respective related bodies corporate, shareholders or affiliates, or any of each of their respective officers, directors, partners, employees, consultants, contractors, affiliates, agents, advisers or representatives (each a “Limited Party” and together, the “Limited Parties”) as to the correctness of the forward-looking statements on or after the date of this announcement. NOVONIX does not undertake any obligation to publicly release the result of any revisions to these forward-looking statements to reflect events or circumstances after the date of this announcement or to reflect the occurrence of unanticipated events. To the maximum extent permitted by law, NOVONIX, the Lead Manager and each of their respective Limited Parties disclaim any responsibility for the accuracy or completeness of any forward-looking statements whether as a result of new information, future events or results or otherwise. To the maximum extent permitted by law, each of NOVONIX, the Lead Manager and each of their respective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1252855</wp:posOffset>
            </wp:positionV>
            <wp:extent cx="6111875" cy="642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1875" cy="642620"/>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300" w:right="140"/>
        <w:spacing w:after="0" w:line="253" w:lineRule="auto"/>
        <w:rPr>
          <w:sz w:val="20"/>
          <w:szCs w:val="20"/>
          <w:color w:val="auto"/>
        </w:rPr>
      </w:pPr>
      <w:r>
        <w:rPr>
          <w:rFonts w:ascii="Arial" w:cs="Arial" w:eastAsia="Arial" w:hAnsi="Arial"/>
          <w:sz w:val="18"/>
          <w:szCs w:val="18"/>
          <w:color w:val="auto"/>
        </w:rPr>
        <w:t>Parties disclaim any responsibility to update or revise any forward-looking statement to reflect any change in NOVONIX's financial condition, status or affairs or any change in the events, conditions or circumstances on which a statement is based, except as required by Australian law.</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Disclaimer</w:t>
      </w:r>
    </w:p>
    <w:p>
      <w:pPr>
        <w:spacing w:after="0" w:line="14"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The Lead Manager has not independently verified any of the information in this announcement and has not authorised, permitted or caused the issue or lodgement, submission, dispatch or provision of this announcement and there is no statement in this announcement which is based on any statement made by the Lead Manager.</w:t>
      </w:r>
    </w:p>
    <w:p>
      <w:pPr>
        <w:spacing w:after="0" w:line="99"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To the maximum extent permitted by law, the Lead Manager (1) expressly excludes and disclaims all liabilities for losses incurred as the result of any information in this announcement being inaccurate or incomplete. This includes, without limitation, any responsibility or liability arising from fault, negligence or negligent misstatement, for any loss (whether foreseeable or not and whether direct, indirect, incidental, consequential, special or economic loss or damage) including, without limitation, any loss of profit or anticipated profit, fines or penalties, loss of business or anticipated savings, loss of use, business interruption or loss of goodwill, bargain or opportunities, arising from the use of, or reliance on anything contained in or omitted from, this announcement or its contents or otherwise arising in connection with it; (2) disclaims any obligation or undertaking to release any updates or revisions to the information in this announcement to reflect any change in expectations or assumptions; and (3) does not make any representation or warranty (whether express or implied) in this announcement as to the fairness, currency, accuracy, timeliness, reliability or completeness of any information, opinions or conclusions in this announcement (including the accuracy, likelihood of achievement or reasonableness of any forecast returns, yields, future income or other statements in relation to future matters) nor do they make any representation or warranty (whether express or implied) that this announcement contains all material information about NOVONIX or which a prospective investor may require in evaluating a possible investment in NOVONIX or the acquisition of securities in NOVONIX, or in respect of the likelihood of fulfilment of any forward-looking statement or any event or results expressed or implied in any forward-looking statement.</w:t>
      </w:r>
    </w:p>
    <w:p>
      <w:pPr>
        <w:spacing w:after="0" w:line="114"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This announcement does not form the basis of any contract or commitment, nor does it contain any financial product or investment advice. It does not take into account any investor’s investment objectives, financial situation or particular needs. Recipients should make their own enquiries in relation to any investment decisions and it has not been assumed that recipients will use the information in this announcement as part of their investment decision without making their own enquiries and obtaining independent advice. The Lead Manager makes no recommendation as to whether any person should participate in the Institutional Placement or the SPP.</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Further, the Lead Manager does not intend that any of its representatives act or be responsible as a fiduciary, or assume any duty, to any investor (or its officers, employees, consultants, agents, security holders, creditors or any other person). Except where otherwise agreed expressly in writing, the Lead expressly disclaims any fiduciary obligations to or duty of care to or relationship with any investor or potential investor in connection with the Institutional Placement or any member in connection with the SPP or otherwise, and by accessing this announcement each recipient expressly disclaims any such fiduciary relationship and agrees that it is responsible for making its own independent judgements with respect to the Institutional Placement and the SPP and any other transaction or other matter arising in connection with this announcement.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Determination of eligibility of investors</w:t>
      </w:r>
    </w:p>
    <w:p>
      <w:pPr>
        <w:spacing w:after="0" w:line="14" w:lineRule="exact"/>
        <w:rPr>
          <w:sz w:val="20"/>
          <w:szCs w:val="20"/>
          <w:color w:val="auto"/>
        </w:rPr>
      </w:pPr>
    </w:p>
    <w:p>
      <w:pPr>
        <w:ind w:left="300" w:right="80"/>
        <w:spacing w:after="0" w:line="239" w:lineRule="auto"/>
        <w:rPr>
          <w:sz w:val="20"/>
          <w:szCs w:val="20"/>
          <w:color w:val="auto"/>
        </w:rPr>
      </w:pPr>
      <w:r>
        <w:rPr>
          <w:rFonts w:ascii="Arial" w:cs="Arial" w:eastAsia="Arial" w:hAnsi="Arial"/>
          <w:sz w:val="18"/>
          <w:szCs w:val="18"/>
          <w:color w:val="auto"/>
        </w:rPr>
        <w:t>Determination of eligibility of investors for the purposes of the Institutional Placement is determined by reference to a number of matters, including legal and regulatory requirements, logistical and registry constraints and the discretion of NOVONIX and the Lead Manager. To the maximum extent permitted by law, NOVONIX, the Lead Manager and their respective officers and representatives each disclaim any duty or liability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726440</wp:posOffset>
            </wp:positionV>
            <wp:extent cx="6111875" cy="642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1875" cy="642620"/>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right="280"/>
        <w:spacing w:after="0" w:line="271" w:lineRule="auto"/>
        <w:rPr>
          <w:sz w:val="20"/>
          <w:szCs w:val="20"/>
          <w:color w:val="auto"/>
        </w:rPr>
      </w:pPr>
      <w:r>
        <w:rPr>
          <w:rFonts w:ascii="Arial" w:cs="Arial" w:eastAsia="Arial" w:hAnsi="Arial"/>
          <w:sz w:val="18"/>
          <w:szCs w:val="18"/>
          <w:color w:val="auto"/>
        </w:rPr>
        <w:t>limitation, any liability arising from fault, negligence or negligent misstatement) in respect of the exercise of that discretion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6950075</wp:posOffset>
            </wp:positionV>
            <wp:extent cx="6111875" cy="642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1875" cy="642620"/>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International Offer Restrictions</w:t>
      </w:r>
    </w:p>
    <w:p>
      <w:pPr>
        <w:spacing w:after="0" w:line="144" w:lineRule="exact"/>
        <w:rPr>
          <w:sz w:val="20"/>
          <w:szCs w:val="20"/>
          <w:color w:val="auto"/>
        </w:rPr>
      </w:pPr>
    </w:p>
    <w:p>
      <w:pPr>
        <w:ind w:left="300" w:right="100"/>
        <w:spacing w:after="0" w:line="247" w:lineRule="auto"/>
        <w:rPr>
          <w:sz w:val="20"/>
          <w:szCs w:val="20"/>
          <w:color w:val="auto"/>
        </w:rPr>
      </w:pPr>
      <w:r>
        <w:rPr>
          <w:rFonts w:ascii="Arial" w:cs="Arial" w:eastAsia="Arial" w:hAnsi="Arial"/>
          <w:sz w:val="18"/>
          <w:szCs w:val="18"/>
          <w:color w:val="auto"/>
        </w:rPr>
        <w:t>This announcement does not constitute an offer of new ordinary shares (“New Shares”) of the Company in any jurisdiction in which it would be unlawful. In particular, this announcement may not be distributed to any person, and the New Shares may not be offered or sold, in any country outside Australia except to the extent permitted below.</w:t>
      </w:r>
    </w:p>
    <w:p>
      <w:pPr>
        <w:spacing w:after="0" w:line="93" w:lineRule="exact"/>
        <w:rPr>
          <w:sz w:val="20"/>
          <w:szCs w:val="20"/>
          <w:color w:val="auto"/>
        </w:rPr>
      </w:pPr>
    </w:p>
    <w:p>
      <w:pPr>
        <w:ind w:left="300" w:right="40"/>
        <w:spacing w:after="0" w:line="244" w:lineRule="auto"/>
        <w:rPr>
          <w:sz w:val="20"/>
          <w:szCs w:val="20"/>
          <w:color w:val="auto"/>
        </w:rPr>
      </w:pPr>
      <w:r>
        <w:rPr>
          <w:rFonts w:ascii="Arial" w:cs="Arial" w:eastAsia="Arial" w:hAnsi="Arial"/>
          <w:sz w:val="18"/>
          <w:szCs w:val="18"/>
          <w:b w:val="1"/>
          <w:bCs w:val="1"/>
          <w:color w:val="auto"/>
        </w:rPr>
        <w:t xml:space="preserve">Germany: </w:t>
      </w:r>
      <w:r>
        <w:rPr>
          <w:rFonts w:ascii="Arial" w:cs="Arial" w:eastAsia="Arial" w:hAnsi="Arial"/>
          <w:sz w:val="18"/>
          <w:szCs w:val="18"/>
          <w:color w:val="auto"/>
        </w:rPr>
        <w:t>This announcement has not been, and will not be, registered with or approved by any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 in Germany or elsewhere in the European Union. Accordingly, this announcement may not be made available, nor may the New Shares be offered for sale, in Germany except in circumstances that do not require a prospectus under Article 1(4) of Regulation (EU) 2017/1129 of the European Parliament and the Council of the European Union (the “Prospectus Regulation”).</w:t>
      </w:r>
    </w:p>
    <w:p>
      <w:pPr>
        <w:spacing w:after="0" w:line="109" w:lineRule="exact"/>
        <w:rPr>
          <w:sz w:val="20"/>
          <w:szCs w:val="20"/>
          <w:color w:val="auto"/>
        </w:rPr>
      </w:pPr>
    </w:p>
    <w:p>
      <w:pPr>
        <w:ind w:left="300" w:right="80"/>
        <w:spacing w:after="0" w:line="271" w:lineRule="auto"/>
        <w:rPr>
          <w:sz w:val="20"/>
          <w:szCs w:val="20"/>
          <w:color w:val="auto"/>
        </w:rPr>
      </w:pPr>
      <w:r>
        <w:rPr>
          <w:rFonts w:ascii="Arial" w:cs="Arial" w:eastAsia="Arial" w:hAnsi="Arial"/>
          <w:sz w:val="18"/>
          <w:szCs w:val="18"/>
          <w:color w:val="auto"/>
        </w:rPr>
        <w:t>In accordance with Article 1(4)(a) of the Prospectus Regulation, an offer of New Shares in Germany is limited to persons who are “qualified investors” (as defined in Article 2(e) of the Prospectus Regulation).</w:t>
      </w:r>
    </w:p>
    <w:p>
      <w:pPr>
        <w:spacing w:after="0" w:line="86" w:lineRule="exact"/>
        <w:rPr>
          <w:sz w:val="20"/>
          <w:szCs w:val="20"/>
          <w:color w:val="auto"/>
        </w:rPr>
      </w:pPr>
    </w:p>
    <w:p>
      <w:pPr>
        <w:ind w:left="300" w:right="40"/>
        <w:spacing w:after="0" w:line="242" w:lineRule="auto"/>
        <w:rPr>
          <w:sz w:val="20"/>
          <w:szCs w:val="20"/>
          <w:color w:val="auto"/>
        </w:rPr>
      </w:pPr>
      <w:r>
        <w:rPr>
          <w:rFonts w:ascii="Arial" w:cs="Arial" w:eastAsia="Arial" w:hAnsi="Arial"/>
          <w:sz w:val="18"/>
          <w:szCs w:val="18"/>
          <w:b w:val="1"/>
          <w:bCs w:val="1"/>
          <w:color w:val="auto"/>
        </w:rPr>
        <w:t xml:space="preserve">Hong Kong: </w:t>
      </w:r>
      <w:r>
        <w:rPr>
          <w:rFonts w:ascii="Arial" w:cs="Arial" w:eastAsia="Arial" w:hAnsi="Arial"/>
          <w:sz w:val="18"/>
          <w:szCs w:val="18"/>
          <w:color w:val="auto"/>
        </w:rPr>
        <w:t>WARNING: This announcement has not been, and will not be, registered as a prospectus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Companies (Winding Up and Miscellaneous Provisions) Ordinance (Cap. 32) of Hong Kong, nor has it been authorised by the Securities and Futures Commission in Hong Kong pursuant to the Securities and Futures Ordinance (Cap. 571) of the Laws of Hong Kong (the “SFO”). Accordingly, this announcement may not be distributed, and the New Shares may not be offered or sold, in Hong Kong other than to “professional investors” (as defined in the SFO and any rules made under that ordinance).</w:t>
      </w:r>
    </w:p>
    <w:p>
      <w:pPr>
        <w:spacing w:after="0" w:line="98" w:lineRule="exact"/>
        <w:rPr>
          <w:sz w:val="20"/>
          <w:szCs w:val="20"/>
          <w:color w:val="auto"/>
        </w:rPr>
      </w:pPr>
    </w:p>
    <w:p>
      <w:pPr>
        <w:ind w:left="300" w:right="40"/>
        <w:spacing w:after="0"/>
        <w:rPr>
          <w:sz w:val="20"/>
          <w:szCs w:val="20"/>
          <w:color w:val="auto"/>
        </w:rPr>
      </w:pPr>
      <w:r>
        <w:rPr>
          <w:rFonts w:ascii="Arial" w:cs="Arial" w:eastAsia="Arial" w:hAnsi="Arial"/>
          <w:sz w:val="18"/>
          <w:szCs w:val="18"/>
          <w:color w:val="auto"/>
        </w:rPr>
        <w:t>No advertisement, invitation or document relating to the New Shares has been or will be issued, or has been or will be in the possession of any person for the purpose of issue, in Hong Kong or elsewhere that is directed at, or the contents of which are likely to be accessed or read by, the public of Hong Kong (except if permitted to do so under the securities laws of Hong Kong) other than with respect to New Shares that are or are intended to be disposed of only to persons outside Hong Kong or only to professional investors. No person allotted New Shares may sell, or offer to sell, such securities in circumstances that amount to an offer to the public in Hong Kong within six months following the date of issue of such securities.</w:t>
      </w:r>
    </w:p>
    <w:p>
      <w:pPr>
        <w:spacing w:after="0" w:line="117" w:lineRule="exact"/>
        <w:rPr>
          <w:sz w:val="20"/>
          <w:szCs w:val="20"/>
          <w:color w:val="auto"/>
        </w:rPr>
      </w:pPr>
    </w:p>
    <w:p>
      <w:pPr>
        <w:ind w:left="300" w:right="120"/>
        <w:spacing w:after="0" w:line="253" w:lineRule="auto"/>
        <w:rPr>
          <w:sz w:val="20"/>
          <w:szCs w:val="20"/>
          <w:color w:val="auto"/>
        </w:rPr>
      </w:pPr>
      <w:r>
        <w:rPr>
          <w:rFonts w:ascii="Arial" w:cs="Arial" w:eastAsia="Arial" w:hAnsi="Arial"/>
          <w:sz w:val="18"/>
          <w:szCs w:val="18"/>
          <w:color w:val="auto"/>
        </w:rPr>
        <w:t>The contents of this announcement have not been reviewed by any Hong Kong regulatory authority. You are advised to exercise caution in relation to the offer. If you are in doubt about any contents of this announcement , you should obtain independent professional advice.</w:t>
      </w:r>
    </w:p>
    <w:p>
      <w:pPr>
        <w:spacing w:after="0" w:line="101" w:lineRule="exact"/>
        <w:rPr>
          <w:sz w:val="20"/>
          <w:szCs w:val="20"/>
          <w:color w:val="auto"/>
        </w:rPr>
      </w:pPr>
    </w:p>
    <w:p>
      <w:pPr>
        <w:ind w:left="300" w:right="520"/>
        <w:spacing w:after="0" w:line="271" w:lineRule="auto"/>
        <w:rPr>
          <w:sz w:val="20"/>
          <w:szCs w:val="20"/>
          <w:color w:val="auto"/>
        </w:rPr>
      </w:pPr>
      <w:r>
        <w:rPr>
          <w:rFonts w:ascii="Arial" w:cs="Arial" w:eastAsia="Arial" w:hAnsi="Arial"/>
          <w:sz w:val="18"/>
          <w:szCs w:val="18"/>
          <w:b w:val="1"/>
          <w:bCs w:val="1"/>
          <w:color w:val="auto"/>
        </w:rPr>
        <w:t xml:space="preserve">New Zealand: </w:t>
      </w:r>
      <w:r>
        <w:rPr>
          <w:rFonts w:ascii="Arial" w:cs="Arial" w:eastAsia="Arial" w:hAnsi="Arial"/>
          <w:sz w:val="18"/>
          <w:szCs w:val="18"/>
          <w:color w:val="auto"/>
        </w:rPr>
        <w:t>This announcement has not been registered, filed with or approved by any New Zealand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under the Financial Markets Conduct Act 2013 (the “FMC Act”).</w:t>
      </w:r>
    </w:p>
    <w:p>
      <w:pPr>
        <w:spacing w:after="0" w:line="73" w:lineRule="exact"/>
        <w:rPr>
          <w:sz w:val="20"/>
          <w:szCs w:val="20"/>
          <w:color w:val="auto"/>
        </w:rPr>
      </w:pPr>
    </w:p>
    <w:p>
      <w:pPr>
        <w:ind w:left="300" w:right="40"/>
        <w:spacing w:after="0" w:line="271" w:lineRule="auto"/>
        <w:rPr>
          <w:sz w:val="20"/>
          <w:szCs w:val="20"/>
          <w:color w:val="auto"/>
        </w:rPr>
      </w:pPr>
      <w:r>
        <w:rPr>
          <w:rFonts w:ascii="Arial" w:cs="Arial" w:eastAsia="Arial" w:hAnsi="Arial"/>
          <w:sz w:val="18"/>
          <w:szCs w:val="18"/>
          <w:color w:val="auto"/>
        </w:rPr>
        <w:t>The New Shares are not being offered or sold in New Zealand (or allotted with a view to being offered for sale in New Zealand) other than to a person who:</w:t>
      </w:r>
    </w:p>
    <w:p>
      <w:pPr>
        <w:spacing w:after="0" w:line="86" w:lineRule="exact"/>
        <w:rPr>
          <w:sz w:val="20"/>
          <w:szCs w:val="20"/>
          <w:color w:val="auto"/>
        </w:rPr>
      </w:pPr>
    </w:p>
    <w:p>
      <w:pPr>
        <w:ind w:left="700" w:hanging="40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 Act;</w:t>
      </w:r>
    </w:p>
    <w:p>
      <w:pPr>
        <w:spacing w:after="0" w:line="144" w:lineRule="exact"/>
        <w:rPr>
          <w:rFonts w:ascii="Arial" w:cs="Arial" w:eastAsia="Arial" w:hAnsi="Arial"/>
          <w:sz w:val="18"/>
          <w:szCs w:val="18"/>
          <w:color w:val="auto"/>
        </w:rPr>
      </w:pPr>
    </w:p>
    <w:p>
      <w:pPr>
        <w:ind w:left="700" w:hanging="40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 Act;</w:t>
      </w:r>
    </w:p>
    <w:p>
      <w:pPr>
        <w:spacing w:after="0" w:line="130" w:lineRule="exact"/>
        <w:rPr>
          <w:rFonts w:ascii="Arial" w:cs="Arial" w:eastAsia="Arial" w:hAnsi="Arial"/>
          <w:sz w:val="18"/>
          <w:szCs w:val="18"/>
          <w:color w:val="auto"/>
        </w:rPr>
      </w:pPr>
    </w:p>
    <w:p>
      <w:pPr>
        <w:ind w:left="700" w:hanging="40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 Act;</w:t>
      </w:r>
    </w:p>
    <w:p>
      <w:pPr>
        <w:spacing w:after="0" w:line="144" w:lineRule="exact"/>
        <w:rPr>
          <w:rFonts w:ascii="Arial" w:cs="Arial" w:eastAsia="Arial" w:hAnsi="Arial"/>
          <w:sz w:val="18"/>
          <w:szCs w:val="18"/>
          <w:color w:val="auto"/>
        </w:rPr>
      </w:pPr>
    </w:p>
    <w:p>
      <w:pPr>
        <w:ind w:left="700" w:hanging="40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government agency within the meaning of clause 40 of Schedule 1 of the FMC Act; or</w:t>
      </w:r>
    </w:p>
    <w:p>
      <w:pPr>
        <w:spacing w:after="0" w:line="144" w:lineRule="exact"/>
        <w:rPr>
          <w:rFonts w:ascii="Arial" w:cs="Arial" w:eastAsia="Arial" w:hAnsi="Arial"/>
          <w:sz w:val="18"/>
          <w:szCs w:val="18"/>
          <w:color w:val="auto"/>
        </w:rPr>
      </w:pPr>
    </w:p>
    <w:p>
      <w:pPr>
        <w:ind w:left="700" w:hanging="40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an eligible investor within the meaning of clause 41 of Schedule 1 of the FMC Act.</w:t>
      </w:r>
    </w:p>
    <w:p>
      <w:pPr>
        <w:spacing w:after="0" w:line="131" w:lineRule="exact"/>
        <w:rPr>
          <w:sz w:val="20"/>
          <w:szCs w:val="20"/>
          <w:color w:val="auto"/>
        </w:rPr>
      </w:pPr>
    </w:p>
    <w:p>
      <w:pPr>
        <w:ind w:left="300" w:right="180"/>
        <w:spacing w:after="0" w:line="242" w:lineRule="auto"/>
        <w:rPr>
          <w:sz w:val="20"/>
          <w:szCs w:val="20"/>
          <w:color w:val="auto"/>
        </w:rPr>
      </w:pPr>
      <w:r>
        <w:rPr>
          <w:rFonts w:ascii="Arial" w:cs="Arial" w:eastAsia="Arial" w:hAnsi="Arial"/>
          <w:sz w:val="18"/>
          <w:szCs w:val="18"/>
          <w:b w:val="1"/>
          <w:bCs w:val="1"/>
          <w:color w:val="auto"/>
        </w:rPr>
        <w:t xml:space="preserve">Singapore: </w:t>
      </w:r>
      <w:r>
        <w:rPr>
          <w:rFonts w:ascii="Arial" w:cs="Arial" w:eastAsia="Arial" w:hAnsi="Arial"/>
          <w:sz w:val="18"/>
          <w:szCs w:val="18"/>
          <w:color w:val="auto"/>
        </w:rPr>
        <w:t>This announcement and any other materials relating to the New Shares have not been,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lodged or registered as a prospectus in Singapore with the Monetary Authority of Singapore. Accordingly, this announcement and any other document or materials in connection with the offer or sale, or invitation for subscription or purchase, of New Shares, may not be issued, circulated or distributed, nor may the New Shares be offered or sold, or be made the subject of an invitation for subscription or purchase, whether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6111875" cy="643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1875" cy="64325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right="220"/>
        <w:spacing w:after="0" w:line="253" w:lineRule="auto"/>
        <w:rPr>
          <w:sz w:val="20"/>
          <w:szCs w:val="20"/>
          <w:color w:val="auto"/>
        </w:rPr>
      </w:pPr>
      <w:r>
        <w:rPr>
          <w:rFonts w:ascii="Arial" w:cs="Arial" w:eastAsia="Arial" w:hAnsi="Arial"/>
          <w:sz w:val="18"/>
          <w:szCs w:val="18"/>
          <w:color w:val="auto"/>
        </w:rPr>
        <w:t>indirectly, to persons in Singapore except pursuant to and in accordance with exemptions in Subdivision (4) Division 1, Part 13 of the Securities and Futures Act 2001 of Singapore (the “SFA”) or another exemption under the SFA.</w:t>
      </w:r>
    </w:p>
    <w:p>
      <w:pPr>
        <w:spacing w:after="0" w:line="101" w:lineRule="exact"/>
        <w:rPr>
          <w:sz w:val="20"/>
          <w:szCs w:val="20"/>
          <w:color w:val="auto"/>
        </w:rPr>
      </w:pPr>
    </w:p>
    <w:p>
      <w:pPr>
        <w:ind w:left="300" w:right="100"/>
        <w:spacing w:after="0" w:line="275" w:lineRule="auto"/>
        <w:rPr>
          <w:sz w:val="20"/>
          <w:szCs w:val="20"/>
          <w:color w:val="auto"/>
        </w:rPr>
      </w:pPr>
      <w:r>
        <w:rPr>
          <w:rFonts w:ascii="Arial" w:cs="Arial" w:eastAsia="Arial" w:hAnsi="Arial"/>
          <w:sz w:val="17"/>
          <w:szCs w:val="17"/>
          <w:color w:val="auto"/>
        </w:rPr>
        <w:t>This document has been given to you on the basis that you are an “institutional investor” or an “accredited investor” (as such terms are defined in the SFA). If you are not such an investor, please return this document immediately. You may not forward or circulate this announcement to any other person in Singapore.</w:t>
      </w:r>
    </w:p>
    <w:p>
      <w:pPr>
        <w:spacing w:after="0" w:line="71" w:lineRule="exact"/>
        <w:rPr>
          <w:sz w:val="20"/>
          <w:szCs w:val="20"/>
          <w:color w:val="auto"/>
        </w:rPr>
      </w:pPr>
    </w:p>
    <w:p>
      <w:pPr>
        <w:ind w:left="300"/>
        <w:spacing w:after="0" w:line="247" w:lineRule="auto"/>
        <w:rPr>
          <w:sz w:val="20"/>
          <w:szCs w:val="20"/>
          <w:color w:val="auto"/>
        </w:rPr>
      </w:pPr>
      <w:r>
        <w:rPr>
          <w:rFonts w:ascii="Arial" w:cs="Arial" w:eastAsia="Arial" w:hAnsi="Arial"/>
          <w:sz w:val="18"/>
          <w:szCs w:val="18"/>
          <w:color w:val="auto"/>
        </w:rPr>
        <w:t>Any offer is not made to you with a view to the New Shares being subsequently offered for sale to any other party in Singapore. On-sale restrictions in Singapore may be applicable to investors who acquire New Shares. As such, investors are advised to acquaint themselves with the SFA provisions relating to resale restrictions in Singapore and comply accordingly.</w:t>
      </w:r>
    </w:p>
    <w:p>
      <w:pPr>
        <w:spacing w:after="0" w:line="106" w:lineRule="exact"/>
        <w:rPr>
          <w:sz w:val="20"/>
          <w:szCs w:val="20"/>
          <w:color w:val="auto"/>
        </w:rPr>
      </w:pPr>
    </w:p>
    <w:p>
      <w:pPr>
        <w:ind w:left="300" w:right="20"/>
        <w:spacing w:after="0" w:line="244" w:lineRule="auto"/>
        <w:rPr>
          <w:sz w:val="20"/>
          <w:szCs w:val="20"/>
          <w:color w:val="auto"/>
        </w:rPr>
      </w:pPr>
      <w:r>
        <w:rPr>
          <w:rFonts w:ascii="Arial" w:cs="Arial" w:eastAsia="Arial" w:hAnsi="Arial"/>
          <w:sz w:val="18"/>
          <w:szCs w:val="18"/>
          <w:b w:val="1"/>
          <w:bCs w:val="1"/>
          <w:color w:val="auto"/>
        </w:rPr>
        <w:t xml:space="preserve">Switzerland: </w:t>
      </w:r>
      <w:r>
        <w:rPr>
          <w:rFonts w:ascii="Arial" w:cs="Arial" w:eastAsia="Arial" w:hAnsi="Arial"/>
          <w:sz w:val="18"/>
          <w:szCs w:val="18"/>
          <w:color w:val="auto"/>
        </w:rPr>
        <w:t>The New Shares may not be publicly offered in Switzerland and will not be listed on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Swiss Exchange or on any other stock exchange or regulated trading facility in Switzerland. Neither this announcement nor any other offering or marketing material relating to the New Shares constitutes a prospectus or a similar notice, as such terms are understood under art. 35 of the Swiss Financial Services Act or the listing rules of any stock exchange or regulated trading facility in Switzerland.</w:t>
      </w:r>
    </w:p>
    <w:p>
      <w:pPr>
        <w:spacing w:after="0" w:line="109" w:lineRule="exact"/>
        <w:rPr>
          <w:sz w:val="20"/>
          <w:szCs w:val="20"/>
          <w:color w:val="auto"/>
        </w:rPr>
      </w:pPr>
    </w:p>
    <w:p>
      <w:pPr>
        <w:ind w:left="300" w:right="200"/>
        <w:spacing w:after="0" w:line="247" w:lineRule="auto"/>
        <w:rPr>
          <w:sz w:val="20"/>
          <w:szCs w:val="20"/>
          <w:color w:val="auto"/>
        </w:rPr>
      </w:pPr>
      <w:r>
        <w:rPr>
          <w:rFonts w:ascii="Arial" w:cs="Arial" w:eastAsia="Arial" w:hAnsi="Arial"/>
          <w:sz w:val="18"/>
          <w:szCs w:val="18"/>
          <w:color w:val="auto"/>
        </w:rPr>
        <w:t>No offering or marketing material relating to the New Shares has been, nor will be, filed with or approved by any Swiss regulatory authority or authorised review body. In particular, this document will not be filed with, and the offer of New Shares will not be supervised by, the Swiss Financial Market Supervisory Authority (FINMA).</w:t>
      </w:r>
    </w:p>
    <w:p>
      <w:pPr>
        <w:spacing w:after="0" w:line="93" w:lineRule="exact"/>
        <w:rPr>
          <w:sz w:val="20"/>
          <w:szCs w:val="20"/>
          <w:color w:val="auto"/>
        </w:rPr>
      </w:pPr>
    </w:p>
    <w:p>
      <w:pPr>
        <w:ind w:left="300" w:right="180"/>
        <w:spacing w:after="0" w:line="247" w:lineRule="auto"/>
        <w:rPr>
          <w:sz w:val="20"/>
          <w:szCs w:val="20"/>
          <w:color w:val="auto"/>
        </w:rPr>
      </w:pPr>
      <w:r>
        <w:rPr>
          <w:rFonts w:ascii="Arial" w:cs="Arial" w:eastAsia="Arial" w:hAnsi="Arial"/>
          <w:sz w:val="18"/>
          <w:szCs w:val="18"/>
          <w:color w:val="auto"/>
        </w:rPr>
        <w:t>Neither this announcement nor any other offering or marketing material relating to the New Shares may be publicly distributed or otherwise made publicly available in Switzerland. The New Shares will only be offered to investors who qualify as “professional clients” (as defined in the Swiss Financial Services Act). This document is personal to the recipient and not for general circulation in Switzerland.</w:t>
      </w:r>
    </w:p>
    <w:p>
      <w:pPr>
        <w:spacing w:after="0" w:line="106" w:lineRule="exact"/>
        <w:rPr>
          <w:sz w:val="20"/>
          <w:szCs w:val="20"/>
          <w:color w:val="auto"/>
        </w:rPr>
      </w:pPr>
    </w:p>
    <w:p>
      <w:pPr>
        <w:ind w:left="300" w:right="40"/>
        <w:spacing w:after="0" w:line="247" w:lineRule="auto"/>
        <w:rPr>
          <w:sz w:val="20"/>
          <w:szCs w:val="20"/>
          <w:color w:val="auto"/>
        </w:rPr>
      </w:pPr>
      <w:r>
        <w:rPr>
          <w:rFonts w:ascii="Arial" w:cs="Arial" w:eastAsia="Arial" w:hAnsi="Arial"/>
          <w:sz w:val="18"/>
          <w:szCs w:val="18"/>
          <w:b w:val="1"/>
          <w:bCs w:val="1"/>
          <w:color w:val="auto"/>
        </w:rPr>
        <w:t xml:space="preserve">United Kingdom: </w:t>
      </w:r>
      <w:r>
        <w:rPr>
          <w:rFonts w:ascii="Arial" w:cs="Arial" w:eastAsia="Arial" w:hAnsi="Arial"/>
          <w:sz w:val="18"/>
          <w:szCs w:val="18"/>
          <w:color w:val="auto"/>
        </w:rPr>
        <w:t>This announcement has not been delivered for approval to the Financial Conduct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United Kingdom and no prospectus (within the meaning of Regulation 21 of The Public Offers and Admissions to Trading Regulations 2024 (“POATRs”)) has been published or is required to be published in respect of the New Shares.</w:t>
      </w:r>
    </w:p>
    <w:p>
      <w:pPr>
        <w:spacing w:after="0" w:line="106" w:lineRule="exact"/>
        <w:rPr>
          <w:sz w:val="20"/>
          <w:szCs w:val="20"/>
          <w:color w:val="auto"/>
        </w:rPr>
      </w:pPr>
    </w:p>
    <w:p>
      <w:pPr>
        <w:ind w:left="300" w:right="60"/>
        <w:spacing w:after="0" w:line="242" w:lineRule="auto"/>
        <w:rPr>
          <w:sz w:val="20"/>
          <w:szCs w:val="20"/>
          <w:color w:val="auto"/>
        </w:rPr>
      </w:pPr>
      <w:r>
        <w:rPr>
          <w:rFonts w:ascii="Arial" w:cs="Arial" w:eastAsia="Arial" w:hAnsi="Arial"/>
          <w:sz w:val="18"/>
          <w:szCs w:val="18"/>
          <w:color w:val="auto"/>
        </w:rPr>
        <w:t>This document is issued on a confidential basis to “qualified investors” (within the meaning of paragraph 2 of Schedule 1 to the POATRs) in the United Kingdom. The New Shares may not be offered or sold in the United Kingdom by means of this announcement or any other document except pursuant to an exemption from the general prohibition on offers of relevant securities to the public in the United Kingdom. This announcement should not be distributed, published or reproduced, in whole or in part, nor may its contents be disclosed by recipients to any other person in the United Kingdom.</w:t>
      </w:r>
    </w:p>
    <w:p>
      <w:pPr>
        <w:spacing w:after="0" w:line="98" w:lineRule="exact"/>
        <w:rPr>
          <w:sz w:val="20"/>
          <w:szCs w:val="20"/>
          <w:color w:val="auto"/>
        </w:rPr>
      </w:pPr>
    </w:p>
    <w:p>
      <w:pPr>
        <w:ind w:left="300" w:right="40"/>
        <w:spacing w:after="0" w:line="247"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Financial Services and Markets Act 2000, as amended (“FSMA”)) received in connection with the offer or sale of the New Shares has been, and only will be, communicated or caused to be communicated in the United Kingdom in circumstances in which section 21(1) of the FSMA does not apply to the Company.</w:t>
      </w:r>
    </w:p>
    <w:p>
      <w:pPr>
        <w:spacing w:after="0" w:line="106" w:lineRule="exact"/>
        <w:rPr>
          <w:sz w:val="20"/>
          <w:szCs w:val="20"/>
          <w:color w:val="auto"/>
        </w:rPr>
      </w:pPr>
    </w:p>
    <w:p>
      <w:pPr>
        <w:ind w:left="300" w:right="40"/>
        <w:spacing w:after="0"/>
        <w:rPr>
          <w:sz w:val="20"/>
          <w:szCs w:val="20"/>
          <w:color w:val="auto"/>
        </w:rPr>
      </w:pPr>
      <w:r>
        <w:rPr>
          <w:rFonts w:ascii="Arial" w:cs="Arial" w:eastAsia="Arial" w:hAnsi="Arial"/>
          <w:sz w:val="18"/>
          <w:szCs w:val="18"/>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(“relevant persons”). The investment to which this document relates is available only to relevant persons. Any person who is not a relevant person should not act or rely on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746125</wp:posOffset>
            </wp:positionV>
            <wp:extent cx="6111875" cy="643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1875" cy="64325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2288540"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85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 for distribution or release in the United States</w:t>
      </w:r>
    </w:p>
    <w:p>
      <w:pPr>
        <w:spacing w:after="0" w:line="14"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This announcement has been prepared for publication in Australia and may not be released or distributed in the United States. This announcement does not constitute an offer to sell, or a solicitation of an offer to buy, securities in the United States or any other jurisdiction. Any securities described in this announcement have not been, and will not be, registered under the US Securities Act of 1933 and may not be offered or sold in the United States except in transactions exempt from, or not subject to, the registration of the US Securities Act and applicable US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6325235</wp:posOffset>
            </wp:positionV>
            <wp:extent cx="6111875" cy="64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1875" cy="64325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Arial" w:cs="Arial" w:eastAsia="Arial" w:hAnsi="Arial"/>
          <w:sz w:val="19"/>
          <w:szCs w:val="19"/>
          <w:color w:val="373A36"/>
        </w:rPr>
        <w:t>ACN 157 690 830, 1029 West 19</w:t>
      </w:r>
      <w:r>
        <w:rPr>
          <w:rFonts w:ascii="Arial" w:cs="Arial" w:eastAsia="Arial" w:hAnsi="Arial"/>
          <w:sz w:val="25"/>
          <w:szCs w:val="25"/>
          <w:color w:val="373A36"/>
          <w:vertAlign w:val="superscript"/>
        </w:rPr>
        <w:t>th</w:t>
      </w:r>
      <w:r>
        <w:rPr>
          <w:rFonts w:ascii="Arial" w:cs="Arial" w:eastAsia="Arial" w:hAnsi="Arial"/>
          <w:sz w:val="19"/>
          <w:szCs w:val="19"/>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291465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4" w:right="141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23114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140" cy="240030"/>
                    </a:xfrm>
                    <a:prstGeom prst="rect">
                      <a:avLst/>
                    </a:prstGeom>
                    <a:noFill/>
                  </pic:spPr>
                </pic:pic>
              </a:graphicData>
            </a:graphic>
          </wp:anchor>
        </w:drawing>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Announcement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114935</wp:posOffset>
            </wp:positionV>
            <wp:extent cx="1517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Entity name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Announcement Type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Date of this announcement</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17/6/2026</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Proposed issue is: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 offer of securities under a securities purchase plan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placement or other type of issue</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Total number of +securities proposed to be issued for an offer of securities under a securities purchase plan</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242"/>
        </w:trPr>
        <w:tc>
          <w:tcPr>
            <w:tcW w:w="2480" w:type="dxa"/>
            <w:vAlign w:val="bottom"/>
            <w:tcBorders>
              <w:top w:val="single" w:sz="8" w:color="auto"/>
              <w:left w:val="single" w:sz="8" w:color="auto"/>
            </w:tcBorders>
            <w:vMerge w:val="restart"/>
          </w:tcPr>
          <w:p>
            <w:pPr>
              <w:ind w:left="460"/>
              <w:spacing w:after="0"/>
              <w:rPr>
                <w:sz w:val="20"/>
                <w:szCs w:val="20"/>
                <w:color w:val="auto"/>
              </w:rPr>
            </w:pPr>
            <w:r>
              <w:rPr>
                <w:rFonts w:ascii="Arial" w:cs="Arial" w:eastAsia="Arial" w:hAnsi="Arial"/>
                <w:sz w:val="16"/>
                <w:szCs w:val="16"/>
                <w:b w:val="1"/>
                <w:bCs w:val="1"/>
                <w:color w:val="auto"/>
              </w:rPr>
              <w:t>ASX +security code</w:t>
            </w:r>
          </w:p>
        </w:tc>
        <w:tc>
          <w:tcPr>
            <w:tcW w:w="4360" w:type="dxa"/>
            <w:vAlign w:val="bottom"/>
            <w:tcBorders>
              <w:top w:val="single" w:sz="8" w:color="auto"/>
            </w:tcBorders>
            <w:vMerge w:val="restart"/>
          </w:tcPr>
          <w:p>
            <w:pPr>
              <w:ind w:left="520"/>
              <w:spacing w:after="0"/>
              <w:rPr>
                <w:sz w:val="20"/>
                <w:szCs w:val="20"/>
                <w:color w:val="auto"/>
              </w:rPr>
            </w:pPr>
            <w:r>
              <w:rPr>
                <w:rFonts w:ascii="Arial" w:cs="Arial" w:eastAsia="Arial" w:hAnsi="Arial"/>
                <w:sz w:val="16"/>
                <w:szCs w:val="16"/>
                <w:b w:val="1"/>
                <w:bCs w:val="1"/>
                <w:color w:val="auto"/>
              </w:rPr>
              <w:t>+Security description</w:t>
            </w:r>
          </w:p>
        </w:tc>
        <w:tc>
          <w:tcPr>
            <w:tcW w:w="428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223"/>
        </w:trPr>
        <w:tc>
          <w:tcPr>
            <w:tcW w:w="2480" w:type="dxa"/>
            <w:vAlign w:val="bottom"/>
            <w:tcBorders>
              <w:left w:val="single" w:sz="8" w:color="auto"/>
            </w:tcBorders>
            <w:vMerge w:val="continue"/>
          </w:tcPr>
          <w:p>
            <w:pPr>
              <w:spacing w:after="0"/>
              <w:rPr>
                <w:sz w:val="19"/>
                <w:szCs w:val="19"/>
                <w:color w:val="auto"/>
              </w:rPr>
            </w:pPr>
          </w:p>
        </w:tc>
        <w:tc>
          <w:tcPr>
            <w:tcW w:w="4360" w:type="dxa"/>
            <w:vAlign w:val="bottom"/>
            <w:vMerge w:val="continue"/>
          </w:tcPr>
          <w:p>
            <w:pPr>
              <w:spacing w:after="0"/>
              <w:rPr>
                <w:sz w:val="19"/>
                <w:szCs w:val="19"/>
                <w:color w:val="auto"/>
              </w:rPr>
            </w:pPr>
          </w:p>
        </w:tc>
        <w:tc>
          <w:tcPr>
            <w:tcW w:w="428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+securities to be issued</w:t>
            </w:r>
          </w:p>
        </w:tc>
        <w:tc>
          <w:tcPr>
            <w:tcW w:w="0" w:type="dxa"/>
            <w:vAlign w:val="bottom"/>
          </w:tcPr>
          <w:p>
            <w:pPr>
              <w:spacing w:after="0"/>
              <w:rPr>
                <w:sz w:val="1"/>
                <w:szCs w:val="1"/>
                <w:color w:val="auto"/>
              </w:rPr>
            </w:pPr>
          </w:p>
        </w:tc>
      </w:tr>
      <w:tr>
        <w:trPr>
          <w:trHeight w:val="411"/>
        </w:trPr>
        <w:tc>
          <w:tcPr>
            <w:tcW w:w="2480" w:type="dxa"/>
            <w:vAlign w:val="bottom"/>
            <w:tcBorders>
              <w:left w:val="single" w:sz="8" w:color="auto"/>
            </w:tcBorders>
          </w:tcPr>
          <w:p>
            <w:pPr>
              <w:ind w:left="460"/>
              <w:spacing w:after="0"/>
              <w:rPr>
                <w:sz w:val="20"/>
                <w:szCs w:val="20"/>
                <w:color w:val="auto"/>
              </w:rPr>
            </w:pPr>
            <w:r>
              <w:rPr>
                <w:rFonts w:ascii="Arial" w:cs="Arial" w:eastAsia="Arial" w:hAnsi="Arial"/>
                <w:sz w:val="16"/>
                <w:szCs w:val="16"/>
                <w:color w:val="auto"/>
              </w:rPr>
              <w:t>NVX</w:t>
            </w:r>
          </w:p>
        </w:tc>
        <w:tc>
          <w:tcPr>
            <w:tcW w:w="4360" w:type="dxa"/>
            <w:vAlign w:val="bottom"/>
          </w:tcPr>
          <w:p>
            <w:pPr>
              <w:ind w:left="520"/>
              <w:spacing w:after="0"/>
              <w:rPr>
                <w:sz w:val="20"/>
                <w:szCs w:val="20"/>
                <w:color w:val="auto"/>
              </w:rPr>
            </w:pPr>
            <w:r>
              <w:rPr>
                <w:rFonts w:ascii="Arial" w:cs="Arial" w:eastAsia="Arial" w:hAnsi="Arial"/>
                <w:sz w:val="16"/>
                <w:szCs w:val="16"/>
                <w:color w:val="auto"/>
              </w:rPr>
              <w:t>ORDINARY FULLY PAID</w:t>
            </w:r>
          </w:p>
        </w:tc>
        <w:tc>
          <w:tcPr>
            <w:tcW w:w="428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18,750,000</w:t>
            </w:r>
          </w:p>
        </w:tc>
        <w:tc>
          <w:tcPr>
            <w:tcW w:w="0" w:type="dxa"/>
            <w:vAlign w:val="bottom"/>
          </w:tcPr>
          <w:p>
            <w:pPr>
              <w:spacing w:after="0"/>
              <w:rPr>
                <w:sz w:val="1"/>
                <w:szCs w:val="1"/>
                <w:color w:val="auto"/>
              </w:rPr>
            </w:pPr>
          </w:p>
        </w:tc>
      </w:tr>
      <w:tr>
        <w:trPr>
          <w:trHeight w:val="232"/>
        </w:trPr>
        <w:tc>
          <w:tcPr>
            <w:tcW w:w="2480" w:type="dxa"/>
            <w:vAlign w:val="bottom"/>
            <w:tcBorders>
              <w:left w:val="single" w:sz="8" w:color="auto"/>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480"/>
              <w:spacing w:after="0"/>
              <w:rPr>
                <w:sz w:val="20"/>
                <w:szCs w:val="20"/>
                <w:color w:val="auto"/>
              </w:rPr>
            </w:pPr>
            <w:r>
              <w:rPr>
                <w:rFonts w:ascii="Arial" w:cs="Arial" w:eastAsia="Arial" w:hAnsi="Arial"/>
                <w:sz w:val="16"/>
                <w:szCs w:val="16"/>
                <w:b w:val="1"/>
                <w:bCs w:val="1"/>
                <w:color w:val="auto"/>
              </w:rPr>
              <w:t>+Record date</w:t>
            </w:r>
          </w:p>
        </w:tc>
        <w:tc>
          <w:tcPr>
            <w:tcW w:w="43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80" w:type="dxa"/>
            <w:vAlign w:val="bottom"/>
          </w:tcPr>
          <w:p>
            <w:pPr>
              <w:ind w:left="480"/>
              <w:spacing w:after="0"/>
              <w:rPr>
                <w:sz w:val="20"/>
                <w:szCs w:val="20"/>
                <w:color w:val="auto"/>
              </w:rPr>
            </w:pPr>
            <w:r>
              <w:rPr>
                <w:rFonts w:ascii="Arial" w:cs="Arial" w:eastAsia="Arial" w:hAnsi="Arial"/>
                <w:sz w:val="16"/>
                <w:szCs w:val="16"/>
                <w:color w:val="auto"/>
              </w:rPr>
              <w:t>16/6/2026</w:t>
            </w:r>
          </w:p>
        </w:tc>
        <w:tc>
          <w:tcPr>
            <w:tcW w:w="43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2480" w:type="dxa"/>
            <w:vAlign w:val="bottom"/>
          </w:tcPr>
          <w:p>
            <w:pPr>
              <w:ind w:left="480"/>
              <w:spacing w:after="0"/>
              <w:rPr>
                <w:sz w:val="20"/>
                <w:szCs w:val="20"/>
                <w:color w:val="auto"/>
              </w:rPr>
            </w:pPr>
            <w:r>
              <w:rPr>
                <w:rFonts w:ascii="Arial" w:cs="Arial" w:eastAsia="Arial" w:hAnsi="Arial"/>
                <w:sz w:val="16"/>
                <w:szCs w:val="16"/>
                <w:b w:val="1"/>
                <w:bCs w:val="1"/>
                <w:color w:val="auto"/>
              </w:rPr>
              <w:t>Offer closing date</w:t>
            </w:r>
          </w:p>
        </w:tc>
        <w:tc>
          <w:tcPr>
            <w:tcW w:w="4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480" w:type="dxa"/>
            <w:vAlign w:val="bottom"/>
          </w:tcPr>
          <w:p>
            <w:pPr>
              <w:ind w:left="480"/>
              <w:spacing w:after="0"/>
              <w:rPr>
                <w:sz w:val="20"/>
                <w:szCs w:val="20"/>
                <w:color w:val="auto"/>
              </w:rPr>
            </w:pPr>
            <w:r>
              <w:rPr>
                <w:rFonts w:ascii="Arial" w:cs="Arial" w:eastAsia="Arial" w:hAnsi="Arial"/>
                <w:sz w:val="16"/>
                <w:szCs w:val="16"/>
                <w:color w:val="auto"/>
              </w:rPr>
              <w:t>14/8/2026</w:t>
            </w:r>
          </w:p>
        </w:tc>
        <w:tc>
          <w:tcPr>
            <w:tcW w:w="43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2480" w:type="dxa"/>
            <w:vAlign w:val="bottom"/>
          </w:tcPr>
          <w:p>
            <w:pPr>
              <w:ind w:left="480"/>
              <w:spacing w:after="0"/>
              <w:rPr>
                <w:sz w:val="20"/>
                <w:szCs w:val="20"/>
                <w:color w:val="auto"/>
              </w:rPr>
            </w:pPr>
            <w:r>
              <w:rPr>
                <w:rFonts w:ascii="Arial" w:cs="Arial" w:eastAsia="Arial" w:hAnsi="Arial"/>
                <w:sz w:val="16"/>
                <w:szCs w:val="16"/>
                <w:b w:val="1"/>
                <w:bCs w:val="1"/>
                <w:color w:val="auto"/>
              </w:rPr>
              <w:t>+Issue date</w:t>
            </w:r>
          </w:p>
        </w:tc>
        <w:tc>
          <w:tcPr>
            <w:tcW w:w="4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80" w:type="dxa"/>
            <w:vAlign w:val="bottom"/>
          </w:tcPr>
          <w:p>
            <w:pPr>
              <w:ind w:left="480"/>
              <w:spacing w:after="0"/>
              <w:rPr>
                <w:sz w:val="20"/>
                <w:szCs w:val="20"/>
                <w:color w:val="auto"/>
              </w:rPr>
            </w:pPr>
            <w:r>
              <w:rPr>
                <w:rFonts w:ascii="Arial" w:cs="Arial" w:eastAsia="Arial" w:hAnsi="Arial"/>
                <w:sz w:val="16"/>
                <w:szCs w:val="16"/>
                <w:color w:val="auto"/>
              </w:rPr>
              <w:t>19/8/2026</w:t>
            </w:r>
          </w:p>
        </w:tc>
        <w:tc>
          <w:tcPr>
            <w:tcW w:w="43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Total number of +securities proposed to be issued for a placement or other type of issue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Borders>
              <w:right w:val="single" w:sz="8" w:color="auto"/>
            </w:tcBorders>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4260" w:type="dxa"/>
            <w:vAlign w:val="bottom"/>
            <w:tcBorders>
              <w:top w:val="single" w:sz="8" w:color="auto"/>
            </w:tcBorders>
          </w:tcPr>
          <w:p>
            <w:pPr>
              <w:spacing w:after="0"/>
              <w:rPr>
                <w:sz w:val="19"/>
                <w:szCs w:val="19"/>
                <w:color w:val="auto"/>
              </w:rPr>
            </w:pPr>
          </w:p>
        </w:tc>
        <w:tc>
          <w:tcPr>
            <w:tcW w:w="4300" w:type="dxa"/>
            <w:vAlign w:val="bottom"/>
            <w:tcBorders>
              <w:top w:val="single" w:sz="8" w:color="auto"/>
              <w:right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Maximum Number of</w:t>
            </w:r>
          </w:p>
        </w:tc>
      </w:tr>
      <w:tr>
        <w:trPr>
          <w:trHeight w:val="223"/>
        </w:trPr>
        <w:tc>
          <w:tcPr>
            <w:tcW w:w="140" w:type="dxa"/>
            <w:vAlign w:val="bottom"/>
            <w:tcBorders>
              <w:right w:val="single" w:sz="8" w:color="auto"/>
            </w:tcBorders>
          </w:tcPr>
          <w:p>
            <w:pPr>
              <w:spacing w:after="0"/>
              <w:rPr>
                <w:sz w:val="19"/>
                <w:szCs w:val="19"/>
                <w:color w:val="auto"/>
              </w:rPr>
            </w:pPr>
          </w:p>
        </w:tc>
        <w:tc>
          <w:tcPr>
            <w:tcW w:w="2540" w:type="dxa"/>
            <w:vAlign w:val="bottom"/>
          </w:tcPr>
          <w:p>
            <w:pPr>
              <w:ind w:left="440"/>
              <w:spacing w:after="0"/>
              <w:rPr>
                <w:sz w:val="20"/>
                <w:szCs w:val="20"/>
                <w:color w:val="auto"/>
              </w:rPr>
            </w:pPr>
            <w:r>
              <w:rPr>
                <w:rFonts w:ascii="Arial" w:cs="Arial" w:eastAsia="Arial" w:hAnsi="Arial"/>
                <w:sz w:val="16"/>
                <w:szCs w:val="16"/>
                <w:b w:val="1"/>
                <w:bCs w:val="1"/>
                <w:color w:val="auto"/>
              </w:rPr>
              <w:t>ASX +security code</w:t>
            </w:r>
          </w:p>
        </w:tc>
        <w:tc>
          <w:tcPr>
            <w:tcW w:w="4260" w:type="dxa"/>
            <w:vAlign w:val="bottom"/>
          </w:tcPr>
          <w:p>
            <w:pPr>
              <w:ind w:left="420"/>
              <w:spacing w:after="0"/>
              <w:rPr>
                <w:sz w:val="20"/>
                <w:szCs w:val="20"/>
                <w:color w:val="auto"/>
              </w:rPr>
            </w:pPr>
            <w:r>
              <w:rPr>
                <w:rFonts w:ascii="Arial" w:cs="Arial" w:eastAsia="Arial" w:hAnsi="Arial"/>
                <w:sz w:val="16"/>
                <w:szCs w:val="16"/>
                <w:b w:val="1"/>
                <w:bCs w:val="1"/>
                <w:color w:val="auto"/>
              </w:rPr>
              <w:t>+Security description</w:t>
            </w:r>
          </w:p>
        </w:tc>
        <w:tc>
          <w:tcPr>
            <w:tcW w:w="4300" w:type="dxa"/>
            <w:vAlign w:val="bottom"/>
            <w:tcBorders>
              <w:right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+securities to be issued</w:t>
            </w:r>
          </w:p>
        </w:tc>
      </w:tr>
      <w:tr>
        <w:trPr>
          <w:trHeight w:val="424"/>
        </w:trPr>
        <w:tc>
          <w:tcPr>
            <w:tcW w:w="140" w:type="dxa"/>
            <w:vAlign w:val="bottom"/>
            <w:tcBorders>
              <w:right w:val="single" w:sz="8" w:color="auto"/>
            </w:tcBorders>
          </w:tcPr>
          <w:p>
            <w:pPr>
              <w:spacing w:after="0"/>
              <w:rPr>
                <w:sz w:val="24"/>
                <w:szCs w:val="24"/>
                <w:color w:val="auto"/>
              </w:rPr>
            </w:pPr>
          </w:p>
        </w:tc>
        <w:tc>
          <w:tcPr>
            <w:tcW w:w="2540" w:type="dxa"/>
            <w:vAlign w:val="bottom"/>
          </w:tcPr>
          <w:p>
            <w:pPr>
              <w:ind w:left="440"/>
              <w:spacing w:after="0"/>
              <w:rPr>
                <w:sz w:val="20"/>
                <w:szCs w:val="20"/>
                <w:color w:val="auto"/>
              </w:rPr>
            </w:pPr>
            <w:r>
              <w:rPr>
                <w:rFonts w:ascii="Arial" w:cs="Arial" w:eastAsia="Arial" w:hAnsi="Arial"/>
                <w:sz w:val="16"/>
                <w:szCs w:val="16"/>
                <w:color w:val="auto"/>
              </w:rPr>
              <w:t>NVX</w:t>
            </w:r>
          </w:p>
        </w:tc>
        <w:tc>
          <w:tcPr>
            <w:tcW w:w="4260" w:type="dxa"/>
            <w:vAlign w:val="bottom"/>
          </w:tcPr>
          <w:p>
            <w:pPr>
              <w:ind w:left="420"/>
              <w:spacing w:after="0"/>
              <w:rPr>
                <w:sz w:val="20"/>
                <w:szCs w:val="20"/>
                <w:color w:val="auto"/>
              </w:rPr>
            </w:pPr>
            <w:r>
              <w:rPr>
                <w:rFonts w:ascii="Arial" w:cs="Arial" w:eastAsia="Arial" w:hAnsi="Arial"/>
                <w:sz w:val="16"/>
                <w:szCs w:val="16"/>
                <w:color w:val="auto"/>
              </w:rPr>
              <w:t>ORDINARY FULLY PAID</w:t>
            </w:r>
          </w:p>
        </w:tc>
        <w:tc>
          <w:tcPr>
            <w:tcW w:w="4300" w:type="dxa"/>
            <w:vAlign w:val="bottom"/>
            <w:tcBorders>
              <w:right w:val="single" w:sz="8" w:color="auto"/>
            </w:tcBorders>
          </w:tcPr>
          <w:p>
            <w:pPr>
              <w:jc w:val="right"/>
              <w:ind w:right="360"/>
              <w:spacing w:after="0"/>
              <w:rPr>
                <w:sz w:val="20"/>
                <w:szCs w:val="20"/>
                <w:color w:val="auto"/>
              </w:rPr>
            </w:pPr>
            <w:r>
              <w:rPr>
                <w:rFonts w:ascii="Arial" w:cs="Arial" w:eastAsia="Arial" w:hAnsi="Arial"/>
                <w:sz w:val="16"/>
                <w:szCs w:val="16"/>
                <w:color w:val="auto"/>
              </w:rPr>
              <w:t>129,334,163</w:t>
            </w:r>
          </w:p>
        </w:tc>
      </w:tr>
      <w:tr>
        <w:trPr>
          <w:trHeight w:val="231"/>
        </w:trPr>
        <w:tc>
          <w:tcPr>
            <w:tcW w:w="140" w:type="dxa"/>
            <w:vAlign w:val="bottom"/>
            <w:tcBorders>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spacing w:after="0"/>
              <w:rPr>
                <w:sz w:val="20"/>
                <w:szCs w:val="20"/>
                <w:color w:val="auto"/>
              </w:rPr>
            </w:pPr>
          </w:p>
        </w:tc>
      </w:tr>
      <w:tr>
        <w:trPr>
          <w:trHeight w:val="216"/>
        </w:trPr>
        <w:tc>
          <w:tcPr>
            <w:tcW w:w="140" w:type="dxa"/>
            <w:vAlign w:val="bottom"/>
          </w:tcPr>
          <w:p>
            <w:pPr>
              <w:spacing w:after="0"/>
              <w:rPr>
                <w:sz w:val="18"/>
                <w:szCs w:val="18"/>
                <w:color w:val="auto"/>
              </w:rPr>
            </w:pPr>
          </w:p>
        </w:tc>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Proposed +issue date</w:t>
            </w:r>
          </w:p>
        </w:tc>
        <w:tc>
          <w:tcPr>
            <w:tcW w:w="426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75"/>
        </w:trPr>
        <w:tc>
          <w:tcPr>
            <w:tcW w:w="2680" w:type="dxa"/>
            <w:vAlign w:val="bottom"/>
            <w:gridSpan w:val="2"/>
          </w:tcPr>
          <w:p>
            <w:pPr>
              <w:ind w:left="600"/>
              <w:spacing w:after="0"/>
              <w:rPr>
                <w:sz w:val="20"/>
                <w:szCs w:val="20"/>
                <w:color w:val="auto"/>
              </w:rPr>
            </w:pPr>
            <w:r>
              <w:rPr>
                <w:rFonts w:ascii="Arial" w:cs="Arial" w:eastAsia="Arial" w:hAnsi="Arial"/>
                <w:sz w:val="16"/>
                <w:szCs w:val="16"/>
                <w:color w:val="auto"/>
              </w:rPr>
              <w:t>22/6/2026</w:t>
            </w:r>
          </w:p>
        </w:tc>
        <w:tc>
          <w:tcPr>
            <w:tcW w:w="426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391"/>
        </w:trPr>
        <w:tc>
          <w:tcPr>
            <w:tcW w:w="140" w:type="dxa"/>
            <w:vAlign w:val="bottom"/>
          </w:tcPr>
          <w:p>
            <w:pPr>
              <w:spacing w:after="0"/>
              <w:rPr>
                <w:sz w:val="24"/>
                <w:szCs w:val="24"/>
                <w:color w:val="auto"/>
              </w:rPr>
            </w:pPr>
          </w:p>
        </w:tc>
        <w:tc>
          <w:tcPr>
            <w:tcW w:w="6800" w:type="dxa"/>
            <w:vAlign w:val="bottom"/>
            <w:gridSpan w:val="2"/>
          </w:tcPr>
          <w:p>
            <w:pPr>
              <w:ind w:left="460"/>
              <w:spacing w:after="0"/>
              <w:rPr>
                <w:sz w:val="20"/>
                <w:szCs w:val="20"/>
                <w:color w:val="auto"/>
              </w:rPr>
            </w:pPr>
            <w:r>
              <w:rPr>
                <w:rFonts w:ascii="Arial" w:cs="Arial" w:eastAsia="Arial" w:hAnsi="Arial"/>
                <w:sz w:val="16"/>
                <w:szCs w:val="16"/>
                <w:color w:val="auto"/>
              </w:rPr>
              <w:t>Refer to next page for full details of the announcement</w:t>
            </w:r>
          </w:p>
        </w:tc>
        <w:tc>
          <w:tcPr>
            <w:tcW w:w="4300" w:type="dxa"/>
            <w:vAlign w:val="bottom"/>
          </w:tcPr>
          <w:p>
            <w:pPr>
              <w:spacing w:after="0"/>
              <w:rPr>
                <w:sz w:val="24"/>
                <w:szCs w:val="24"/>
                <w:color w:val="auto"/>
              </w:rPr>
            </w:pPr>
          </w:p>
        </w:tc>
      </w:tr>
      <w:tr>
        <w:trPr>
          <w:trHeight w:val="205"/>
        </w:trPr>
        <w:tc>
          <w:tcPr>
            <w:tcW w:w="140" w:type="dxa"/>
            <w:vAlign w:val="bottom"/>
          </w:tcPr>
          <w:p>
            <w:pPr>
              <w:spacing w:after="0"/>
              <w:rPr>
                <w:sz w:val="17"/>
                <w:szCs w:val="17"/>
                <w:color w:val="auto"/>
              </w:rPr>
            </w:pPr>
          </w:p>
        </w:tc>
        <w:tc>
          <w:tcPr>
            <w:tcW w:w="6800" w:type="dxa"/>
            <w:vAlign w:val="bottom"/>
            <w:tcBorders>
              <w:bottom w:val="single" w:sz="8" w:color="7F7F7F"/>
            </w:tcBorders>
            <w:gridSpan w:val="2"/>
          </w:tcPr>
          <w:p>
            <w:pPr>
              <w:spacing w:after="0"/>
              <w:rPr>
                <w:sz w:val="17"/>
                <w:szCs w:val="17"/>
                <w:color w:val="auto"/>
              </w:rPr>
            </w:pPr>
          </w:p>
        </w:tc>
        <w:tc>
          <w:tcPr>
            <w:tcW w:w="4300" w:type="dxa"/>
            <w:vAlign w:val="bottom"/>
            <w:tcBorders>
              <w:bottom w:val="single" w:sz="8" w:color="7F7F7F"/>
            </w:tcBorders>
          </w:tcPr>
          <w:p>
            <w:pPr>
              <w:spacing w:after="0"/>
              <w:rPr>
                <w:sz w:val="17"/>
                <w:szCs w:val="17"/>
                <w:color w:val="auto"/>
              </w:rPr>
            </w:pPr>
          </w:p>
        </w:tc>
      </w:tr>
      <w:tr>
        <w:trPr>
          <w:trHeight w:val="302"/>
        </w:trPr>
        <w:tc>
          <w:tcPr>
            <w:tcW w:w="14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Appendix 3B - Proposed issue of securities</w:t>
            </w:r>
          </w:p>
        </w:tc>
        <w:tc>
          <w:tcPr>
            <w:tcW w:w="4300" w:type="dxa"/>
            <w:vAlign w:val="bottom"/>
          </w:tcPr>
          <w:p>
            <w:pPr>
              <w:jc w:val="right"/>
              <w:spacing w:after="0"/>
              <w:rPr>
                <w:sz w:val="20"/>
                <w:szCs w:val="20"/>
                <w:color w:val="auto"/>
              </w:rPr>
            </w:pPr>
            <w:r>
              <w:rPr>
                <w:rFonts w:ascii="Arial" w:cs="Arial" w:eastAsia="Arial" w:hAnsi="Arial"/>
                <w:sz w:val="15"/>
                <w:szCs w:val="15"/>
                <w:color w:val="auto"/>
              </w:rPr>
              <w:t>1 / 9</w:t>
            </w:r>
          </w:p>
        </w:tc>
      </w:tr>
      <w:tr>
        <w:trPr>
          <w:trHeight w:val="522"/>
        </w:trPr>
        <w:tc>
          <w:tcPr>
            <w:tcW w:w="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23114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1 - Entity and announcement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3056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1.1 Name of +Entity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right="460"/>
        <w:spacing w:after="0" w:line="256" w:lineRule="auto"/>
        <w:rPr>
          <w:sz w:val="20"/>
          <w:szCs w:val="20"/>
          <w:color w:val="auto"/>
        </w:rPr>
      </w:pPr>
      <w:r>
        <w:rPr>
          <w:rFonts w:ascii="Arial" w:cs="Arial" w:eastAsia="Arial" w:hAnsi="Arial"/>
          <w:sz w:val="16"/>
          <w:szCs w:val="16"/>
          <w:color w:val="auto"/>
        </w:rPr>
        <w:t>We (the entity named above) give ASX the following information about a proposed issue of +securities and, if ASX agrees to +quote any of the +securities (including any rights) on a +deferred settlement basis, we agree to the matters set out in Appendix 3B of the ASX Listing Rules.</w:t>
      </w:r>
    </w:p>
    <w:p>
      <w:pPr>
        <w:spacing w:after="0" w:line="1" w:lineRule="exact"/>
        <w:rPr>
          <w:sz w:val="20"/>
          <w:szCs w:val="20"/>
          <w:color w:val="auto"/>
        </w:rPr>
      </w:pPr>
    </w:p>
    <w:p>
      <w:pPr>
        <w:ind w:left="600" w:right="320"/>
        <w:spacing w:after="0" w:line="251" w:lineRule="auto"/>
        <w:rPr>
          <w:sz w:val="20"/>
          <w:szCs w:val="20"/>
          <w:color w:val="auto"/>
        </w:rPr>
      </w:pPr>
      <w:r>
        <w:rPr>
          <w:rFonts w:ascii="Arial" w:cs="Arial" w:eastAsia="Arial" w:hAnsi="Arial"/>
          <w:sz w:val="16"/>
          <w:szCs w:val="16"/>
          <w:color w:val="auto"/>
        </w:rPr>
        <w:t>If the +securities are being offered under a +disclosure document or +PDS and are intended to be quoted on ASX, we also apply for quotation of all of the +securities that may be issued under the +disclosure document or +PDS on the terms set out in Appendix 2A of the ASX Listing Rules (on the understanding that once the final number of +securities issued under the +disclosure document or +PDS is known, in accordance with Listing Rule 3.10.3C, we will complete and lodge with ASX an Appendix 2A online form notifying ASX of their issue and applying for their quotation).</w:t>
      </w:r>
    </w:p>
    <w:p>
      <w:pPr>
        <w:spacing w:after="0" w:line="48"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4060" w:type="dxa"/>
            <w:vAlign w:val="bottom"/>
            <w:gridSpan w:val="2"/>
          </w:tcPr>
          <w:p>
            <w:pPr>
              <w:spacing w:after="0"/>
              <w:rPr>
                <w:sz w:val="20"/>
                <w:szCs w:val="20"/>
                <w:color w:val="auto"/>
              </w:rPr>
            </w:pPr>
            <w:r>
              <w:rPr>
                <w:rFonts w:ascii="Arial" w:cs="Arial" w:eastAsia="Arial" w:hAnsi="Arial"/>
                <w:sz w:val="16"/>
                <w:szCs w:val="16"/>
                <w:b w:val="1"/>
                <w:bCs w:val="1"/>
                <w:color w:val="auto"/>
              </w:rPr>
              <w:t>1.2Registered Number Type</w:t>
            </w:r>
          </w:p>
        </w:tc>
        <w:tc>
          <w:tcPr>
            <w:tcW w:w="3280" w:type="dxa"/>
            <w:vAlign w:val="bottom"/>
          </w:tcPr>
          <w:p>
            <w:pPr>
              <w:ind w:left="1680"/>
              <w:spacing w:after="0"/>
              <w:rPr>
                <w:sz w:val="20"/>
                <w:szCs w:val="20"/>
                <w:color w:val="auto"/>
              </w:rPr>
            </w:pPr>
            <w:r>
              <w:rPr>
                <w:rFonts w:ascii="Arial" w:cs="Arial" w:eastAsia="Arial" w:hAnsi="Arial"/>
                <w:sz w:val="16"/>
                <w:szCs w:val="16"/>
                <w:b w:val="1"/>
                <w:bCs w:val="1"/>
                <w:color w:val="auto"/>
                <w:w w:val="99"/>
              </w:rPr>
              <w:t>Registration Number</w:t>
            </w:r>
          </w:p>
        </w:tc>
      </w:tr>
      <w:tr>
        <w:trPr>
          <w:trHeight w:val="275"/>
        </w:trPr>
        <w:tc>
          <w:tcPr>
            <w:tcW w:w="4060" w:type="dxa"/>
            <w:vAlign w:val="bottom"/>
            <w:gridSpan w:val="2"/>
          </w:tcPr>
          <w:p>
            <w:pPr>
              <w:spacing w:after="0"/>
              <w:rPr>
                <w:sz w:val="20"/>
                <w:szCs w:val="20"/>
                <w:color w:val="auto"/>
              </w:rPr>
            </w:pPr>
            <w:r>
              <w:rPr>
                <w:rFonts w:ascii="Arial" w:cs="Arial" w:eastAsia="Arial" w:hAnsi="Arial"/>
                <w:sz w:val="16"/>
                <w:szCs w:val="16"/>
                <w:color w:val="auto"/>
              </w:rPr>
              <w:t>ABN</w:t>
            </w:r>
          </w:p>
        </w:tc>
        <w:tc>
          <w:tcPr>
            <w:tcW w:w="3280" w:type="dxa"/>
            <w:vAlign w:val="bottom"/>
          </w:tcPr>
          <w:p>
            <w:pPr>
              <w:ind w:left="1680"/>
              <w:spacing w:after="0"/>
              <w:rPr>
                <w:sz w:val="20"/>
                <w:szCs w:val="20"/>
                <w:color w:val="auto"/>
              </w:rPr>
            </w:pPr>
            <w:r>
              <w:rPr>
                <w:rFonts w:ascii="Arial" w:cs="Arial" w:eastAsia="Arial" w:hAnsi="Arial"/>
                <w:sz w:val="16"/>
                <w:szCs w:val="16"/>
                <w:color w:val="auto"/>
              </w:rPr>
              <w:t>54157690830</w:t>
            </w:r>
          </w:p>
        </w:tc>
      </w:tr>
      <w:tr>
        <w:trPr>
          <w:trHeight w:val="454"/>
        </w:trPr>
        <w:tc>
          <w:tcPr>
            <w:tcW w:w="260" w:type="dxa"/>
            <w:vAlign w:val="bottom"/>
          </w:tcPr>
          <w:p>
            <w:pPr>
              <w:spacing w:after="0"/>
              <w:rPr>
                <w:sz w:val="20"/>
                <w:szCs w:val="20"/>
                <w:color w:val="auto"/>
              </w:rPr>
            </w:pPr>
            <w:r>
              <w:rPr>
                <w:rFonts w:ascii="Arial" w:cs="Arial" w:eastAsia="Arial" w:hAnsi="Arial"/>
                <w:sz w:val="16"/>
                <w:szCs w:val="16"/>
                <w:b w:val="1"/>
                <w:bCs w:val="1"/>
                <w:color w:val="auto"/>
              </w:rPr>
              <w:t>1.3</w:t>
            </w:r>
          </w:p>
        </w:tc>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ASX issuer code</w:t>
            </w:r>
          </w:p>
        </w:tc>
        <w:tc>
          <w:tcPr>
            <w:tcW w:w="3280" w:type="dxa"/>
            <w:vAlign w:val="bottom"/>
          </w:tcPr>
          <w:p>
            <w:pPr>
              <w:spacing w:after="0"/>
              <w:rPr>
                <w:sz w:val="24"/>
                <w:szCs w:val="24"/>
                <w:color w:val="auto"/>
              </w:rPr>
            </w:pPr>
          </w:p>
        </w:tc>
      </w:tr>
      <w:tr>
        <w:trPr>
          <w:trHeight w:val="275"/>
        </w:trPr>
        <w:tc>
          <w:tcPr>
            <w:tcW w:w="4060" w:type="dxa"/>
            <w:vAlign w:val="bottom"/>
            <w:gridSpan w:val="2"/>
          </w:tcPr>
          <w:p>
            <w:pPr>
              <w:spacing w:after="0"/>
              <w:rPr>
                <w:sz w:val="20"/>
                <w:szCs w:val="20"/>
                <w:color w:val="auto"/>
              </w:rPr>
            </w:pPr>
            <w:r>
              <w:rPr>
                <w:rFonts w:ascii="Arial" w:cs="Arial" w:eastAsia="Arial" w:hAnsi="Arial"/>
                <w:sz w:val="16"/>
                <w:szCs w:val="16"/>
                <w:color w:val="auto"/>
              </w:rPr>
              <w:t>NVX</w:t>
            </w:r>
          </w:p>
        </w:tc>
        <w:tc>
          <w:tcPr>
            <w:tcW w:w="3280" w:type="dxa"/>
            <w:vAlign w:val="bottom"/>
          </w:tcPr>
          <w:p>
            <w:pPr>
              <w:spacing w:after="0"/>
              <w:rPr>
                <w:sz w:val="23"/>
                <w:szCs w:val="23"/>
                <w:color w:val="auto"/>
              </w:rPr>
            </w:pPr>
          </w:p>
        </w:tc>
      </w:tr>
      <w:tr>
        <w:trPr>
          <w:trHeight w:val="447"/>
        </w:trPr>
        <w:tc>
          <w:tcPr>
            <w:tcW w:w="260" w:type="dxa"/>
            <w:vAlign w:val="bottom"/>
          </w:tcPr>
          <w:p>
            <w:pPr>
              <w:spacing w:after="0"/>
              <w:rPr>
                <w:sz w:val="20"/>
                <w:szCs w:val="20"/>
                <w:color w:val="auto"/>
              </w:rPr>
            </w:pPr>
            <w:r>
              <w:rPr>
                <w:rFonts w:ascii="Arial" w:cs="Arial" w:eastAsia="Arial" w:hAnsi="Arial"/>
                <w:sz w:val="16"/>
                <w:szCs w:val="16"/>
                <w:b w:val="1"/>
                <w:bCs w:val="1"/>
                <w:color w:val="auto"/>
              </w:rPr>
              <w:t>1.4</w:t>
            </w:r>
          </w:p>
        </w:tc>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The announcement is</w:t>
            </w:r>
          </w:p>
        </w:tc>
        <w:tc>
          <w:tcPr>
            <w:tcW w:w="3280" w:type="dxa"/>
            <w:vAlign w:val="bottom"/>
          </w:tcPr>
          <w:p>
            <w:pPr>
              <w:spacing w:after="0"/>
              <w:rPr>
                <w:sz w:val="24"/>
                <w:szCs w:val="24"/>
                <w:color w:val="auto"/>
              </w:rPr>
            </w:pPr>
          </w:p>
        </w:tc>
      </w:tr>
      <w:tr>
        <w:trPr>
          <w:trHeight w:val="215"/>
        </w:trPr>
        <w:tc>
          <w:tcPr>
            <w:tcW w:w="4060" w:type="dxa"/>
            <w:vAlign w:val="bottom"/>
            <w:gridSpan w:val="2"/>
          </w:tcPr>
          <w:p>
            <w:pPr>
              <w:spacing w:after="0"/>
              <w:rPr>
                <w:sz w:val="20"/>
                <w:szCs w:val="20"/>
                <w:color w:val="auto"/>
              </w:rPr>
            </w:pPr>
            <w:r>
              <w:rPr>
                <w:rFonts w:ascii="Arial" w:cs="Arial" w:eastAsia="Arial" w:hAnsi="Arial"/>
                <w:sz w:val="16"/>
                <w:szCs w:val="16"/>
                <w:color w:val="auto"/>
              </w:rPr>
              <w:t>New announcement</w:t>
            </w:r>
          </w:p>
        </w:tc>
        <w:tc>
          <w:tcPr>
            <w:tcW w:w="3280" w:type="dxa"/>
            <w:vAlign w:val="bottom"/>
          </w:tcPr>
          <w:p>
            <w:pPr>
              <w:spacing w:after="0"/>
              <w:rPr>
                <w:sz w:val="18"/>
                <w:szCs w:val="18"/>
                <w:color w:val="auto"/>
              </w:rPr>
            </w:pPr>
          </w:p>
        </w:tc>
      </w:tr>
      <w:tr>
        <w:trPr>
          <w:trHeight w:val="251"/>
        </w:trPr>
        <w:tc>
          <w:tcPr>
            <w:tcW w:w="260" w:type="dxa"/>
            <w:vAlign w:val="bottom"/>
          </w:tcPr>
          <w:p>
            <w:pPr>
              <w:spacing w:after="0"/>
              <w:rPr>
                <w:sz w:val="20"/>
                <w:szCs w:val="20"/>
                <w:color w:val="auto"/>
              </w:rPr>
            </w:pPr>
            <w:r>
              <w:rPr>
                <w:rFonts w:ascii="Arial" w:cs="Arial" w:eastAsia="Arial" w:hAnsi="Arial"/>
                <w:sz w:val="16"/>
                <w:szCs w:val="16"/>
                <w:b w:val="1"/>
                <w:bCs w:val="1"/>
                <w:color w:val="auto"/>
              </w:rPr>
              <w:t>1.5</w:t>
            </w:r>
          </w:p>
        </w:tc>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Date of this announcement</w:t>
            </w:r>
          </w:p>
        </w:tc>
        <w:tc>
          <w:tcPr>
            <w:tcW w:w="3280" w:type="dxa"/>
            <w:vAlign w:val="bottom"/>
          </w:tcPr>
          <w:p>
            <w:pPr>
              <w:spacing w:after="0"/>
              <w:rPr>
                <w:sz w:val="21"/>
                <w:szCs w:val="21"/>
                <w:color w:val="auto"/>
              </w:rPr>
            </w:pPr>
          </w:p>
        </w:tc>
      </w:tr>
    </w:tbl>
    <w:p>
      <w:pPr>
        <w:spacing w:after="0" w:line="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17/6/2026</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1.6 The Proposed issue is: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 offer of +securities under a +securities purchase plan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placement or other type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70637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ind w:left="120"/>
              <w:spacing w:after="0"/>
              <w:rPr>
                <w:sz w:val="20"/>
                <w:szCs w:val="20"/>
                <w:color w:val="auto"/>
              </w:rPr>
            </w:pPr>
            <w:r>
              <w:rPr>
                <w:rFonts w:ascii="Arial" w:cs="Arial" w:eastAsia="Arial" w:hAnsi="Arial"/>
                <w:sz w:val="16"/>
                <w:szCs w:val="16"/>
                <w:color w:val="auto"/>
              </w:rPr>
              <w:t>Appendix 3B - Proposed issue of securities</w:t>
            </w:r>
          </w:p>
        </w:tc>
        <w:tc>
          <w:tcPr>
            <w:tcW w:w="4180" w:type="dxa"/>
            <w:vAlign w:val="bottom"/>
          </w:tcPr>
          <w:p>
            <w:pPr>
              <w:jc w:val="right"/>
              <w:spacing w:after="0"/>
              <w:rPr>
                <w:sz w:val="20"/>
                <w:szCs w:val="20"/>
                <w:color w:val="auto"/>
              </w:rPr>
            </w:pPr>
            <w:r>
              <w:rPr>
                <w:rFonts w:ascii="Arial" w:cs="Arial" w:eastAsia="Arial" w:hAnsi="Arial"/>
                <w:sz w:val="15"/>
                <w:szCs w:val="15"/>
                <w:color w:val="auto"/>
              </w:rPr>
              <w:t>2 / 9</w:t>
            </w:r>
          </w:p>
        </w:tc>
      </w:tr>
      <w:tr>
        <w:trPr>
          <w:trHeight w:val="522"/>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23114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4 - Details of proposed offer under securities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3549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4A -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3544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right="440"/>
        <w:spacing w:after="0" w:line="256" w:lineRule="auto"/>
        <w:rPr>
          <w:sz w:val="20"/>
          <w:szCs w:val="20"/>
          <w:color w:val="auto"/>
        </w:rPr>
      </w:pPr>
      <w:r>
        <w:rPr>
          <w:rFonts w:ascii="Arial" w:cs="Arial" w:eastAsia="Arial" w:hAnsi="Arial"/>
          <w:sz w:val="16"/>
          <w:szCs w:val="16"/>
          <w:b w:val="1"/>
          <w:bCs w:val="1"/>
          <w:color w:val="auto"/>
        </w:rPr>
        <w:t>4A.1 Do any external approvals need to be obtained or other conditions satisfied before the offer of +securities under the +securities purchase plan issue can proceed on an unconditional basis?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4A.1a Conditions</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2260" w:type="dxa"/>
            <w:vAlign w:val="bottom"/>
          </w:tcPr>
          <w:p>
            <w:pPr>
              <w:spacing w:after="0"/>
              <w:rPr>
                <w:sz w:val="20"/>
                <w:szCs w:val="20"/>
                <w:color w:val="auto"/>
              </w:rPr>
            </w:pPr>
            <w:r>
              <w:rPr>
                <w:rFonts w:ascii="Arial" w:cs="Arial" w:eastAsia="Arial" w:hAnsi="Arial"/>
                <w:sz w:val="16"/>
                <w:szCs w:val="16"/>
                <w:b w:val="1"/>
                <w:bCs w:val="1"/>
                <w:color w:val="auto"/>
              </w:rPr>
              <w:t>Approval/Condition</w:t>
            </w:r>
          </w:p>
        </w:tc>
        <w:tc>
          <w:tcPr>
            <w:tcW w:w="2840" w:type="dxa"/>
            <w:vAlign w:val="bottom"/>
          </w:tcPr>
          <w:p>
            <w:pPr>
              <w:ind w:left="560"/>
              <w:spacing w:after="0"/>
              <w:rPr>
                <w:sz w:val="20"/>
                <w:szCs w:val="20"/>
                <w:color w:val="auto"/>
              </w:rPr>
            </w:pPr>
            <w:r>
              <w:rPr>
                <w:rFonts w:ascii="Arial" w:cs="Arial" w:eastAsia="Arial" w:hAnsi="Arial"/>
                <w:sz w:val="16"/>
                <w:szCs w:val="16"/>
                <w:b w:val="1"/>
                <w:bCs w:val="1"/>
                <w:color w:val="auto"/>
              </w:rPr>
              <w:t>Date for determination</w:t>
            </w:r>
          </w:p>
        </w:tc>
        <w:tc>
          <w:tcPr>
            <w:tcW w:w="2780" w:type="dxa"/>
            <w:vAlign w:val="bottom"/>
          </w:tcPr>
          <w:p>
            <w:pPr>
              <w:ind w:left="540"/>
              <w:spacing w:after="0"/>
              <w:rPr>
                <w:sz w:val="20"/>
                <w:szCs w:val="20"/>
                <w:color w:val="auto"/>
              </w:rPr>
            </w:pPr>
            <w:r>
              <w:rPr>
                <w:rFonts w:ascii="Arial" w:cs="Arial" w:eastAsia="Arial" w:hAnsi="Arial"/>
                <w:sz w:val="16"/>
                <w:szCs w:val="16"/>
                <w:b w:val="1"/>
                <w:bCs w:val="1"/>
                <w:color w:val="auto"/>
              </w:rPr>
              <w:t>Is the date estimated or</w:t>
            </w:r>
          </w:p>
        </w:tc>
        <w:tc>
          <w:tcPr>
            <w:tcW w:w="2300" w:type="dxa"/>
            <w:vAlign w:val="bottom"/>
          </w:tcPr>
          <w:p>
            <w:pPr>
              <w:ind w:left="440"/>
              <w:spacing w:after="0"/>
              <w:rPr>
                <w:sz w:val="20"/>
                <w:szCs w:val="20"/>
                <w:color w:val="auto"/>
              </w:rPr>
            </w:pPr>
            <w:r>
              <w:rPr>
                <w:rFonts w:ascii="Arial" w:cs="Arial" w:eastAsia="Arial" w:hAnsi="Arial"/>
                <w:sz w:val="16"/>
                <w:szCs w:val="16"/>
                <w:b w:val="1"/>
                <w:bCs w:val="1"/>
                <w:color w:val="auto"/>
              </w:rPr>
              <w:t>** Approval</w:t>
            </w:r>
          </w:p>
        </w:tc>
        <w:tc>
          <w:tcPr>
            <w:tcW w:w="0" w:type="dxa"/>
            <w:vAlign w:val="bottom"/>
          </w:tcPr>
          <w:p>
            <w:pPr>
              <w:spacing w:after="0"/>
              <w:rPr>
                <w:sz w:val="1"/>
                <w:szCs w:val="1"/>
                <w:color w:val="auto"/>
              </w:rPr>
            </w:pPr>
          </w:p>
        </w:tc>
      </w:tr>
      <w:tr>
        <w:trPr>
          <w:trHeight w:val="223"/>
        </w:trPr>
        <w:tc>
          <w:tcPr>
            <w:tcW w:w="2260" w:type="dxa"/>
            <w:vAlign w:val="bottom"/>
            <w:vMerge w:val="restart"/>
          </w:tcPr>
          <w:p>
            <w:pPr>
              <w:spacing w:after="0"/>
              <w:rPr>
                <w:sz w:val="20"/>
                <w:szCs w:val="20"/>
                <w:color w:val="auto"/>
              </w:rPr>
            </w:pPr>
            <w:r>
              <w:rPr>
                <w:rFonts w:ascii="Arial" w:cs="Arial" w:eastAsia="Arial" w:hAnsi="Arial"/>
                <w:sz w:val="16"/>
                <w:szCs w:val="16"/>
                <w:color w:val="auto"/>
              </w:rPr>
              <w:t>Other (please specify in</w:t>
            </w:r>
          </w:p>
        </w:tc>
        <w:tc>
          <w:tcPr>
            <w:tcW w:w="2840" w:type="dxa"/>
            <w:vAlign w:val="bottom"/>
            <w:vMerge w:val="restart"/>
          </w:tcPr>
          <w:p>
            <w:pPr>
              <w:ind w:left="560"/>
              <w:spacing w:after="0"/>
              <w:rPr>
                <w:sz w:val="20"/>
                <w:szCs w:val="20"/>
                <w:color w:val="auto"/>
              </w:rPr>
            </w:pPr>
            <w:r>
              <w:rPr>
                <w:rFonts w:ascii="Arial" w:cs="Arial" w:eastAsia="Arial" w:hAnsi="Arial"/>
                <w:sz w:val="16"/>
                <w:szCs w:val="16"/>
                <w:color w:val="auto"/>
              </w:rPr>
              <w:t>1/7/2026</w:t>
            </w:r>
          </w:p>
        </w:tc>
        <w:tc>
          <w:tcPr>
            <w:tcW w:w="2780" w:type="dxa"/>
            <w:vAlign w:val="bottom"/>
          </w:tcPr>
          <w:p>
            <w:pPr>
              <w:ind w:left="540"/>
              <w:spacing w:after="0"/>
              <w:rPr>
                <w:sz w:val="20"/>
                <w:szCs w:val="20"/>
                <w:color w:val="auto"/>
              </w:rPr>
            </w:pPr>
            <w:r>
              <w:rPr>
                <w:rFonts w:ascii="Arial" w:cs="Arial" w:eastAsia="Arial" w:hAnsi="Arial"/>
                <w:sz w:val="16"/>
                <w:szCs w:val="16"/>
                <w:b w:val="1"/>
                <w:bCs w:val="1"/>
                <w:color w:val="auto"/>
              </w:rPr>
              <w:t>actual?</w:t>
            </w:r>
          </w:p>
        </w:tc>
        <w:tc>
          <w:tcPr>
            <w:tcW w:w="2300" w:type="dxa"/>
            <w:vAlign w:val="bottom"/>
          </w:tcPr>
          <w:p>
            <w:pPr>
              <w:ind w:left="440"/>
              <w:spacing w:after="0"/>
              <w:rPr>
                <w:sz w:val="20"/>
                <w:szCs w:val="20"/>
                <w:color w:val="auto"/>
              </w:rPr>
            </w:pPr>
            <w:r>
              <w:rPr>
                <w:rFonts w:ascii="Arial" w:cs="Arial" w:eastAsia="Arial" w:hAnsi="Arial"/>
                <w:sz w:val="16"/>
                <w:szCs w:val="16"/>
                <w:b w:val="1"/>
                <w:bCs w:val="1"/>
                <w:color w:val="auto"/>
                <w:w w:val="99"/>
              </w:rPr>
              <w:t>received/condition met?</w:t>
            </w:r>
          </w:p>
        </w:tc>
        <w:tc>
          <w:tcPr>
            <w:tcW w:w="0" w:type="dxa"/>
            <w:vAlign w:val="bottom"/>
          </w:tcPr>
          <w:p>
            <w:pPr>
              <w:spacing w:after="0"/>
              <w:rPr>
                <w:sz w:val="1"/>
                <w:szCs w:val="1"/>
                <w:color w:val="auto"/>
              </w:rPr>
            </w:pPr>
          </w:p>
        </w:tc>
      </w:tr>
      <w:tr>
        <w:trPr>
          <w:trHeight w:val="61"/>
        </w:trPr>
        <w:tc>
          <w:tcPr>
            <w:tcW w:w="2260" w:type="dxa"/>
            <w:vAlign w:val="bottom"/>
            <w:vMerge w:val="continue"/>
          </w:tcPr>
          <w:p>
            <w:pPr>
              <w:spacing w:after="0"/>
              <w:rPr>
                <w:sz w:val="5"/>
                <w:szCs w:val="5"/>
                <w:color w:val="auto"/>
              </w:rPr>
            </w:pPr>
          </w:p>
        </w:tc>
        <w:tc>
          <w:tcPr>
            <w:tcW w:w="2840" w:type="dxa"/>
            <w:vAlign w:val="bottom"/>
            <w:vMerge w:val="continue"/>
          </w:tcPr>
          <w:p>
            <w:pPr>
              <w:spacing w:after="0"/>
              <w:rPr>
                <w:sz w:val="5"/>
                <w:szCs w:val="5"/>
                <w:color w:val="auto"/>
              </w:rPr>
            </w:pPr>
          </w:p>
        </w:tc>
        <w:tc>
          <w:tcPr>
            <w:tcW w:w="27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6"/>
                <w:szCs w:val="16"/>
                <w:color w:val="auto"/>
              </w:rPr>
              <w:t>comment section)</w:t>
            </w:r>
          </w:p>
        </w:tc>
        <w:tc>
          <w:tcPr>
            <w:tcW w:w="2840" w:type="dxa"/>
            <w:vAlign w:val="bottom"/>
          </w:tcPr>
          <w:p>
            <w:pPr>
              <w:spacing w:after="0"/>
              <w:rPr>
                <w:sz w:val="18"/>
                <w:szCs w:val="18"/>
                <w:color w:val="auto"/>
              </w:rPr>
            </w:pPr>
          </w:p>
        </w:tc>
        <w:tc>
          <w:tcPr>
            <w:tcW w:w="2780" w:type="dxa"/>
            <w:vAlign w:val="bottom"/>
          </w:tcPr>
          <w:p>
            <w:pPr>
              <w:ind w:left="540"/>
              <w:spacing w:after="0"/>
              <w:rPr>
                <w:sz w:val="20"/>
                <w:szCs w:val="20"/>
                <w:color w:val="auto"/>
              </w:rPr>
            </w:pPr>
            <w:r>
              <w:rPr>
                <w:rFonts w:ascii="Arial" w:cs="Arial" w:eastAsia="Arial" w:hAnsi="Arial"/>
                <w:sz w:val="16"/>
                <w:szCs w:val="16"/>
                <w:color w:val="auto"/>
              </w:rPr>
              <w:t>Estimated</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35560</wp:posOffset>
            </wp:positionV>
            <wp:extent cx="6707505" cy="329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329565"/>
                    </a:xfrm>
                    <a:prstGeom prst="rect">
                      <a:avLst/>
                    </a:prstGeom>
                    <a:noFill/>
                  </pic:spPr>
                </pic:pic>
              </a:graphicData>
            </a:graphic>
          </wp:anchor>
        </w:drawing>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ASX Waivers from Listing Rules 7.1 and 10.11 are being sought to issue the SPP shares at the same price as the institutional placement.</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will seek Shareholder approval for the SPP at an EGM if the waivers are not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70637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Pr>
          <w:p>
            <w:pPr>
              <w:ind w:left="120"/>
              <w:spacing w:after="0"/>
              <w:rPr>
                <w:sz w:val="20"/>
                <w:szCs w:val="20"/>
                <w:color w:val="auto"/>
              </w:rPr>
            </w:pPr>
            <w:r>
              <w:rPr>
                <w:rFonts w:ascii="Arial" w:cs="Arial" w:eastAsia="Arial" w:hAnsi="Arial"/>
                <w:sz w:val="16"/>
                <w:szCs w:val="16"/>
                <w:color w:val="auto"/>
              </w:rPr>
              <w:t>Appendix 3B - Proposed issue of securities</w:t>
            </w:r>
          </w:p>
        </w:tc>
        <w:tc>
          <w:tcPr>
            <w:tcW w:w="4180" w:type="dxa"/>
            <w:vAlign w:val="bottom"/>
          </w:tcPr>
          <w:p>
            <w:pPr>
              <w:jc w:val="right"/>
              <w:spacing w:after="0"/>
              <w:rPr>
                <w:sz w:val="20"/>
                <w:szCs w:val="20"/>
                <w:color w:val="auto"/>
              </w:rPr>
            </w:pPr>
            <w:r>
              <w:rPr>
                <w:rFonts w:ascii="Arial" w:cs="Arial" w:eastAsia="Arial" w:hAnsi="Arial"/>
                <w:sz w:val="15"/>
                <w:szCs w:val="15"/>
                <w:color w:val="auto"/>
              </w:rPr>
              <w:t>3 / 9</w:t>
            </w:r>
          </w:p>
        </w:tc>
      </w:tr>
      <w:tr>
        <w:trPr>
          <w:trHeight w:val="522"/>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23114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4B - Offer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3544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0" w:right="940"/>
        <w:spacing w:after="0" w:line="296" w:lineRule="auto"/>
        <w:rPr>
          <w:sz w:val="20"/>
          <w:szCs w:val="20"/>
          <w:color w:val="auto"/>
        </w:rPr>
      </w:pPr>
      <w:r>
        <w:rPr>
          <w:rFonts w:ascii="Arial" w:cs="Arial" w:eastAsia="Arial" w:hAnsi="Arial"/>
          <w:sz w:val="16"/>
          <w:szCs w:val="16"/>
          <w:b w:val="1"/>
          <w:bCs w:val="1"/>
          <w:color w:val="auto"/>
        </w:rPr>
        <w:t>+Class or classes of +securities that will participate in the proposed issue and +class or classes of +securities proposed to be issued</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ASX +security code and description</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 : ORDINARY FULLY PAID</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Will the proposed issue of this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+security include an offer of</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attaching +securities?</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Details of +securities proposed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70637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ASX +security code and description</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 : ORDINARY FULLY PAID</w:t>
      </w:r>
    </w:p>
    <w:p>
      <w:pPr>
        <w:spacing w:after="0" w:line="289" w:lineRule="exact"/>
        <w:rPr>
          <w:sz w:val="20"/>
          <w:szCs w:val="20"/>
          <w:color w:val="auto"/>
        </w:rPr>
      </w:pPr>
    </w:p>
    <w:p>
      <w:pPr>
        <w:ind w:left="600" w:right="4820"/>
        <w:spacing w:after="0" w:line="296" w:lineRule="auto"/>
        <w:rPr>
          <w:sz w:val="20"/>
          <w:szCs w:val="20"/>
          <w:color w:val="auto"/>
        </w:rPr>
      </w:pPr>
      <w:r>
        <w:rPr>
          <w:rFonts w:ascii="Arial" w:cs="Arial" w:eastAsia="Arial" w:hAnsi="Arial"/>
          <w:sz w:val="16"/>
          <w:szCs w:val="16"/>
          <w:b w:val="1"/>
          <w:bCs w:val="1"/>
          <w:color w:val="auto"/>
        </w:rPr>
        <w:t>Maximum total number of those +securities that could be issued if all offers under the +securities purchase plan are accepted</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18,750,000</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Will the offer be conditional on applications for a minimum number of</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+securities being received or a minimum amount being raised (i.e. a</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minimum subscription condition)?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Will the offer be conditional on applications for a maximum number of</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+securities being received or a maximum amount being raised (i.e. a</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maximum subscription condition)?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165" w:lineRule="exact"/>
        <w:rPr>
          <w:sz w:val="20"/>
          <w:szCs w:val="20"/>
          <w:color w:val="auto"/>
        </w:rPr>
      </w:pPr>
    </w:p>
    <w:p>
      <w:pPr>
        <w:ind w:left="600" w:right="4720"/>
        <w:spacing w:after="0" w:line="256" w:lineRule="auto"/>
        <w:rPr>
          <w:sz w:val="20"/>
          <w:szCs w:val="20"/>
          <w:color w:val="auto"/>
        </w:rPr>
      </w:pPr>
      <w:r>
        <w:rPr>
          <w:rFonts w:ascii="Arial" w:cs="Arial" w:eastAsia="Arial" w:hAnsi="Arial"/>
          <w:sz w:val="16"/>
          <w:szCs w:val="16"/>
          <w:b w:val="1"/>
          <w:bCs w:val="1"/>
          <w:color w:val="auto"/>
        </w:rPr>
        <w:t>Will individual security holders be required to accept the offer for a minimum number or value of +securities (i.e. a minimum acceptance condition)?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Is the minimum acceptance unit based or dollar based?</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Dollar based ($)</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Please enter the minimum acceptance value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$ 1,000</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Will individual security holders be limited to accepting the offer for a</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maximum number or value of +securities (i.e. a maximum acceptance</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condition)?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Is the maximum acceptance unit based or dollar based?</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Dollar based ($)</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Please enter the maximum acceptance value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70637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Pr>
          <w:p>
            <w:pPr>
              <w:ind w:left="120"/>
              <w:spacing w:after="0"/>
              <w:rPr>
                <w:sz w:val="20"/>
                <w:szCs w:val="20"/>
                <w:color w:val="auto"/>
              </w:rPr>
            </w:pPr>
            <w:r>
              <w:rPr>
                <w:rFonts w:ascii="Arial" w:cs="Arial" w:eastAsia="Arial" w:hAnsi="Arial"/>
                <w:sz w:val="16"/>
                <w:szCs w:val="16"/>
                <w:color w:val="auto"/>
              </w:rPr>
              <w:t>Appendix 3B - Proposed issue of securities</w:t>
            </w:r>
          </w:p>
        </w:tc>
        <w:tc>
          <w:tcPr>
            <w:tcW w:w="4180" w:type="dxa"/>
            <w:vAlign w:val="bottom"/>
          </w:tcPr>
          <w:p>
            <w:pPr>
              <w:jc w:val="right"/>
              <w:spacing w:after="0"/>
              <w:rPr>
                <w:sz w:val="20"/>
                <w:szCs w:val="20"/>
                <w:color w:val="auto"/>
              </w:rPr>
            </w:pPr>
            <w:r>
              <w:rPr>
                <w:rFonts w:ascii="Arial" w:cs="Arial" w:eastAsia="Arial" w:hAnsi="Arial"/>
                <w:sz w:val="15"/>
                <w:szCs w:val="15"/>
                <w:color w:val="auto"/>
              </w:rPr>
              <w:t>4 / 9</w:t>
            </w:r>
          </w:p>
        </w:tc>
      </w:tr>
      <w:tr>
        <w:trPr>
          <w:trHeight w:val="508"/>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 w:name="page18"/>
    <w:bookmarkEnd w:id="17"/>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23114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3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Describe all the applicable parcels available for this offer in number of securities or dollar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35560</wp:posOffset>
            </wp:positionV>
            <wp:extent cx="5773420" cy="3213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73420" cy="321310"/>
                    </a:xfrm>
                    <a:prstGeom prst="rect">
                      <a:avLst/>
                    </a:prstGeom>
                    <a:noFill/>
                  </pic:spPr>
                </pic:pic>
              </a:graphicData>
            </a:graphic>
          </wp:anchor>
        </w:drawing>
      </w:r>
    </w:p>
    <w:p>
      <w:pPr>
        <w:spacing w:after="0" w:line="93" w:lineRule="exact"/>
        <w:rPr>
          <w:sz w:val="20"/>
          <w:szCs w:val="20"/>
          <w:color w:val="auto"/>
        </w:rPr>
      </w:pPr>
    </w:p>
    <w:p>
      <w:pPr>
        <w:ind w:left="660" w:right="3400"/>
        <w:spacing w:after="0" w:line="286" w:lineRule="auto"/>
        <w:rPr>
          <w:sz w:val="20"/>
          <w:szCs w:val="20"/>
          <w:color w:val="auto"/>
        </w:rPr>
      </w:pPr>
      <w:r>
        <w:rPr>
          <w:rFonts w:ascii="Arial" w:cs="Arial" w:eastAsia="Arial" w:hAnsi="Arial"/>
          <w:sz w:val="16"/>
          <w:szCs w:val="16"/>
          <w:color w:val="auto"/>
        </w:rPr>
        <w:t>Under the SPP eligible shareholders may apply for New Shares in parcels of $1000, $2,000, $5,000, $10,000, $15,000, $20,000, $30,000.</w:t>
      </w:r>
    </w:p>
    <w:p>
      <w:pPr>
        <w:sectPr>
          <w:pgSz w:w="11900" w:h="16838" w:orient="portrait"/>
          <w:cols w:equalWidth="0" w:num="1">
            <w:col w:w="11240"/>
          </w:cols>
          <w:pgMar w:left="320" w:top="490" w:right="339" w:bottom="1440" w:gutter="0" w:footer="0" w:header="0"/>
        </w:sectPr>
      </w:pPr>
    </w:p>
    <w:p>
      <w:pPr>
        <w:spacing w:after="0" w:line="4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Offer price details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Has the offer price been determined?</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70" w:lineRule="exact"/>
        <w:rPr>
          <w:sz w:val="20"/>
          <w:szCs w:val="20"/>
          <w:color w:val="auto"/>
        </w:rPr>
      </w:pPr>
    </w:p>
    <w:p>
      <w:pPr>
        <w:ind w:left="600" w:right="580"/>
        <w:spacing w:after="0" w:line="296" w:lineRule="auto"/>
        <w:rPr>
          <w:sz w:val="20"/>
          <w:szCs w:val="20"/>
          <w:color w:val="auto"/>
        </w:rPr>
      </w:pPr>
      <w:r>
        <w:rPr>
          <w:rFonts w:ascii="Arial" w:cs="Arial" w:eastAsia="Arial" w:hAnsi="Arial"/>
          <w:sz w:val="16"/>
          <w:szCs w:val="16"/>
          <w:b w:val="1"/>
          <w:bCs w:val="1"/>
          <w:color w:val="auto"/>
        </w:rPr>
        <w:t>In what currency will the offer be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offer price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w:t>
      </w:r>
    </w:p>
    <w:p>
      <w:pPr>
        <w:spacing w:after="0" w:line="83" w:lineRule="exact"/>
        <w:rPr>
          <w:sz w:val="20"/>
          <w:szCs w:val="20"/>
          <w:color w:val="auto"/>
        </w:rPr>
      </w:pPr>
    </w:p>
    <w:p>
      <w:pPr>
        <w:sectPr>
          <w:pgSz w:w="11900" w:h="16838" w:orient="portrait"/>
          <w:cols w:equalWidth="0" w:num="2">
            <w:col w:w="3460" w:space="180"/>
            <w:col w:w="7600"/>
          </w:cols>
          <w:pgMar w:left="320" w:top="490" w:right="339" w:bottom="1440" w:gutter="0" w:footer="0" w:header="0"/>
          <w:type w:val="continuous"/>
        </w:sectPr>
      </w:pPr>
    </w:p>
    <w:tbl>
      <w:tblPr>
        <w:tblLayout w:type="fixed"/>
        <w:tblInd w:w="600" w:type="dxa"/>
        <w:tblCellMar>
          <w:top w:w="0" w:type="dxa"/>
          <w:left w:w="0" w:type="dxa"/>
          <w:bottom w:w="0" w:type="dxa"/>
          <w:right w:w="0" w:type="dxa"/>
        </w:tblCellMar>
      </w:tblPr>
      <w:tr>
        <w:trPr>
          <w:trHeight w:val="215"/>
        </w:trPr>
        <w:tc>
          <w:tcPr>
            <w:tcW w:w="2340" w:type="dxa"/>
            <w:vAlign w:val="bottom"/>
          </w:tcPr>
          <w:p>
            <w:pPr>
              <w:spacing w:after="0"/>
              <w:rPr>
                <w:sz w:val="20"/>
                <w:szCs w:val="20"/>
                <w:color w:val="auto"/>
              </w:rPr>
            </w:pPr>
            <w:r>
              <w:rPr>
                <w:rFonts w:ascii="Arial" w:cs="Arial" w:eastAsia="Arial" w:hAnsi="Arial"/>
                <w:sz w:val="16"/>
                <w:szCs w:val="16"/>
                <w:color w:val="auto"/>
              </w:rPr>
              <w:t>AUD - Australian Dollar</w:t>
            </w:r>
          </w:p>
        </w:tc>
        <w:tc>
          <w:tcPr>
            <w:tcW w:w="1660" w:type="dxa"/>
            <w:vAlign w:val="bottom"/>
          </w:tcPr>
          <w:p>
            <w:pPr>
              <w:ind w:left="700"/>
              <w:spacing w:after="0"/>
              <w:rPr>
                <w:sz w:val="20"/>
                <w:szCs w:val="20"/>
                <w:color w:val="auto"/>
              </w:rPr>
            </w:pPr>
            <w:r>
              <w:rPr>
                <w:rFonts w:ascii="Arial" w:cs="Arial" w:eastAsia="Arial" w:hAnsi="Arial"/>
                <w:sz w:val="16"/>
                <w:szCs w:val="16"/>
                <w:color w:val="auto"/>
                <w:w w:val="97"/>
              </w:rPr>
              <w:t>AUD 0.16000</w:t>
            </w:r>
          </w:p>
        </w:tc>
      </w:tr>
    </w:tbl>
    <w:p>
      <w:pPr>
        <w:spacing w:after="0" w:line="200" w:lineRule="exact"/>
        <w:rPr>
          <w:sz w:val="20"/>
          <w:szCs w:val="20"/>
          <w:color w:val="auto"/>
        </w:rPr>
      </w:pPr>
    </w:p>
    <w:p>
      <w:pPr>
        <w:spacing w:after="0" w:line="30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Oversubscription &amp; Scale back details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Will a scale back be applied if the offer is over-subscribed?</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Describe the scale back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35560</wp:posOffset>
            </wp:positionV>
            <wp:extent cx="5773420" cy="201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3420" cy="201295"/>
                    </a:xfrm>
                    <a:prstGeom prst="rect">
                      <a:avLst/>
                    </a:prstGeom>
                    <a:noFill/>
                  </pic:spPr>
                </pic:pic>
              </a:graphicData>
            </a:graphic>
          </wp:anchor>
        </w:drawing>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NOVONIX may in its absolute discretion determine to apply any scale back to the extent and in the manner it sees fit.</w:t>
      </w:r>
    </w:p>
    <w:p>
      <w:pPr>
        <w:spacing w:after="0" w:line="113" w:lineRule="exact"/>
        <w:rPr>
          <w:sz w:val="20"/>
          <w:szCs w:val="20"/>
          <w:color w:val="auto"/>
        </w:rPr>
      </w:pPr>
    </w:p>
    <w:p>
      <w:pPr>
        <w:ind w:left="600" w:right="3360"/>
        <w:spacing w:after="0" w:line="256" w:lineRule="auto"/>
        <w:rPr>
          <w:sz w:val="20"/>
          <w:szCs w:val="20"/>
          <w:color w:val="auto"/>
        </w:rPr>
      </w:pPr>
      <w:r>
        <w:rPr>
          <w:rFonts w:ascii="Arial" w:cs="Arial" w:eastAsia="Arial" w:hAnsi="Arial"/>
          <w:sz w:val="16"/>
          <w:szCs w:val="16"/>
          <w:b w:val="1"/>
          <w:bCs w:val="1"/>
          <w:color w:val="auto"/>
        </w:rPr>
        <w:t>Will these +securities rank equally in all respects from their issue date with the existing issued +securities in that class?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4C - Timetable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2255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4C.1 Date of announcement of +security purchase plan</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17/6/2026</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4C.2 +Record date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16/6/2026</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4C.3 Date on which offer documents will be made available to investors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22/6/2026</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840" w:type="dxa"/>
            <w:vAlign w:val="bottom"/>
          </w:tcPr>
          <w:p>
            <w:pPr>
              <w:ind w:left="480"/>
              <w:spacing w:after="0"/>
              <w:rPr>
                <w:sz w:val="20"/>
                <w:szCs w:val="20"/>
                <w:color w:val="auto"/>
              </w:rPr>
            </w:pPr>
            <w:r>
              <w:rPr>
                <w:rFonts w:ascii="Arial" w:cs="Arial" w:eastAsia="Arial" w:hAnsi="Arial"/>
                <w:sz w:val="16"/>
                <w:szCs w:val="16"/>
                <w:b w:val="1"/>
                <w:bCs w:val="1"/>
                <w:color w:val="auto"/>
              </w:rPr>
              <w:t>4C.4</w:t>
            </w:r>
          </w:p>
        </w:tc>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Offer open date</w:t>
            </w:r>
          </w:p>
        </w:tc>
        <w:tc>
          <w:tcPr>
            <w:tcW w:w="2340" w:type="dxa"/>
            <w:vAlign w:val="bottom"/>
          </w:tcPr>
          <w:p>
            <w:pPr>
              <w:spacing w:after="0"/>
              <w:rPr>
                <w:sz w:val="19"/>
                <w:szCs w:val="19"/>
                <w:color w:val="auto"/>
              </w:rPr>
            </w:pPr>
          </w:p>
        </w:tc>
      </w:tr>
      <w:tr>
        <w:trPr>
          <w:trHeight w:val="289"/>
        </w:trPr>
        <w:tc>
          <w:tcPr>
            <w:tcW w:w="8900" w:type="dxa"/>
            <w:vAlign w:val="bottom"/>
            <w:gridSpan w:val="3"/>
          </w:tcPr>
          <w:p>
            <w:pPr>
              <w:ind w:left="600"/>
              <w:spacing w:after="0"/>
              <w:rPr>
                <w:sz w:val="20"/>
                <w:szCs w:val="20"/>
                <w:color w:val="auto"/>
              </w:rPr>
            </w:pPr>
            <w:r>
              <w:rPr>
                <w:rFonts w:ascii="Arial" w:cs="Arial" w:eastAsia="Arial" w:hAnsi="Arial"/>
                <w:sz w:val="16"/>
                <w:szCs w:val="16"/>
                <w:color w:val="auto"/>
              </w:rPr>
              <w:t>22/6/2026</w:t>
            </w:r>
          </w:p>
        </w:tc>
        <w:tc>
          <w:tcPr>
            <w:tcW w:w="2340" w:type="dxa"/>
            <w:vAlign w:val="bottom"/>
          </w:tcPr>
          <w:p>
            <w:pPr>
              <w:spacing w:after="0"/>
              <w:rPr>
                <w:sz w:val="24"/>
                <w:szCs w:val="24"/>
                <w:color w:val="auto"/>
              </w:rPr>
            </w:pPr>
          </w:p>
        </w:tc>
      </w:tr>
      <w:tr>
        <w:trPr>
          <w:trHeight w:val="480"/>
        </w:trPr>
        <w:tc>
          <w:tcPr>
            <w:tcW w:w="12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Arial" w:cs="Arial" w:eastAsia="Arial" w:hAnsi="Arial"/>
                <w:sz w:val="16"/>
                <w:szCs w:val="16"/>
                <w:b w:val="1"/>
                <w:bCs w:val="1"/>
                <w:color w:val="auto"/>
              </w:rPr>
              <w:t>4C.5</w:t>
            </w:r>
          </w:p>
        </w:tc>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Offer closing date</w:t>
            </w:r>
          </w:p>
        </w:tc>
        <w:tc>
          <w:tcPr>
            <w:tcW w:w="2340" w:type="dxa"/>
            <w:vAlign w:val="bottom"/>
          </w:tcPr>
          <w:p>
            <w:pPr>
              <w:spacing w:after="0"/>
              <w:rPr>
                <w:sz w:val="24"/>
                <w:szCs w:val="24"/>
                <w:color w:val="auto"/>
              </w:rPr>
            </w:pPr>
          </w:p>
        </w:tc>
      </w:tr>
      <w:tr>
        <w:trPr>
          <w:trHeight w:val="275"/>
        </w:trPr>
        <w:tc>
          <w:tcPr>
            <w:tcW w:w="8900" w:type="dxa"/>
            <w:vAlign w:val="bottom"/>
            <w:gridSpan w:val="3"/>
          </w:tcPr>
          <w:p>
            <w:pPr>
              <w:ind w:left="600"/>
              <w:spacing w:after="0"/>
              <w:rPr>
                <w:sz w:val="20"/>
                <w:szCs w:val="20"/>
                <w:color w:val="auto"/>
              </w:rPr>
            </w:pPr>
            <w:r>
              <w:rPr>
                <w:rFonts w:ascii="Arial" w:cs="Arial" w:eastAsia="Arial" w:hAnsi="Arial"/>
                <w:sz w:val="16"/>
                <w:szCs w:val="16"/>
                <w:color w:val="auto"/>
              </w:rPr>
              <w:t>14/8/2026</w:t>
            </w:r>
          </w:p>
        </w:tc>
        <w:tc>
          <w:tcPr>
            <w:tcW w:w="2340" w:type="dxa"/>
            <w:vAlign w:val="bottom"/>
          </w:tcPr>
          <w:p>
            <w:pPr>
              <w:spacing w:after="0"/>
              <w:rPr>
                <w:sz w:val="23"/>
                <w:szCs w:val="23"/>
                <w:color w:val="auto"/>
              </w:rPr>
            </w:pPr>
          </w:p>
        </w:tc>
      </w:tr>
      <w:tr>
        <w:trPr>
          <w:trHeight w:val="447"/>
        </w:trPr>
        <w:tc>
          <w:tcPr>
            <w:tcW w:w="12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Arial" w:cs="Arial" w:eastAsia="Arial" w:hAnsi="Arial"/>
                <w:sz w:val="16"/>
                <w:szCs w:val="16"/>
                <w:b w:val="1"/>
                <w:bCs w:val="1"/>
                <w:color w:val="auto"/>
              </w:rPr>
              <w:t>4C.7</w:t>
            </w:r>
          </w:p>
        </w:tc>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+Issue date and last day for entity to announce results of +security purchase</w:t>
            </w:r>
          </w:p>
        </w:tc>
        <w:tc>
          <w:tcPr>
            <w:tcW w:w="2340" w:type="dxa"/>
            <w:vAlign w:val="bottom"/>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8780" w:type="dxa"/>
            <w:vAlign w:val="bottom"/>
            <w:gridSpan w:val="2"/>
          </w:tcPr>
          <w:p>
            <w:pPr>
              <w:ind w:left="480"/>
              <w:spacing w:after="0"/>
              <w:rPr>
                <w:sz w:val="20"/>
                <w:szCs w:val="20"/>
                <w:color w:val="auto"/>
              </w:rPr>
            </w:pPr>
            <w:r>
              <w:rPr>
                <w:rFonts w:ascii="Arial" w:cs="Arial" w:eastAsia="Arial" w:hAnsi="Arial"/>
                <w:sz w:val="16"/>
                <w:szCs w:val="16"/>
                <w:b w:val="1"/>
                <w:bCs w:val="1"/>
                <w:color w:val="auto"/>
              </w:rPr>
              <w:t>plan offer</w:t>
            </w:r>
          </w:p>
        </w:tc>
        <w:tc>
          <w:tcPr>
            <w:tcW w:w="2340" w:type="dxa"/>
            <w:vAlign w:val="bottom"/>
          </w:tcPr>
          <w:p>
            <w:pPr>
              <w:spacing w:after="0"/>
              <w:rPr>
                <w:sz w:val="19"/>
                <w:szCs w:val="19"/>
                <w:color w:val="auto"/>
              </w:rPr>
            </w:pPr>
          </w:p>
        </w:tc>
      </w:tr>
      <w:tr>
        <w:trPr>
          <w:trHeight w:val="264"/>
        </w:trPr>
        <w:tc>
          <w:tcPr>
            <w:tcW w:w="8900" w:type="dxa"/>
            <w:vAlign w:val="bottom"/>
            <w:gridSpan w:val="3"/>
          </w:tcPr>
          <w:p>
            <w:pPr>
              <w:ind w:left="600"/>
              <w:spacing w:after="0"/>
              <w:rPr>
                <w:sz w:val="20"/>
                <w:szCs w:val="20"/>
                <w:color w:val="auto"/>
              </w:rPr>
            </w:pPr>
            <w:r>
              <w:rPr>
                <w:rFonts w:ascii="Arial" w:cs="Arial" w:eastAsia="Arial" w:hAnsi="Arial"/>
                <w:sz w:val="16"/>
                <w:szCs w:val="16"/>
                <w:color w:val="auto"/>
              </w:rPr>
              <w:t>19/8/2026</w:t>
            </w:r>
          </w:p>
        </w:tc>
        <w:tc>
          <w:tcPr>
            <w:tcW w:w="2340" w:type="dxa"/>
            <w:vAlign w:val="bottom"/>
          </w:tcPr>
          <w:p>
            <w:pPr>
              <w:spacing w:after="0"/>
              <w:rPr>
                <w:sz w:val="22"/>
                <w:szCs w:val="22"/>
                <w:color w:val="auto"/>
              </w:rPr>
            </w:pPr>
          </w:p>
        </w:tc>
      </w:tr>
      <w:tr>
        <w:trPr>
          <w:trHeight w:val="302"/>
        </w:trPr>
        <w:tc>
          <w:tcPr>
            <w:tcW w:w="120" w:type="dxa"/>
            <w:vAlign w:val="bottom"/>
          </w:tcPr>
          <w:p>
            <w:pPr>
              <w:spacing w:after="0"/>
              <w:rPr>
                <w:sz w:val="24"/>
                <w:szCs w:val="24"/>
                <w:color w:val="auto"/>
              </w:rPr>
            </w:pPr>
          </w:p>
        </w:tc>
        <w:tc>
          <w:tcPr>
            <w:tcW w:w="8780" w:type="dxa"/>
            <w:vAlign w:val="bottom"/>
            <w:tcBorders>
              <w:top w:val="single" w:sz="8" w:color="7F7F7F"/>
            </w:tcBorders>
            <w:gridSpan w:val="2"/>
          </w:tcPr>
          <w:p>
            <w:pPr>
              <w:spacing w:after="0"/>
              <w:rPr>
                <w:sz w:val="20"/>
                <w:szCs w:val="20"/>
                <w:color w:val="auto"/>
              </w:rPr>
            </w:pPr>
            <w:r>
              <w:rPr>
                <w:rFonts w:ascii="Arial" w:cs="Arial" w:eastAsia="Arial" w:hAnsi="Arial"/>
                <w:sz w:val="16"/>
                <w:szCs w:val="16"/>
                <w:color w:val="auto"/>
              </w:rPr>
              <w:t>Appendix 3B - Proposed issue of securities</w:t>
            </w:r>
          </w:p>
        </w:tc>
        <w:tc>
          <w:tcPr>
            <w:tcW w:w="2340" w:type="dxa"/>
            <w:vAlign w:val="bottom"/>
            <w:tcBorders>
              <w:top w:val="single" w:sz="8" w:color="7F7F7F"/>
            </w:tcBorders>
          </w:tcPr>
          <w:p>
            <w:pPr>
              <w:jc w:val="right"/>
              <w:spacing w:after="0"/>
              <w:rPr>
                <w:sz w:val="20"/>
                <w:szCs w:val="20"/>
                <w:color w:val="auto"/>
              </w:rPr>
            </w:pPr>
            <w:r>
              <w:rPr>
                <w:rFonts w:ascii="Arial" w:cs="Arial" w:eastAsia="Arial" w:hAnsi="Arial"/>
                <w:sz w:val="15"/>
                <w:szCs w:val="15"/>
                <w:color w:val="auto"/>
              </w:rPr>
              <w:t>5 / 9</w:t>
            </w:r>
          </w:p>
        </w:tc>
      </w:tr>
      <w:tr>
        <w:trPr>
          <w:trHeight w:val="522"/>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8" w:name="page19"/>
    <w:bookmarkEnd w:id="18"/>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23114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4D - Listing Rule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20231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right="540"/>
        <w:spacing w:after="0" w:line="256" w:lineRule="auto"/>
        <w:rPr>
          <w:sz w:val="20"/>
          <w:szCs w:val="20"/>
          <w:color w:val="auto"/>
        </w:rPr>
      </w:pPr>
      <w:r>
        <w:rPr>
          <w:rFonts w:ascii="Arial" w:cs="Arial" w:eastAsia="Arial" w:hAnsi="Arial"/>
          <w:sz w:val="16"/>
          <w:szCs w:val="16"/>
          <w:b w:val="1"/>
          <w:bCs w:val="1"/>
          <w:color w:val="auto"/>
        </w:rPr>
        <w:t>4D.1 Does the offer under the +securities purchase plan meet all of the requirements of listing rule 7.2 exception 5 or do you have a waiver from those requirements?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43" w:lineRule="exact"/>
        <w:rPr>
          <w:sz w:val="20"/>
          <w:szCs w:val="20"/>
          <w:color w:val="auto"/>
        </w:rPr>
      </w:pPr>
    </w:p>
    <w:p>
      <w:pPr>
        <w:ind w:left="600" w:right="500"/>
        <w:spacing w:after="0" w:line="256" w:lineRule="auto"/>
        <w:rPr>
          <w:sz w:val="20"/>
          <w:szCs w:val="20"/>
          <w:color w:val="auto"/>
        </w:rPr>
      </w:pPr>
      <w:r>
        <w:rPr>
          <w:rFonts w:ascii="Arial" w:cs="Arial" w:eastAsia="Arial" w:hAnsi="Arial"/>
          <w:sz w:val="16"/>
          <w:szCs w:val="16"/>
          <w:b w:val="1"/>
          <w:bCs w:val="1"/>
          <w:color w:val="auto"/>
        </w:rPr>
        <w:t>4D.1a Are any of the +securities proposed to be issued without +security holder approval using the entity's 15% placement capacity under listing rule 7.1?</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30" w:lineRule="exact"/>
        <w:rPr>
          <w:sz w:val="20"/>
          <w:szCs w:val="20"/>
          <w:color w:val="auto"/>
        </w:rPr>
      </w:pPr>
    </w:p>
    <w:p>
      <w:pPr>
        <w:ind w:left="600" w:right="1220"/>
        <w:spacing w:after="0" w:line="256" w:lineRule="auto"/>
        <w:rPr>
          <w:sz w:val="20"/>
          <w:szCs w:val="20"/>
          <w:color w:val="auto"/>
        </w:rPr>
      </w:pPr>
      <w:r>
        <w:rPr>
          <w:rFonts w:ascii="Arial" w:cs="Arial" w:eastAsia="Arial" w:hAnsi="Arial"/>
          <w:sz w:val="16"/>
          <w:szCs w:val="16"/>
          <w:b w:val="1"/>
          <w:bCs w:val="1"/>
          <w:color w:val="auto"/>
        </w:rPr>
        <w:t>4D.1b Are any of the +securities proposed to be issued without +security holder approval using the entity's additional 10% placement capacity under listing rule 7.1A (if applicable)?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4E -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697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4E.1 Will there be a lead manager or broker to the proposed offer?</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4E.2 Is the proposed offer to be underwritten?</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30" w:lineRule="exact"/>
        <w:rPr>
          <w:sz w:val="20"/>
          <w:szCs w:val="20"/>
          <w:color w:val="auto"/>
        </w:rPr>
      </w:pPr>
    </w:p>
    <w:p>
      <w:pPr>
        <w:ind w:left="600" w:right="1260"/>
        <w:spacing w:after="0" w:line="256" w:lineRule="auto"/>
        <w:rPr>
          <w:sz w:val="20"/>
          <w:szCs w:val="20"/>
          <w:color w:val="auto"/>
        </w:rPr>
      </w:pPr>
      <w:r>
        <w:rPr>
          <w:rFonts w:ascii="Arial" w:cs="Arial" w:eastAsia="Arial" w:hAnsi="Arial"/>
          <w:sz w:val="16"/>
          <w:szCs w:val="16"/>
          <w:b w:val="1"/>
          <w:bCs w:val="1"/>
          <w:color w:val="auto"/>
        </w:rPr>
        <w:t>4E.3 Will brokers who lodge acceptances or renunciations on behalf of eligible +security holders be paid a handling fee or commission?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4E.4 Details of any other material fees or costs to be incurred by the entity in connection with the proposed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35560</wp:posOffset>
            </wp:positionV>
            <wp:extent cx="6707505" cy="330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330200"/>
                    </a:xfrm>
                    <a:prstGeom prst="rect">
                      <a:avLst/>
                    </a:prstGeom>
                    <a:noFill/>
                  </pic:spPr>
                </pic:pic>
              </a:graphicData>
            </a:graphic>
          </wp:anchor>
        </w:drawing>
      </w:r>
    </w:p>
    <w:p>
      <w:pPr>
        <w:spacing w:after="0" w:line="93" w:lineRule="exact"/>
        <w:rPr>
          <w:sz w:val="20"/>
          <w:szCs w:val="20"/>
          <w:color w:val="auto"/>
        </w:rPr>
      </w:pPr>
    </w:p>
    <w:p>
      <w:pPr>
        <w:ind w:left="680" w:right="520"/>
        <w:spacing w:after="0" w:line="286" w:lineRule="auto"/>
        <w:rPr>
          <w:sz w:val="20"/>
          <w:szCs w:val="20"/>
          <w:color w:val="auto"/>
        </w:rPr>
      </w:pPr>
      <w:r>
        <w:rPr>
          <w:rFonts w:ascii="Arial" w:cs="Arial" w:eastAsia="Arial" w:hAnsi="Arial"/>
          <w:sz w:val="16"/>
          <w:szCs w:val="16"/>
          <w:color w:val="auto"/>
        </w:rPr>
        <w:t>Fees and costs incurred by NVX in connection with the SPP include share registry fees, settlement fees and legal and other external advisor fees.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4F -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688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4F.01 The purpose(s) for which the entity intends to use the cash raised by the proposed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35560</wp:posOffset>
            </wp:positionV>
            <wp:extent cx="6707505" cy="295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295275"/>
                    </a:xfrm>
                    <a:prstGeom prst="rect">
                      <a:avLst/>
                    </a:prstGeom>
                    <a:noFill/>
                  </pic:spPr>
                </pic:pic>
              </a:graphicData>
            </a:graphic>
          </wp:anchor>
        </w:drawing>
      </w:r>
    </w:p>
    <w:p>
      <w:pPr>
        <w:spacing w:after="0" w:line="93" w:lineRule="exact"/>
        <w:rPr>
          <w:sz w:val="20"/>
          <w:szCs w:val="20"/>
          <w:color w:val="auto"/>
        </w:rPr>
      </w:pPr>
    </w:p>
    <w:p>
      <w:pPr>
        <w:ind w:left="680" w:right="640"/>
        <w:spacing w:after="0" w:line="281" w:lineRule="auto"/>
        <w:rPr>
          <w:sz w:val="20"/>
          <w:szCs w:val="20"/>
          <w:color w:val="auto"/>
        </w:rPr>
      </w:pPr>
      <w:r>
        <w:rPr>
          <w:rFonts w:ascii="Arial" w:cs="Arial" w:eastAsia="Arial" w:hAnsi="Arial"/>
          <w:sz w:val="16"/>
          <w:szCs w:val="16"/>
          <w:color w:val="auto"/>
        </w:rPr>
        <w:t>The funds raised under the placement and SPP will be applied towards funding capital expenditure required to support production capacity and meet forecast customer demand.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4F.1 Will the entity be changing its dividend/distribution policy if the proposed offer is successful?</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4F.2 Countries in which the entity has +security holders who will not be eligible to accept the proposed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27305</wp:posOffset>
            </wp:positionV>
            <wp:extent cx="6707505" cy="2095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209550"/>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Any country other than Australia and New Zealand.</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4F.3 URL on the entity's website where investors can download information about the proposed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35560</wp:posOffset>
            </wp:positionV>
            <wp:extent cx="6707505" cy="2095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209550"/>
                    </a:xfrm>
                    <a:prstGeom prst="rect">
                      <a:avLst/>
                    </a:prstGeom>
                    <a:noFill/>
                  </pic:spPr>
                </pic:pic>
              </a:graphicData>
            </a:graphic>
          </wp:anchor>
        </w:drawing>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https://www.novonixgroup.com/</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4F.4 Any other information the entity wishes to provide about the proposed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372110</wp:posOffset>
            </wp:positionV>
            <wp:extent cx="70637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27305</wp:posOffset>
            </wp:positionV>
            <wp:extent cx="6707505" cy="2095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Pr>
          <w:p>
            <w:pPr>
              <w:ind w:left="120"/>
              <w:spacing w:after="0"/>
              <w:rPr>
                <w:sz w:val="20"/>
                <w:szCs w:val="20"/>
                <w:color w:val="auto"/>
              </w:rPr>
            </w:pPr>
            <w:r>
              <w:rPr>
                <w:rFonts w:ascii="Arial" w:cs="Arial" w:eastAsia="Arial" w:hAnsi="Arial"/>
                <w:sz w:val="16"/>
                <w:szCs w:val="16"/>
                <w:color w:val="auto"/>
              </w:rPr>
              <w:t>Appendix 3B - Proposed issue of securities</w:t>
            </w:r>
          </w:p>
        </w:tc>
        <w:tc>
          <w:tcPr>
            <w:tcW w:w="4180" w:type="dxa"/>
            <w:vAlign w:val="bottom"/>
          </w:tcPr>
          <w:p>
            <w:pPr>
              <w:jc w:val="right"/>
              <w:spacing w:after="0"/>
              <w:rPr>
                <w:sz w:val="20"/>
                <w:szCs w:val="20"/>
                <w:color w:val="auto"/>
              </w:rPr>
            </w:pPr>
            <w:r>
              <w:rPr>
                <w:rFonts w:ascii="Arial" w:cs="Arial" w:eastAsia="Arial" w:hAnsi="Arial"/>
                <w:sz w:val="15"/>
                <w:szCs w:val="15"/>
                <w:color w:val="auto"/>
              </w:rPr>
              <w:t>6 / 9</w:t>
            </w:r>
          </w:p>
        </w:tc>
      </w:tr>
      <w:tr>
        <w:trPr>
          <w:trHeight w:val="522"/>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 w:name="page20"/>
    <w:bookmarkEnd w:id="19"/>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23114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7 - Details of proposed placement or other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29743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7A -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2598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0" w:right="760"/>
        <w:spacing w:after="0" w:line="256" w:lineRule="auto"/>
        <w:rPr>
          <w:sz w:val="20"/>
          <w:szCs w:val="20"/>
          <w:color w:val="auto"/>
        </w:rPr>
      </w:pPr>
      <w:r>
        <w:rPr>
          <w:rFonts w:ascii="Arial" w:cs="Arial" w:eastAsia="Arial" w:hAnsi="Arial"/>
          <w:sz w:val="16"/>
          <w:szCs w:val="16"/>
          <w:b w:val="1"/>
          <w:bCs w:val="1"/>
          <w:color w:val="auto"/>
        </w:rPr>
        <w:t>7A.1 Do any external approvals need to be obtained or other conditions satisfied before the placement or other type of issue can proceed on an unconditional basis?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7B - Issue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3544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600" w:right="20"/>
        <w:spacing w:after="0" w:line="253" w:lineRule="auto"/>
        <w:rPr>
          <w:sz w:val="20"/>
          <w:szCs w:val="20"/>
          <w:color w:val="auto"/>
        </w:rPr>
      </w:pPr>
      <w:r>
        <w:rPr>
          <w:rFonts w:ascii="Arial" w:cs="Arial" w:eastAsia="Arial" w:hAnsi="Arial"/>
          <w:sz w:val="16"/>
          <w:szCs w:val="16"/>
          <w:b w:val="1"/>
          <w:bCs w:val="1"/>
          <w:color w:val="auto"/>
        </w:rPr>
        <w:t xml:space="preserve">Is the proposed security a 'New class' (+securities in a class that is not yet quoted or recorded by ASX) or an 'Existing class' (additional securities in a class that is already quoted or recorded by ASX)? </w:t>
      </w:r>
      <w:r>
        <w:rPr>
          <w:rFonts w:ascii="Arial" w:cs="Arial" w:eastAsia="Arial" w:hAnsi="Arial"/>
          <w:sz w:val="16"/>
          <w:szCs w:val="16"/>
          <w:color w:val="auto"/>
        </w:rPr>
        <w:t>Existing class</w:t>
      </w: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Details of +securities proposed to be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the proposed issue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include an offer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attaching +securities?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1039495</wp:posOffset>
            </wp:positionV>
            <wp:extent cx="70637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47" w:lineRule="exact"/>
        <w:rPr>
          <w:sz w:val="20"/>
          <w:szCs w:val="20"/>
          <w:color w:val="auto"/>
        </w:rPr>
      </w:pPr>
    </w:p>
    <w:p>
      <w:pPr>
        <w:sectPr>
          <w:pgSz w:w="11900" w:h="16838" w:orient="portrait"/>
          <w:cols w:equalWidth="0" w:num="2">
            <w:col w:w="3340" w:space="720"/>
            <w:col w:w="7180"/>
          </w:cols>
          <w:pgMar w:left="320" w:top="490" w:right="339" w:bottom="1440" w:gutter="0" w:footer="0" w:header="0"/>
          <w:type w:val="continuous"/>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ASX +security code and description</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NVX : ORDINARY FULLY PAID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Number of +securities proposed to be issued</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129,334,163</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Offer price details</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Are the +securities proposed to be issued being issued for a cash</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consideration?</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w:t>
      </w:r>
    </w:p>
    <w:p>
      <w:pPr>
        <w:sectPr>
          <w:pgSz w:w="11900" w:h="16838" w:orient="portrait"/>
          <w:cols w:equalWidth="0" w:num="1">
            <w:col w:w="11240"/>
          </w:cols>
          <w:pgMar w:left="320" w:top="490" w:right="339" w:bottom="1440" w:gutter="0" w:footer="0" w:header="0"/>
          <w:type w:val="continuous"/>
        </w:sectPr>
      </w:pPr>
    </w:p>
    <w:p>
      <w:pPr>
        <w:spacing w:after="0" w:line="84" w:lineRule="exact"/>
        <w:rPr>
          <w:sz w:val="20"/>
          <w:szCs w:val="20"/>
          <w:color w:val="auto"/>
        </w:rPr>
      </w:pPr>
    </w:p>
    <w:p>
      <w:pPr>
        <w:ind w:left="660" w:right="180"/>
        <w:spacing w:after="0" w:line="296" w:lineRule="auto"/>
        <w:rPr>
          <w:sz w:val="20"/>
          <w:szCs w:val="20"/>
          <w:color w:val="auto"/>
        </w:rPr>
      </w:pPr>
      <w:r>
        <w:rPr>
          <w:rFonts w:ascii="Arial" w:cs="Arial" w:eastAsia="Arial" w:hAnsi="Arial"/>
          <w:sz w:val="16"/>
          <w:szCs w:val="16"/>
          <w:b w:val="1"/>
          <w:bCs w:val="1"/>
          <w:color w:val="auto"/>
        </w:rPr>
        <w:t>In what currency is the cash consideration being paid?</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AUD - Australian Dollar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issue price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AUD 0.16000</w:t>
      </w:r>
    </w:p>
    <w:p>
      <w:pPr>
        <w:spacing w:after="0" w:line="200" w:lineRule="exact"/>
        <w:rPr>
          <w:sz w:val="20"/>
          <w:szCs w:val="20"/>
          <w:color w:val="auto"/>
        </w:rPr>
      </w:pPr>
    </w:p>
    <w:p>
      <w:pPr>
        <w:sectPr>
          <w:pgSz w:w="11900" w:h="16838" w:orient="portrait"/>
          <w:cols w:equalWidth="0" w:num="2">
            <w:col w:w="3000" w:space="720"/>
            <w:col w:w="7520"/>
          </w:cols>
          <w:pgMar w:left="320" w:top="490" w:right="339" w:bottom="1440" w:gutter="0" w:footer="0" w:header="0"/>
          <w:type w:val="continuous"/>
        </w:sectPr>
      </w:pPr>
    </w:p>
    <w:p>
      <w:pPr>
        <w:spacing w:after="0" w:line="332" w:lineRule="exact"/>
        <w:rPr>
          <w:sz w:val="20"/>
          <w:szCs w:val="20"/>
          <w:color w:val="auto"/>
        </w:rPr>
      </w:pPr>
    </w:p>
    <w:p>
      <w:pPr>
        <w:ind w:left="640" w:right="3880"/>
        <w:spacing w:after="0" w:line="256" w:lineRule="auto"/>
        <w:rPr>
          <w:sz w:val="20"/>
          <w:szCs w:val="20"/>
          <w:color w:val="auto"/>
        </w:rPr>
      </w:pPr>
      <w:r>
        <w:rPr>
          <w:rFonts w:ascii="Arial" w:cs="Arial" w:eastAsia="Arial" w:hAnsi="Arial"/>
          <w:sz w:val="16"/>
          <w:szCs w:val="16"/>
          <w:b w:val="1"/>
          <w:bCs w:val="1"/>
          <w:color w:val="auto"/>
        </w:rPr>
        <w:t>Will these +securities rank equally in all respects from their issue date with the existing issued +securities in that class?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584835</wp:posOffset>
            </wp:positionV>
            <wp:extent cx="70637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Pr>
          <w:p>
            <w:pPr>
              <w:ind w:left="120"/>
              <w:spacing w:after="0"/>
              <w:rPr>
                <w:sz w:val="20"/>
                <w:szCs w:val="20"/>
                <w:color w:val="auto"/>
              </w:rPr>
            </w:pPr>
            <w:r>
              <w:rPr>
                <w:rFonts w:ascii="Arial" w:cs="Arial" w:eastAsia="Arial" w:hAnsi="Arial"/>
                <w:sz w:val="16"/>
                <w:szCs w:val="16"/>
                <w:color w:val="auto"/>
              </w:rPr>
              <w:t>Appendix 3B - Proposed issue of securities</w:t>
            </w:r>
          </w:p>
        </w:tc>
        <w:tc>
          <w:tcPr>
            <w:tcW w:w="4180" w:type="dxa"/>
            <w:vAlign w:val="bottom"/>
          </w:tcPr>
          <w:p>
            <w:pPr>
              <w:jc w:val="right"/>
              <w:spacing w:after="0"/>
              <w:rPr>
                <w:sz w:val="20"/>
                <w:szCs w:val="20"/>
                <w:color w:val="auto"/>
              </w:rPr>
            </w:pPr>
            <w:r>
              <w:rPr>
                <w:rFonts w:ascii="Arial" w:cs="Arial" w:eastAsia="Arial" w:hAnsi="Arial"/>
                <w:sz w:val="15"/>
                <w:szCs w:val="15"/>
                <w:color w:val="auto"/>
              </w:rPr>
              <w:t>7 / 9</w:t>
            </w:r>
          </w:p>
        </w:tc>
      </w:tr>
      <w:tr>
        <w:trPr>
          <w:trHeight w:val="522"/>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20" w:name="page21"/>
    <w:bookmarkEnd w:id="20"/>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23114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7C - Timetable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2426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7C.1 Proposed +issue date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22/6/2026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7D - Listing Rule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20745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7D.1 Has the entity obtained, or is it obtaining, +security holder approval for the entire issue under listing rule 7.1?</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30" w:lineRule="exact"/>
        <w:rPr>
          <w:sz w:val="20"/>
          <w:szCs w:val="20"/>
          <w:color w:val="auto"/>
        </w:rPr>
      </w:pPr>
    </w:p>
    <w:p>
      <w:pPr>
        <w:ind w:left="600" w:right="500"/>
        <w:spacing w:after="0" w:line="256" w:lineRule="auto"/>
        <w:rPr>
          <w:sz w:val="20"/>
          <w:szCs w:val="20"/>
          <w:color w:val="auto"/>
        </w:rPr>
      </w:pPr>
      <w:r>
        <w:rPr>
          <w:rFonts w:ascii="Arial" w:cs="Arial" w:eastAsia="Arial" w:hAnsi="Arial"/>
          <w:sz w:val="16"/>
          <w:szCs w:val="16"/>
          <w:b w:val="1"/>
          <w:bCs w:val="1"/>
          <w:color w:val="auto"/>
        </w:rPr>
        <w:t>7D.1b Are any of the +securities proposed to be issued without +security holder approval using the entity's 15% placement capacity under listing rule 7.1?</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30" w:lineRule="exact"/>
        <w:rPr>
          <w:sz w:val="20"/>
          <w:szCs w:val="20"/>
          <w:color w:val="auto"/>
        </w:rPr>
      </w:pPr>
    </w:p>
    <w:p>
      <w:pPr>
        <w:ind w:left="600" w:right="280"/>
        <w:spacing w:after="0" w:line="296" w:lineRule="auto"/>
        <w:rPr>
          <w:sz w:val="20"/>
          <w:szCs w:val="20"/>
          <w:color w:val="auto"/>
        </w:rPr>
      </w:pPr>
      <w:r>
        <w:rPr>
          <w:rFonts w:ascii="Arial" w:cs="Arial" w:eastAsia="Arial" w:hAnsi="Arial"/>
          <w:sz w:val="16"/>
          <w:szCs w:val="16"/>
          <w:b w:val="1"/>
          <w:bCs w:val="1"/>
          <w:color w:val="auto"/>
        </w:rPr>
        <w:t>7D.1b ( i ) How many +securities are proposed to be issued without security holder approval using the entity's 15% placement capacity under listing rule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-23495</wp:posOffset>
            </wp:positionV>
            <wp:extent cx="6707505" cy="2101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21018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color w:val="auto"/>
        </w:rPr>
        <w:t>129,334,163 ordinary shares</w:t>
      </w:r>
    </w:p>
    <w:p>
      <w:pPr>
        <w:spacing w:after="0" w:line="113" w:lineRule="exact"/>
        <w:rPr>
          <w:sz w:val="20"/>
          <w:szCs w:val="20"/>
          <w:color w:val="auto"/>
        </w:rPr>
      </w:pPr>
    </w:p>
    <w:p>
      <w:pPr>
        <w:ind w:left="600" w:right="1220"/>
        <w:spacing w:after="0" w:line="256" w:lineRule="auto"/>
        <w:rPr>
          <w:sz w:val="20"/>
          <w:szCs w:val="20"/>
          <w:color w:val="auto"/>
        </w:rPr>
      </w:pPr>
      <w:r>
        <w:rPr>
          <w:rFonts w:ascii="Arial" w:cs="Arial" w:eastAsia="Arial" w:hAnsi="Arial"/>
          <w:sz w:val="16"/>
          <w:szCs w:val="16"/>
          <w:b w:val="1"/>
          <w:bCs w:val="1"/>
          <w:color w:val="auto"/>
        </w:rPr>
        <w:t>7D.1c Are any of the +securities proposed to be issued without +security holder approval using the entity's additional 10% placement capacity under listing rule 7.1A (if applicable)?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7D.2 Is a party referred to in listing rule 10.11 participating in the proposed issue?</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7D.3 Will any of the +securities to be issued be +restricted securities for the purposes of the listing rules?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7D.4 Will any of the +securities to be issued be subject to +voluntary escrow?</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7E -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7399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7E.1 Will there be a lead manager or broker to the proposed issue?</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7E.1a Who is the lead manager/broker?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18415</wp:posOffset>
            </wp:positionV>
            <wp:extent cx="6707505" cy="2095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209550"/>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Bell Potter Securities Limited</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7E.1b What fee, commission or other consideration is payable to them for acting as lead manager/broker?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27305</wp:posOffset>
            </wp:positionV>
            <wp:extent cx="6707505" cy="2101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210185"/>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5% of proceeds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7E.2 Is the proposed issue to be underwritten?</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7E.4 Details of any other material fees or costs to be incurred by the entity in connection with the proposed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18415</wp:posOffset>
            </wp:positionV>
            <wp:extent cx="6707505" cy="2095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209550"/>
                    </a:xfrm>
                    <a:prstGeom prst="rect">
                      <a:avLst/>
                    </a:prstGeom>
                    <a:noFill/>
                  </pic:spPr>
                </pic:pic>
              </a:graphicData>
            </a:graphic>
          </wp:anchor>
        </w:drawing>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Fees and costs incurred by NVX in connection with the placement include share registry fees, legal fees and external advisor fees.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7F -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7399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7F.01 The purpose(s) for which the entity is issuing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10160</wp:posOffset>
            </wp:positionV>
            <wp:extent cx="6707505" cy="3295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329565"/>
                    </a:xfrm>
                    <a:prstGeom prst="rect">
                      <a:avLst/>
                    </a:prstGeom>
                    <a:noFill/>
                  </pic:spPr>
                </pic:pic>
              </a:graphicData>
            </a:graphic>
          </wp:anchor>
        </w:drawing>
      </w:r>
    </w:p>
    <w:p>
      <w:pPr>
        <w:spacing w:after="0" w:line="53" w:lineRule="exact"/>
        <w:rPr>
          <w:sz w:val="20"/>
          <w:szCs w:val="20"/>
          <w:color w:val="auto"/>
        </w:rPr>
      </w:pPr>
    </w:p>
    <w:p>
      <w:pPr>
        <w:ind w:left="680" w:right="340"/>
        <w:spacing w:after="0" w:line="286" w:lineRule="auto"/>
        <w:rPr>
          <w:sz w:val="20"/>
          <w:szCs w:val="20"/>
          <w:color w:val="auto"/>
        </w:rPr>
      </w:pPr>
      <w:r>
        <w:rPr>
          <w:rFonts w:ascii="Arial" w:cs="Arial" w:eastAsia="Arial" w:hAnsi="Arial"/>
          <w:sz w:val="16"/>
          <w:szCs w:val="16"/>
          <w:color w:val="auto"/>
        </w:rPr>
        <w:t>The funds raised under the placement and SPP will be applied towards funding capital expenditure required to support production capacity and meet forecast customer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70637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ind w:left="120"/>
              <w:spacing w:after="0"/>
              <w:rPr>
                <w:sz w:val="20"/>
                <w:szCs w:val="20"/>
                <w:color w:val="auto"/>
              </w:rPr>
            </w:pPr>
            <w:r>
              <w:rPr>
                <w:rFonts w:ascii="Arial" w:cs="Arial" w:eastAsia="Arial" w:hAnsi="Arial"/>
                <w:sz w:val="16"/>
                <w:szCs w:val="16"/>
                <w:color w:val="auto"/>
              </w:rPr>
              <w:t>Appendix 3B - Proposed issue of securities</w:t>
            </w:r>
          </w:p>
        </w:tc>
        <w:tc>
          <w:tcPr>
            <w:tcW w:w="4180" w:type="dxa"/>
            <w:vAlign w:val="bottom"/>
          </w:tcPr>
          <w:p>
            <w:pPr>
              <w:jc w:val="right"/>
              <w:spacing w:after="0"/>
              <w:rPr>
                <w:sz w:val="20"/>
                <w:szCs w:val="20"/>
                <w:color w:val="auto"/>
              </w:rPr>
            </w:pPr>
            <w:r>
              <w:rPr>
                <w:rFonts w:ascii="Arial" w:cs="Arial" w:eastAsia="Arial" w:hAnsi="Arial"/>
                <w:sz w:val="15"/>
                <w:szCs w:val="15"/>
                <w:color w:val="auto"/>
              </w:rPr>
              <w:t>8 / 9</w:t>
            </w:r>
          </w:p>
        </w:tc>
      </w:tr>
      <w:tr>
        <w:trPr>
          <w:trHeight w:val="522"/>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 w:name="page22"/>
    <w:bookmarkEnd w:id="21"/>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23114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3B - Proposed issue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637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7F.1 Will the entity be changing its dividend/distribution policy if the proposed issue proceeds?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7F.2 Any other information the entity wishes to provide about the proposed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27305</wp:posOffset>
            </wp:positionV>
            <wp:extent cx="6707505" cy="2101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210185"/>
                    </a:xfrm>
                    <a:prstGeom prst="rect">
                      <a:avLst/>
                    </a:prstGeom>
                    <a:noFill/>
                  </pic:spPr>
                </pic:pic>
              </a:graphicData>
            </a:graphic>
          </wp:anchor>
        </w:drawing>
      </w:r>
    </w:p>
    <w:p>
      <w:pPr>
        <w:spacing w:after="0" w:line="377" w:lineRule="exact"/>
        <w:rPr>
          <w:sz w:val="20"/>
          <w:szCs w:val="20"/>
          <w:color w:val="auto"/>
        </w:rPr>
      </w:pPr>
    </w:p>
    <w:p>
      <w:pPr>
        <w:ind w:left="600" w:right="420"/>
        <w:spacing w:after="0" w:line="256" w:lineRule="auto"/>
        <w:rPr>
          <w:sz w:val="20"/>
          <w:szCs w:val="20"/>
          <w:color w:val="auto"/>
        </w:rPr>
      </w:pPr>
      <w:r>
        <w:rPr>
          <w:rFonts w:ascii="Arial" w:cs="Arial" w:eastAsia="Arial" w:hAnsi="Arial"/>
          <w:sz w:val="16"/>
          <w:szCs w:val="16"/>
          <w:b w:val="1"/>
          <w:bCs w:val="1"/>
          <w:color w:val="auto"/>
        </w:rPr>
        <w:t>7F.3 Any on-sale of the +securities proposed to be issued within 12 months of their date of issue will comply with the secondary sale provisions in sections 707(3) and 1012C(6) of the Corporations Act by virtue of:</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publication of a cleansing notice under section 708A(5), 708AA(2)(f), 1012DA(5) or 1012DAA(2)(f)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259080</wp:posOffset>
            </wp:positionV>
            <wp:extent cx="70637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Pr>
          <w:p>
            <w:pPr>
              <w:ind w:left="120"/>
              <w:spacing w:after="0"/>
              <w:rPr>
                <w:sz w:val="20"/>
                <w:szCs w:val="20"/>
                <w:color w:val="auto"/>
              </w:rPr>
            </w:pPr>
            <w:r>
              <w:rPr>
                <w:rFonts w:ascii="Arial" w:cs="Arial" w:eastAsia="Arial" w:hAnsi="Arial"/>
                <w:sz w:val="16"/>
                <w:szCs w:val="16"/>
                <w:color w:val="auto"/>
              </w:rPr>
              <w:t>Appendix 3B - Proposed issue of securities</w:t>
            </w:r>
          </w:p>
        </w:tc>
        <w:tc>
          <w:tcPr>
            <w:tcW w:w="4180" w:type="dxa"/>
            <w:vAlign w:val="bottom"/>
          </w:tcPr>
          <w:p>
            <w:pPr>
              <w:jc w:val="right"/>
              <w:spacing w:after="0"/>
              <w:rPr>
                <w:sz w:val="20"/>
                <w:szCs w:val="20"/>
                <w:color w:val="auto"/>
              </w:rPr>
            </w:pPr>
            <w:r>
              <w:rPr>
                <w:rFonts w:ascii="Arial" w:cs="Arial" w:eastAsia="Arial" w:hAnsi="Arial"/>
                <w:sz w:val="15"/>
                <w:szCs w:val="15"/>
                <w:color w:val="auto"/>
              </w:rPr>
              <w:t>9 / 9</w:t>
            </w:r>
          </w:p>
        </w:tc>
      </w:tr>
      <w:tr>
        <w:trPr>
          <w:trHeight w:val="522"/>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2)"/>
      <w:numFmt w:val="lowerRoman"/>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2026-06-17T05:29:48Z</dcterms:created>
  <dcterms:modified xsi:type="dcterms:W3CDTF">2026-06-17T05:29:48Z</dcterms:modified>
</cp:coreProperties>
</file>