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As confidentially submitted to the Securities and Exchange Commission on December 7, 2021</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This draft registration statement has not been publicly filed with the Securities and Exchange Commission and all information herein remains strictly confidential.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156845</wp:posOffset>
            </wp:positionV>
            <wp:extent cx="61722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225425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30480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5"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REGISTRATION STATEMENT PURSUANT TO SECTION 12(b) OR 12(g) OF THE SECURITIES EXCHANGE ACT OF 1934</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5" w:lineRule="exact"/>
        <w:rPr>
          <w:sz w:val="24"/>
          <w:szCs w:val="24"/>
          <w:color w:val="auto"/>
        </w:rPr>
      </w:pPr>
    </w:p>
    <w:p>
      <w:pPr>
        <w:ind w:left="4200" w:right="3220" w:hanging="4192"/>
        <w:spacing w:after="0" w:line="301" w:lineRule="auto"/>
        <w:tabs>
          <w:tab w:leader="none" w:pos="355"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ANNUAL REPORT PURSUANT TO SECTION 13 OR 15(d) OF THE SECURITIES EXCHANGE ACT OF 1934 For the fiscal year ended</w:t>
      </w:r>
    </w:p>
    <w:p>
      <w:pPr>
        <w:ind w:left="4800"/>
        <w:spacing w:after="0"/>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or</w:t>
      </w:r>
    </w:p>
    <w:p>
      <w:pPr>
        <w:spacing w:after="0" w:line="26" w:lineRule="exact"/>
        <w:rPr>
          <w:rFonts w:ascii="MS PGothic" w:cs="MS PGothic" w:eastAsia="MS PGothic" w:hAnsi="MS PGothic"/>
          <w:sz w:val="13"/>
          <w:szCs w:val="13"/>
          <w:color w:val="auto"/>
          <w:highlight w:val="black"/>
        </w:rPr>
      </w:pPr>
    </w:p>
    <w:p>
      <w:pPr>
        <w:ind w:left="4800" w:right="2960" w:hanging="4792"/>
        <w:spacing w:after="0" w:line="286" w:lineRule="auto"/>
        <w:tabs>
          <w:tab w:leader="none" w:pos="350"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 or</w:t>
      </w:r>
    </w:p>
    <w:p>
      <w:pPr>
        <w:spacing w:after="0" w:line="8" w:lineRule="exact"/>
        <w:rPr>
          <w:rFonts w:ascii="MS PGothic" w:cs="MS PGothic" w:eastAsia="MS PGothic" w:hAnsi="MS PGothic"/>
          <w:sz w:val="13"/>
          <w:szCs w:val="13"/>
          <w:color w:val="auto"/>
          <w:highlight w:val="black"/>
        </w:rPr>
      </w:pPr>
    </w:p>
    <w:p>
      <w:pPr>
        <w:ind w:left="360" w:hanging="352"/>
        <w:spacing w:after="0"/>
        <w:tabs>
          <w:tab w:leader="none" w:pos="360"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SHELL COMPANY REPORT PURSUANT TO SECTION 13 OR 15 (d) OF THE SECURITIES EXCHANGE ACT OF 1934</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1660" w:type="dxa"/>
            <w:vAlign w:val="bottom"/>
          </w:tcPr>
          <w:p>
            <w:pPr>
              <w:spacing w:after="0"/>
              <w:rPr>
                <w:sz w:val="20"/>
                <w:szCs w:val="20"/>
                <w:color w:val="auto"/>
              </w:rPr>
            </w:pPr>
            <w:r>
              <w:rPr>
                <w:rFonts w:ascii="Arial" w:cs="Arial" w:eastAsia="Arial" w:hAnsi="Arial"/>
                <w:sz w:val="13"/>
                <w:szCs w:val="13"/>
                <w:b w:val="1"/>
                <w:bCs w:val="1"/>
                <w:color w:val="auto"/>
                <w:w w:val="89"/>
              </w:rPr>
              <w:t>For the transition period from</w:t>
            </w:r>
          </w:p>
        </w:tc>
        <w:tc>
          <w:tcPr>
            <w:tcW w:w="6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w w:val="97"/>
              </w:rPr>
              <w:t>to</w:t>
            </w:r>
          </w:p>
        </w:tc>
        <w:tc>
          <w:tcPr>
            <w:tcW w:w="1540" w:type="dxa"/>
            <w:vAlign w:val="bottom"/>
            <w:gridSpan w:val="2"/>
          </w:tcPr>
          <w:p>
            <w:pPr>
              <w:jc w:val="right"/>
              <w:ind w:right="819"/>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94"/>
        </w:trPr>
        <w:tc>
          <w:tcPr>
            <w:tcW w:w="16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180" w:type="dxa"/>
            <w:vAlign w:val="bottom"/>
            <w:gridSpan w:val="5"/>
          </w:tcPr>
          <w:p>
            <w:pPr>
              <w:ind w:left="760"/>
              <w:spacing w:after="0" w:line="95" w:lineRule="exact"/>
              <w:rPr>
                <w:sz w:val="20"/>
                <w:szCs w:val="20"/>
                <w:color w:val="auto"/>
              </w:rPr>
            </w:pPr>
            <w:r>
              <w:rPr>
                <w:rFonts w:ascii="Arial" w:cs="Arial" w:eastAsia="Arial" w:hAnsi="Arial"/>
                <w:sz w:val="10"/>
                <w:szCs w:val="10"/>
                <w:b w:val="1"/>
                <w:bCs w:val="1"/>
                <w:color w:val="auto"/>
              </w:rPr>
              <w:t>Commission file number:</w:t>
            </w:r>
          </w:p>
        </w:tc>
      </w:tr>
      <w:tr>
        <w:trPr>
          <w:trHeight w:val="61"/>
        </w:trPr>
        <w:tc>
          <w:tcPr>
            <w:tcW w:w="1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8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r>
      <w:tr>
        <w:trPr>
          <w:trHeight w:val="137"/>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gridSpan w:val="4"/>
          </w:tcPr>
          <w:p>
            <w:pPr>
              <w:jc w:val="center"/>
              <w:ind w:right="560"/>
              <w:spacing w:after="0" w:line="138" w:lineRule="exact"/>
              <w:rPr>
                <w:sz w:val="20"/>
                <w:szCs w:val="20"/>
                <w:color w:val="auto"/>
              </w:rPr>
            </w:pPr>
            <w:r>
              <w:rPr>
                <w:rFonts w:ascii="Arial" w:cs="Arial" w:eastAsia="Arial" w:hAnsi="Arial"/>
                <w:sz w:val="13"/>
                <w:szCs w:val="13"/>
                <w:b w:val="1"/>
                <w:bCs w:val="1"/>
                <w:color w:val="auto"/>
              </w:rPr>
              <w:t>NOVONIX LIMITED</w:t>
            </w:r>
          </w:p>
        </w:tc>
      </w:tr>
      <w:tr>
        <w:trPr>
          <w:trHeight w:val="164"/>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80" w:type="dxa"/>
            <w:vAlign w:val="bottom"/>
            <w:gridSpan w:val="5"/>
          </w:tcPr>
          <w:p>
            <w:pPr>
              <w:jc w:val="center"/>
              <w:ind w:left="299"/>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r>
      <w:tr>
        <w:trPr>
          <w:trHeight w:val="97"/>
        </w:trPr>
        <w:tc>
          <w:tcPr>
            <w:tcW w:w="1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137"/>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gridSpan w:val="4"/>
          </w:tcPr>
          <w:p>
            <w:pPr>
              <w:jc w:val="center"/>
              <w:ind w:right="560"/>
              <w:spacing w:after="0" w:line="138" w:lineRule="exact"/>
              <w:rPr>
                <w:sz w:val="20"/>
                <w:szCs w:val="20"/>
                <w:color w:val="auto"/>
              </w:rPr>
            </w:pPr>
            <w:r>
              <w:rPr>
                <w:rFonts w:ascii="Arial" w:cs="Arial" w:eastAsia="Arial" w:hAnsi="Arial"/>
                <w:sz w:val="13"/>
                <w:szCs w:val="13"/>
                <w:b w:val="1"/>
                <w:bCs w:val="1"/>
                <w:color w:val="auto"/>
              </w:rPr>
              <w:t>NOVONIX LIMITED</w:t>
            </w:r>
          </w:p>
        </w:tc>
      </w:tr>
      <w:tr>
        <w:trPr>
          <w:trHeight w:val="164"/>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80" w:type="dxa"/>
            <w:vAlign w:val="bottom"/>
            <w:gridSpan w:val="5"/>
          </w:tcPr>
          <w:p>
            <w:pPr>
              <w:jc w:val="center"/>
              <w:ind w:left="279"/>
              <w:spacing w:after="0"/>
              <w:rPr>
                <w:sz w:val="20"/>
                <w:szCs w:val="20"/>
                <w:color w:val="auto"/>
              </w:rPr>
            </w:pPr>
            <w:r>
              <w:rPr>
                <w:rFonts w:ascii="Arial" w:cs="Arial" w:eastAsia="Arial" w:hAnsi="Arial"/>
                <w:sz w:val="13"/>
                <w:szCs w:val="13"/>
                <w:b w:val="1"/>
                <w:bCs w:val="1"/>
                <w:color w:val="auto"/>
                <w:w w:val="87"/>
              </w:rPr>
              <w:t>(Translation of Registrant’s name into English)</w:t>
            </w:r>
          </w:p>
        </w:tc>
      </w:tr>
      <w:tr>
        <w:trPr>
          <w:trHeight w:val="56"/>
        </w:trPr>
        <w:tc>
          <w:tcPr>
            <w:tcW w:w="1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137"/>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gridSpan w:val="4"/>
          </w:tcPr>
          <w:p>
            <w:pPr>
              <w:jc w:val="center"/>
              <w:ind w:right="540"/>
              <w:spacing w:after="0" w:line="138" w:lineRule="exact"/>
              <w:rPr>
                <w:sz w:val="20"/>
                <w:szCs w:val="20"/>
                <w:color w:val="auto"/>
              </w:rPr>
            </w:pPr>
            <w:r>
              <w:rPr>
                <w:rFonts w:ascii="Arial" w:cs="Arial" w:eastAsia="Arial" w:hAnsi="Arial"/>
                <w:sz w:val="13"/>
                <w:szCs w:val="13"/>
                <w:b w:val="1"/>
                <w:bCs w:val="1"/>
                <w:color w:val="auto"/>
                <w:w w:val="89"/>
              </w:rPr>
              <w:t>Australia</w:t>
            </w:r>
          </w:p>
        </w:tc>
      </w:tr>
      <w:tr>
        <w:trPr>
          <w:trHeight w:val="164"/>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80" w:type="dxa"/>
            <w:vAlign w:val="bottom"/>
            <w:gridSpan w:val="5"/>
          </w:tcPr>
          <w:p>
            <w:pPr>
              <w:jc w:val="center"/>
              <w:ind w:left="299"/>
              <w:spacing w:after="0"/>
              <w:rPr>
                <w:sz w:val="20"/>
                <w:szCs w:val="20"/>
                <w:color w:val="auto"/>
              </w:rPr>
            </w:pPr>
            <w:r>
              <w:rPr>
                <w:rFonts w:ascii="Arial" w:cs="Arial" w:eastAsia="Arial" w:hAnsi="Arial"/>
                <w:sz w:val="13"/>
                <w:szCs w:val="13"/>
                <w:b w:val="1"/>
                <w:bCs w:val="1"/>
                <w:color w:val="auto"/>
                <w:w w:val="88"/>
              </w:rPr>
              <w:t>(Jurisdiction of incorporation or organization)</w:t>
            </w:r>
          </w:p>
        </w:tc>
      </w:tr>
      <w:tr>
        <w:trPr>
          <w:trHeight w:val="56"/>
        </w:trPr>
        <w:tc>
          <w:tcPr>
            <w:tcW w:w="1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151"/>
        </w:trPr>
        <w:tc>
          <w:tcPr>
            <w:tcW w:w="1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gridSpan w:val="4"/>
          </w:tcPr>
          <w:p>
            <w:pPr>
              <w:jc w:val="center"/>
              <w:ind w:right="560"/>
              <w:spacing w:after="0"/>
              <w:rPr>
                <w:sz w:val="20"/>
                <w:szCs w:val="20"/>
                <w:color w:val="auto"/>
              </w:rPr>
            </w:pPr>
            <w:r>
              <w:rPr>
                <w:rFonts w:ascii="Arial" w:cs="Arial" w:eastAsia="Arial" w:hAnsi="Arial"/>
                <w:sz w:val="13"/>
                <w:szCs w:val="13"/>
                <w:b w:val="1"/>
                <w:bCs w:val="1"/>
                <w:color w:val="auto"/>
              </w:rPr>
              <w:t>NOVONIX LIMITED</w:t>
            </w:r>
          </w:p>
        </w:tc>
      </w:tr>
      <w:tr>
        <w:trPr>
          <w:trHeight w:val="135"/>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gridSpan w:val="4"/>
          </w:tcPr>
          <w:p>
            <w:pPr>
              <w:jc w:val="center"/>
              <w:ind w:right="540"/>
              <w:spacing w:after="0" w:line="135" w:lineRule="exact"/>
              <w:rPr>
                <w:sz w:val="20"/>
                <w:szCs w:val="20"/>
                <w:color w:val="auto"/>
              </w:rPr>
            </w:pPr>
            <w:r>
              <w:rPr>
                <w:rFonts w:ascii="Arial" w:cs="Arial" w:eastAsia="Arial" w:hAnsi="Arial"/>
                <w:sz w:val="13"/>
                <w:szCs w:val="13"/>
                <w:b w:val="1"/>
                <w:bCs w:val="1"/>
                <w:color w:val="auto"/>
                <w:w w:val="86"/>
              </w:rPr>
              <w:t>Level 8</w:t>
            </w:r>
          </w:p>
        </w:tc>
      </w:tr>
      <w:tr>
        <w:trPr>
          <w:trHeight w:val="135"/>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gridSpan w:val="4"/>
          </w:tcPr>
          <w:p>
            <w:pPr>
              <w:jc w:val="center"/>
              <w:ind w:right="540"/>
              <w:spacing w:after="0" w:line="135" w:lineRule="exact"/>
              <w:rPr>
                <w:sz w:val="20"/>
                <w:szCs w:val="20"/>
                <w:color w:val="auto"/>
              </w:rPr>
            </w:pPr>
            <w:r>
              <w:rPr>
                <w:rFonts w:ascii="Arial" w:cs="Arial" w:eastAsia="Arial" w:hAnsi="Arial"/>
                <w:sz w:val="13"/>
                <w:szCs w:val="13"/>
                <w:b w:val="1"/>
                <w:bCs w:val="1"/>
                <w:color w:val="auto"/>
                <w:w w:val="89"/>
              </w:rPr>
              <w:t>46 Edward Street</w:t>
            </w:r>
          </w:p>
        </w:tc>
      </w:tr>
      <w:tr>
        <w:trPr>
          <w:trHeight w:val="135"/>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gridSpan w:val="4"/>
          </w:tcPr>
          <w:p>
            <w:pPr>
              <w:jc w:val="center"/>
              <w:ind w:right="560"/>
              <w:spacing w:after="0" w:line="135" w:lineRule="exact"/>
              <w:rPr>
                <w:sz w:val="20"/>
                <w:szCs w:val="20"/>
                <w:color w:val="auto"/>
              </w:rPr>
            </w:pPr>
            <w:r>
              <w:rPr>
                <w:rFonts w:ascii="Arial" w:cs="Arial" w:eastAsia="Arial" w:hAnsi="Arial"/>
                <w:sz w:val="13"/>
                <w:szCs w:val="13"/>
                <w:b w:val="1"/>
                <w:bCs w:val="1"/>
                <w:color w:val="auto"/>
                <w:w w:val="90"/>
              </w:rPr>
              <w:t>Brisbane QLD 4000</w:t>
            </w:r>
          </w:p>
        </w:tc>
      </w:tr>
      <w:tr>
        <w:trPr>
          <w:trHeight w:val="135"/>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gridSpan w:val="4"/>
          </w:tcPr>
          <w:p>
            <w:pPr>
              <w:jc w:val="center"/>
              <w:ind w:right="540"/>
              <w:spacing w:after="0" w:line="135" w:lineRule="exact"/>
              <w:rPr>
                <w:sz w:val="20"/>
                <w:szCs w:val="20"/>
                <w:color w:val="auto"/>
              </w:rPr>
            </w:pPr>
            <w:r>
              <w:rPr>
                <w:rFonts w:ascii="Arial" w:cs="Arial" w:eastAsia="Arial" w:hAnsi="Arial"/>
                <w:sz w:val="13"/>
                <w:szCs w:val="13"/>
                <w:b w:val="1"/>
                <w:bCs w:val="1"/>
                <w:color w:val="auto"/>
                <w:w w:val="89"/>
              </w:rPr>
              <w:t>Australia</w:t>
            </w:r>
          </w:p>
        </w:tc>
      </w:tr>
      <w:tr>
        <w:trPr>
          <w:trHeight w:val="164"/>
        </w:trPr>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80" w:type="dxa"/>
            <w:vAlign w:val="bottom"/>
            <w:gridSpan w:val="5"/>
          </w:tcPr>
          <w:p>
            <w:pPr>
              <w:jc w:val="center"/>
              <w:ind w:left="279"/>
              <w:spacing w:after="0"/>
              <w:rPr>
                <w:sz w:val="20"/>
                <w:szCs w:val="20"/>
                <w:color w:val="auto"/>
              </w:rPr>
            </w:pPr>
            <w:r>
              <w:rPr>
                <w:rFonts w:ascii="Arial" w:cs="Arial" w:eastAsia="Arial" w:hAnsi="Arial"/>
                <w:sz w:val="13"/>
                <w:szCs w:val="13"/>
                <w:b w:val="1"/>
                <w:bCs w:val="1"/>
                <w:color w:val="auto"/>
                <w:w w:val="85"/>
              </w:rPr>
              <w:t>(Address of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27305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NOVONIX Limited</w:t>
      </w:r>
    </w:p>
    <w:p>
      <w:pPr>
        <w:jc w:val="center"/>
        <w:spacing w:after="0" w:line="216" w:lineRule="auto"/>
        <w:rPr>
          <w:sz w:val="20"/>
          <w:szCs w:val="20"/>
          <w:color w:val="auto"/>
        </w:rPr>
      </w:pPr>
      <w:r>
        <w:rPr>
          <w:rFonts w:ascii="Arial" w:cs="Arial" w:eastAsia="Arial" w:hAnsi="Arial"/>
          <w:sz w:val="13"/>
          <w:szCs w:val="13"/>
          <w:b w:val="1"/>
          <w:bCs w:val="1"/>
          <w:color w:val="auto"/>
        </w:rPr>
        <w:t>Level 8</w:t>
      </w:r>
    </w:p>
    <w:p>
      <w:pPr>
        <w:jc w:val="center"/>
        <w:spacing w:after="0" w:line="217" w:lineRule="auto"/>
        <w:rPr>
          <w:sz w:val="20"/>
          <w:szCs w:val="20"/>
          <w:color w:val="auto"/>
        </w:rPr>
      </w:pPr>
      <w:r>
        <w:rPr>
          <w:rFonts w:ascii="Arial" w:cs="Arial" w:eastAsia="Arial" w:hAnsi="Arial"/>
          <w:sz w:val="13"/>
          <w:szCs w:val="13"/>
          <w:b w:val="1"/>
          <w:bCs w:val="1"/>
          <w:color w:val="auto"/>
        </w:rPr>
        <w:t>46 Edward Street</w:t>
      </w:r>
    </w:p>
    <w:p>
      <w:pPr>
        <w:jc w:val="center"/>
        <w:spacing w:after="0"/>
        <w:rPr>
          <w:sz w:val="20"/>
          <w:szCs w:val="20"/>
          <w:color w:val="auto"/>
        </w:rPr>
      </w:pPr>
      <w:r>
        <w:rPr>
          <w:rFonts w:ascii="Arial" w:cs="Arial" w:eastAsia="Arial" w:hAnsi="Arial"/>
          <w:sz w:val="13"/>
          <w:szCs w:val="13"/>
          <w:b w:val="1"/>
          <w:bCs w:val="1"/>
          <w:color w:val="auto"/>
        </w:rPr>
        <w:t>Brisbane QLD 4000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Australia</w:t>
      </w:r>
    </w:p>
    <w:p>
      <w:pPr>
        <w:jc w:val="center"/>
        <w:spacing w:after="0" w:line="216" w:lineRule="auto"/>
        <w:rPr>
          <w:sz w:val="20"/>
          <w:szCs w:val="20"/>
          <w:color w:val="auto"/>
        </w:rPr>
      </w:pPr>
      <w:r>
        <w:rPr>
          <w:rFonts w:ascii="Arial" w:cs="Arial" w:eastAsia="Arial" w:hAnsi="Arial"/>
          <w:sz w:val="13"/>
          <w:szCs w:val="13"/>
          <w:b w:val="1"/>
          <w:bCs w:val="1"/>
          <w:color w:val="auto"/>
        </w:rPr>
        <w:t>(P) 0439 310 818</w:t>
      </w:r>
    </w:p>
    <w:p>
      <w:pPr>
        <w:jc w:val="center"/>
        <w:spacing w:after="0" w:line="217" w:lineRule="auto"/>
        <w:rPr>
          <w:sz w:val="20"/>
          <w:szCs w:val="20"/>
          <w:color w:val="auto"/>
        </w:rPr>
      </w:pPr>
      <w:r>
        <w:rPr>
          <w:rFonts w:ascii="Arial" w:cs="Arial" w:eastAsia="Arial" w:hAnsi="Arial"/>
          <w:sz w:val="13"/>
          <w:szCs w:val="13"/>
          <w:b w:val="1"/>
          <w:bCs w:val="1"/>
          <w:color w:val="auto"/>
        </w:rPr>
        <w:t>Attn: Suzanne Yeates, Company Secretary</w:t>
      </w:r>
    </w:p>
    <w:p>
      <w:pPr>
        <w:jc w:val="center"/>
        <w:spacing w:after="0" w:line="217" w:lineRule="auto"/>
        <w:rPr>
          <w:sz w:val="20"/>
          <w:szCs w:val="20"/>
          <w:color w:val="auto"/>
        </w:rPr>
      </w:pPr>
      <w:r>
        <w:rPr>
          <w:rFonts w:ascii="Arial" w:cs="Arial" w:eastAsia="Arial" w:hAnsi="Arial"/>
          <w:sz w:val="13"/>
          <w:szCs w:val="13"/>
          <w:b w:val="1"/>
          <w:bCs w:val="1"/>
          <w:color w:val="auto"/>
        </w:rPr>
        <w:t>suzie@novonixgroup.com</w:t>
      </w: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Name, Telephone, E-mail and/or Facsimile number and Address of Company Contact Person)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Copies to</w:t>
      </w:r>
      <w:r>
        <w:rPr>
          <w:rFonts w:ascii="Arial" w:cs="Arial" w:eastAsia="Arial" w:hAnsi="Arial"/>
          <w:sz w:val="13"/>
          <w:szCs w:val="13"/>
          <w:b w:val="1"/>
          <w:bCs w:val="1"/>
          <w:color w:val="auto"/>
        </w:rPr>
        <w: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William J. Miller</w:t>
      </w:r>
    </w:p>
    <w:p>
      <w:pPr>
        <w:jc w:val="center"/>
        <w:spacing w:after="0" w:line="216" w:lineRule="auto"/>
        <w:rPr>
          <w:sz w:val="20"/>
          <w:szCs w:val="20"/>
          <w:color w:val="auto"/>
        </w:rPr>
      </w:pPr>
      <w:r>
        <w:rPr>
          <w:rFonts w:ascii="Arial" w:cs="Arial" w:eastAsia="Arial" w:hAnsi="Arial"/>
          <w:sz w:val="13"/>
          <w:szCs w:val="13"/>
          <w:b w:val="1"/>
          <w:bCs w:val="1"/>
          <w:color w:val="auto"/>
        </w:rPr>
        <w:t>Kimberly C. Petillo-Décossard</w:t>
      </w:r>
    </w:p>
    <w:p>
      <w:pPr>
        <w:jc w:val="center"/>
        <w:spacing w:after="0" w:line="217" w:lineRule="auto"/>
        <w:rPr>
          <w:sz w:val="20"/>
          <w:szCs w:val="20"/>
          <w:color w:val="auto"/>
        </w:rPr>
      </w:pPr>
      <w:r>
        <w:rPr>
          <w:rFonts w:ascii="Arial" w:cs="Arial" w:eastAsia="Arial" w:hAnsi="Arial"/>
          <w:sz w:val="13"/>
          <w:szCs w:val="13"/>
          <w:b w:val="1"/>
          <w:bCs w:val="1"/>
          <w:color w:val="auto"/>
        </w:rPr>
        <w:t>Ross Sturman</w:t>
      </w:r>
    </w:p>
    <w:p>
      <w:pPr>
        <w:jc w:val="center"/>
        <w:spacing w:after="0" w:line="217" w:lineRule="auto"/>
        <w:rPr>
          <w:sz w:val="20"/>
          <w:szCs w:val="20"/>
          <w:color w:val="auto"/>
        </w:rPr>
      </w:pPr>
      <w:r>
        <w:rPr>
          <w:rFonts w:ascii="Arial" w:cs="Arial" w:eastAsia="Arial" w:hAnsi="Arial"/>
          <w:sz w:val="13"/>
          <w:szCs w:val="13"/>
          <w:b w:val="1"/>
          <w:bCs w:val="1"/>
          <w:color w:val="auto"/>
        </w:rPr>
        <w:t>Cahill Gordon &amp; Reindel LLP</w:t>
      </w:r>
    </w:p>
    <w:p>
      <w:pPr>
        <w:jc w:val="center"/>
        <w:spacing w:after="0" w:line="216" w:lineRule="auto"/>
        <w:rPr>
          <w:sz w:val="20"/>
          <w:szCs w:val="20"/>
          <w:color w:val="auto"/>
        </w:rPr>
      </w:pPr>
      <w:r>
        <w:rPr>
          <w:rFonts w:ascii="Arial" w:cs="Arial" w:eastAsia="Arial" w:hAnsi="Arial"/>
          <w:sz w:val="13"/>
          <w:szCs w:val="13"/>
          <w:b w:val="1"/>
          <w:bCs w:val="1"/>
          <w:color w:val="auto"/>
        </w:rPr>
        <w:t>32 Old Slip</w:t>
      </w:r>
    </w:p>
    <w:p>
      <w:pPr>
        <w:jc w:val="center"/>
        <w:spacing w:after="0" w:line="217" w:lineRule="auto"/>
        <w:rPr>
          <w:sz w:val="20"/>
          <w:szCs w:val="20"/>
          <w:color w:val="auto"/>
        </w:rPr>
      </w:pPr>
      <w:r>
        <w:rPr>
          <w:rFonts w:ascii="Arial" w:cs="Arial" w:eastAsia="Arial" w:hAnsi="Arial"/>
          <w:sz w:val="13"/>
          <w:szCs w:val="13"/>
          <w:b w:val="1"/>
          <w:bCs w:val="1"/>
          <w:color w:val="auto"/>
        </w:rPr>
        <w:t>New York, NY 10005</w:t>
      </w:r>
    </w:p>
    <w:p>
      <w:pPr>
        <w:jc w:val="center"/>
        <w:spacing w:after="0"/>
        <w:rPr>
          <w:sz w:val="20"/>
          <w:szCs w:val="20"/>
          <w:color w:val="auto"/>
        </w:rPr>
      </w:pPr>
      <w:r>
        <w:rPr>
          <w:rFonts w:ascii="Arial" w:cs="Arial" w:eastAsia="Arial" w:hAnsi="Arial"/>
          <w:sz w:val="13"/>
          <w:szCs w:val="13"/>
          <w:b w:val="1"/>
          <w:bCs w:val="1"/>
          <w:color w:val="auto"/>
        </w:rPr>
        <w:t>(212) 701-3000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27940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or to be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240" w:type="dxa"/>
            <w:vAlign w:val="bottom"/>
            <w:gridSpan w:val="3"/>
          </w:tcPr>
          <w:p>
            <w:pPr>
              <w:jc w:val="center"/>
              <w:ind w:right="1120"/>
              <w:spacing w:after="0"/>
              <w:rPr>
                <w:sz w:val="20"/>
                <w:szCs w:val="20"/>
                <w:color w:val="auto"/>
              </w:rPr>
            </w:pPr>
            <w:r>
              <w:rPr>
                <w:rFonts w:ascii="Arial" w:cs="Arial" w:eastAsia="Arial" w:hAnsi="Arial"/>
                <w:sz w:val="14"/>
                <w:szCs w:val="14"/>
                <w:color w:val="auto"/>
                <w:w w:val="92"/>
              </w:rPr>
              <w:t>Title of each class</w:t>
            </w:r>
          </w:p>
        </w:tc>
        <w:tc>
          <w:tcPr>
            <w:tcW w:w="2360" w:type="dxa"/>
            <w:vAlign w:val="bottom"/>
            <w:gridSpan w:val="2"/>
          </w:tcPr>
          <w:p>
            <w:pPr>
              <w:jc w:val="center"/>
              <w:ind w:right="1140"/>
              <w:spacing w:after="0"/>
              <w:rPr>
                <w:sz w:val="20"/>
                <w:szCs w:val="20"/>
                <w:color w:val="auto"/>
              </w:rPr>
            </w:pPr>
            <w:r>
              <w:rPr>
                <w:rFonts w:ascii="Arial" w:cs="Arial" w:eastAsia="Arial" w:hAnsi="Arial"/>
                <w:sz w:val="14"/>
                <w:szCs w:val="14"/>
                <w:color w:val="auto"/>
                <w:w w:val="96"/>
              </w:rPr>
              <w:t>Trading Symbol(s)</w:t>
            </w:r>
          </w:p>
        </w:tc>
        <w:tc>
          <w:tcPr>
            <w:tcW w:w="3120" w:type="dxa"/>
            <w:vAlign w:val="bottom"/>
          </w:tcPr>
          <w:p>
            <w:pPr>
              <w:jc w:val="center"/>
              <w:spacing w:after="0"/>
              <w:rPr>
                <w:sz w:val="20"/>
                <w:szCs w:val="20"/>
                <w:color w:val="auto"/>
              </w:rPr>
            </w:pPr>
            <w:r>
              <w:rPr>
                <w:rFonts w:ascii="Arial" w:cs="Arial" w:eastAsia="Arial" w:hAnsi="Arial"/>
                <w:sz w:val="14"/>
                <w:szCs w:val="14"/>
                <w:color w:val="auto"/>
                <w:w w:val="92"/>
              </w:rPr>
              <w:t>Name of each exchange and on which registered</w:t>
            </w:r>
          </w:p>
        </w:tc>
      </w:tr>
      <w:tr>
        <w:trPr>
          <w:trHeight w:val="25"/>
        </w:trPr>
        <w:tc>
          <w:tcPr>
            <w:tcW w:w="3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168"/>
        </w:trPr>
        <w:tc>
          <w:tcPr>
            <w:tcW w:w="4240" w:type="dxa"/>
            <w:vAlign w:val="bottom"/>
            <w:gridSpan w:val="3"/>
          </w:tcPr>
          <w:p>
            <w:pPr>
              <w:jc w:val="center"/>
              <w:ind w:right="1120"/>
              <w:spacing w:after="0"/>
              <w:rPr>
                <w:sz w:val="20"/>
                <w:szCs w:val="20"/>
                <w:color w:val="auto"/>
              </w:rPr>
            </w:pPr>
            <w:r>
              <w:rPr>
                <w:rFonts w:ascii="Arial" w:cs="Arial" w:eastAsia="Arial" w:hAnsi="Arial"/>
                <w:sz w:val="13"/>
                <w:szCs w:val="13"/>
                <w:color w:val="auto"/>
                <w:w w:val="87"/>
              </w:rPr>
              <w:t>American Depositary Shares</w:t>
            </w:r>
          </w:p>
        </w:tc>
        <w:tc>
          <w:tcPr>
            <w:tcW w:w="2360" w:type="dxa"/>
            <w:vAlign w:val="bottom"/>
            <w:gridSpan w:val="2"/>
          </w:tcPr>
          <w:p>
            <w:pPr>
              <w:jc w:val="center"/>
              <w:ind w:right="1140"/>
              <w:spacing w:after="0"/>
              <w:rPr>
                <w:sz w:val="20"/>
                <w:szCs w:val="20"/>
                <w:color w:val="auto"/>
              </w:rPr>
            </w:pPr>
            <w:r>
              <w:rPr>
                <w:rFonts w:ascii="Arial" w:cs="Arial" w:eastAsia="Arial" w:hAnsi="Arial"/>
                <w:sz w:val="13"/>
                <w:szCs w:val="13"/>
                <w:color w:val="auto"/>
                <w:w w:val="97"/>
              </w:rPr>
              <w:t>NVX</w:t>
            </w:r>
          </w:p>
        </w:tc>
        <w:tc>
          <w:tcPr>
            <w:tcW w:w="312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60"/>
        </w:trPr>
        <w:tc>
          <w:tcPr>
            <w:tcW w:w="4240" w:type="dxa"/>
            <w:vAlign w:val="bottom"/>
            <w:gridSpan w:val="3"/>
          </w:tcPr>
          <w:p>
            <w:pPr>
              <w:spacing w:after="0"/>
              <w:rPr>
                <w:sz w:val="20"/>
                <w:szCs w:val="20"/>
                <w:color w:val="auto"/>
              </w:rPr>
            </w:pPr>
            <w:r>
              <w:rPr>
                <w:rFonts w:ascii="Arial" w:cs="Arial" w:eastAsia="Arial" w:hAnsi="Arial"/>
                <w:sz w:val="13"/>
                <w:szCs w:val="13"/>
                <w:color w:val="auto"/>
                <w:w w:val="89"/>
              </w:rPr>
              <w:t>Securities registered or to be registered pursuant to Section 12(g) of the Act: None</w:t>
            </w: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tcPr>
          <w:p>
            <w:pPr>
              <w:spacing w:after="0"/>
              <w:rPr>
                <w:sz w:val="13"/>
                <w:szCs w:val="13"/>
                <w:color w:val="auto"/>
              </w:rPr>
            </w:pPr>
          </w:p>
        </w:tc>
      </w:tr>
    </w:tbl>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Securities for which there is a reporting obligation pursuant to Section 15(d) of the Act: None</w:t>
      </w:r>
    </w:p>
    <w:p>
      <w:pPr>
        <w:spacing w:after="0" w:line="13" w:lineRule="exact"/>
        <w:rPr>
          <w:sz w:val="24"/>
          <w:szCs w:val="24"/>
          <w:color w:val="auto"/>
        </w:rPr>
      </w:pPr>
    </w:p>
    <w:p>
      <w:pPr>
        <w:ind w:left="360" w:right="1400"/>
        <w:spacing w:after="0" w:line="174" w:lineRule="exact"/>
        <w:rPr>
          <w:sz w:val="20"/>
          <w:szCs w:val="20"/>
          <w:color w:val="auto"/>
        </w:rPr>
      </w:pPr>
      <w:r>
        <w:rPr>
          <w:rFonts w:ascii="Arial" w:cs="Arial" w:eastAsia="Arial" w:hAnsi="Arial"/>
          <w:sz w:val="12"/>
          <w:szCs w:val="12"/>
          <w:color w:val="auto"/>
        </w:rPr>
        <w:t xml:space="preserve">Indicate the number of outstanding shares of each of the issuer’s classes of capital or common stock as of the close of the period covered by the annual report. 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ind w:right="200" w:firstLine="360"/>
        <w:spacing w:after="0" w:line="156" w:lineRule="exact"/>
        <w:rPr>
          <w:sz w:val="20"/>
          <w:szCs w:val="20"/>
          <w:color w:val="auto"/>
        </w:rPr>
      </w:pPr>
      <w:r>
        <w:rPr>
          <w:rFonts w:ascii="Arial" w:cs="Arial" w:eastAsia="Arial" w:hAnsi="Arial"/>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60" w:firstLine="360"/>
        <w:spacing w:after="0" w:line="156"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ind w:right="160" w:firstLine="360"/>
        <w:spacing w:after="0" w:line="156" w:lineRule="exact"/>
        <w:rPr>
          <w:sz w:val="20"/>
          <w:szCs w:val="20"/>
          <w:color w:val="auto"/>
        </w:rPr>
      </w:pPr>
      <w:r>
        <w:rPr>
          <w:rFonts w:ascii="Arial" w:cs="Arial" w:eastAsia="Arial" w:hAnsi="Arial"/>
          <w:sz w:val="10"/>
          <w:szCs w:val="10"/>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ind w:right="280" w:firstLine="360"/>
        <w:spacing w:after="0" w:line="22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definition of “accelerated filer,” “large accelerated filer” and “emerging growth company” in Rule 12b-2 of the Exchange Act. (Check one):</w:t>
      </w:r>
    </w:p>
    <w:p>
      <w:pPr>
        <w:spacing w:after="0" w:line="140" w:lineRule="exact"/>
        <w:rPr>
          <w:sz w:val="24"/>
          <w:szCs w:val="24"/>
          <w:color w:val="auto"/>
        </w:rPr>
      </w:pPr>
    </w:p>
    <w:p>
      <w:pPr>
        <w:ind w:left="3300" w:right="1560" w:hanging="6587"/>
        <w:spacing w:after="0" w:line="201" w:lineRule="exact"/>
        <w:tabs>
          <w:tab w:leader="none" w:pos="32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3"/>
          <w:szCs w:val="13"/>
          <w:color w:val="auto"/>
        </w:rPr>
        <w:t>☒</w:t>
      </w:r>
    </w:p>
    <w:p>
      <w:pPr>
        <w:spacing w:after="0" w:line="202" w:lineRule="exact"/>
        <w:rPr>
          <w:sz w:val="24"/>
          <w:szCs w:val="24"/>
          <w:color w:val="auto"/>
        </w:rPr>
      </w:pPr>
    </w:p>
    <w:p>
      <w:pPr>
        <w:ind w:right="460" w:firstLine="360"/>
        <w:spacing w:after="0" w:line="160"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right="360" w:firstLine="364"/>
        <w:spacing w:after="0" w:line="228" w:lineRule="auto"/>
        <w:tabs>
          <w:tab w:leader="none" w:pos="454"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2" w:lineRule="exact"/>
        <w:rPr>
          <w:rFonts w:ascii="Arial" w:cs="Arial" w:eastAsia="Arial" w:hAnsi="Arial"/>
          <w:sz w:val="13"/>
          <w:szCs w:val="13"/>
          <w:color w:val="auto"/>
        </w:rPr>
      </w:pPr>
    </w:p>
    <w:p>
      <w:pPr>
        <w:ind w:right="300" w:firstLine="360"/>
        <w:spacing w:after="0" w:line="160" w:lineRule="exact"/>
        <w:rPr>
          <w:rFonts w:ascii="Arial" w:cs="Arial" w:eastAsia="Arial" w:hAnsi="Arial"/>
          <w:sz w:val="13"/>
          <w:szCs w:val="13"/>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ind w:left="360"/>
        <w:spacing w:after="0"/>
        <w:rPr>
          <w:rFonts w:ascii="Arial" w:cs="Arial" w:eastAsia="Arial" w:hAnsi="Arial"/>
          <w:sz w:val="13"/>
          <w:szCs w:val="13"/>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140" w:lineRule="exact"/>
        <w:rPr>
          <w:sz w:val="24"/>
          <w:szCs w:val="24"/>
          <w:color w:val="auto"/>
        </w:rPr>
      </w:pPr>
    </w:p>
    <w:p>
      <w:pPr>
        <w:spacing w:after="0" w:line="150" w:lineRule="exact"/>
        <w:tabs>
          <w:tab w:leader="none" w:pos="1940" w:val="left"/>
          <w:tab w:leader="none" w:pos="7980" w:val="left"/>
        </w:tabs>
        <w:rPr>
          <w:sz w:val="20"/>
          <w:szCs w:val="20"/>
          <w:color w:val="auto"/>
        </w:rPr>
      </w:pPr>
      <w:r>
        <w:rPr>
          <w:rFonts w:ascii="Arial" w:cs="Arial" w:eastAsia="Arial" w:hAnsi="Arial"/>
          <w:sz w:val="13"/>
          <w:szCs w:val="13"/>
          <w:color w:val="auto"/>
        </w:rPr>
        <w:t xml:space="preserve">U.S. GAAP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International Financial Reporting Standards as issued by the International Accounting Standards Board </w:t>
      </w:r>
      <w:r>
        <w:rPr>
          <w:rFonts w:ascii="MS PGothic" w:cs="MS PGothic" w:eastAsia="MS PGothic" w:hAnsi="MS PGothic"/>
          <w:sz w:val="13"/>
          <w:szCs w:val="13"/>
          <w:color w:val="auto"/>
        </w:rPr>
        <w:t>☒</w:t>
      </w:r>
      <w:r>
        <w:rPr>
          <w:sz w:val="20"/>
          <w:szCs w:val="20"/>
          <w:color w:val="auto"/>
        </w:rPr>
        <w:tab/>
      </w:r>
      <w:r>
        <w:rPr>
          <w:rFonts w:ascii="Arial" w:cs="Arial" w:eastAsia="Arial" w:hAnsi="Arial"/>
          <w:sz w:val="10"/>
          <w:szCs w:val="10"/>
          <w:color w:val="auto"/>
        </w:rPr>
        <w:t xml:space="preserve">Other </w:t>
      </w:r>
      <w:r>
        <w:rPr>
          <w:rFonts w:ascii="MS PGothic" w:cs="MS PGothic" w:eastAsia="MS PGothic" w:hAnsi="MS PGothic"/>
          <w:sz w:val="10"/>
          <w:szCs w:val="10"/>
          <w:color w:val="auto"/>
        </w:rPr>
        <w:t>☐</w:t>
      </w:r>
    </w:p>
    <w:p>
      <w:pPr>
        <w:spacing w:after="0" w:line="49" w:lineRule="exact"/>
        <w:rPr>
          <w:sz w:val="24"/>
          <w:szCs w:val="24"/>
          <w:color w:val="auto"/>
        </w:rPr>
      </w:pPr>
    </w:p>
    <w:p>
      <w:pPr>
        <w:ind w:left="360" w:right="360"/>
        <w:spacing w:after="0" w:line="175" w:lineRule="exact"/>
        <w:rPr>
          <w:sz w:val="20"/>
          <w:szCs w:val="20"/>
          <w:color w:val="auto"/>
        </w:rPr>
      </w:pPr>
      <w:r>
        <w:rPr>
          <w:rFonts w:ascii="Arial" w:cs="Arial" w:eastAsia="Arial" w:hAnsi="Arial"/>
          <w:sz w:val="12"/>
          <w:szCs w:val="12"/>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2"/>
          <w:szCs w:val="12"/>
          <w:color w:val="auto"/>
        </w:rPr>
        <w:t>☐</w:t>
      </w:r>
      <w:r>
        <w:rPr>
          <w:rFonts w:ascii="Arial" w:cs="Arial" w:eastAsia="Arial" w:hAnsi="Arial"/>
          <w:sz w:val="12"/>
          <w:szCs w:val="12"/>
          <w:color w:val="auto"/>
        </w:rPr>
        <w:t xml:space="preserve"> Item 18 </w:t>
      </w:r>
      <w:r>
        <w:rPr>
          <w:rFonts w:ascii="MS PGothic" w:cs="MS PGothic" w:eastAsia="MS PGothic" w:hAnsi="MS PGothic"/>
          <w:sz w:val="12"/>
          <w:szCs w:val="12"/>
          <w:color w:val="auto"/>
        </w:rPr>
        <w:t>☐</w:t>
      </w:r>
      <w:r>
        <w:rPr>
          <w:rFonts w:ascii="Arial" w:cs="Arial" w:eastAsia="Arial" w:hAnsi="Arial"/>
          <w:sz w:val="12"/>
          <w:szCs w:val="12"/>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ind w:left="360"/>
        <w:spacing w:after="0"/>
        <w:rPr>
          <w:sz w:val="20"/>
          <w:szCs w:val="20"/>
          <w:color w:val="auto"/>
        </w:rPr>
      </w:pPr>
      <w:r>
        <w:rPr>
          <w:rFonts w:ascii="Arial" w:cs="Arial" w:eastAsia="Arial" w:hAnsi="Arial"/>
          <w:sz w:val="13"/>
          <w:szCs w:val="13"/>
          <w:color w:val="auto"/>
        </w:rPr>
        <w:t>(APPLICABLE ONLY TO ISSUERS INVOLVED IN BANKRUPTCY PROCEEDINGS DURING THE PAST FIVE YEARS)</w:t>
      </w:r>
    </w:p>
    <w:p>
      <w:pPr>
        <w:spacing w:after="0" w:line="3" w:lineRule="exact"/>
        <w:rPr>
          <w:sz w:val="24"/>
          <w:szCs w:val="24"/>
          <w:color w:val="auto"/>
        </w:rPr>
      </w:pPr>
    </w:p>
    <w:p>
      <w:pPr>
        <w:ind w:right="140" w:firstLine="36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318770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181610</wp:posOffset>
            </wp:positionV>
            <wp:extent cx="61722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spacing w:after="0" w:line="39"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gridSpan w:val="5"/>
          </w:tcPr>
          <w:p>
            <w:pPr>
              <w:ind w:left="740"/>
              <w:spacing w:after="0"/>
              <w:rPr>
                <w:sz w:val="20"/>
                <w:szCs w:val="20"/>
                <w:color w:val="auto"/>
              </w:rPr>
            </w:pPr>
            <w:r>
              <w:rPr>
                <w:rFonts w:ascii="Arial" w:cs="Arial" w:eastAsia="Arial" w:hAnsi="Arial"/>
                <w:sz w:val="14"/>
                <w:szCs w:val="14"/>
                <w:b w:val="1"/>
                <w:bCs w:val="1"/>
                <w:color w:val="auto"/>
              </w:rPr>
              <w:t>Page</w:t>
            </w:r>
          </w:p>
        </w:tc>
      </w:tr>
      <w:tr>
        <w:trPr>
          <w:trHeight w:val="53"/>
        </w:trPr>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43"/>
        </w:trPr>
        <w:tc>
          <w:tcPr>
            <w:tcW w:w="7320" w:type="dxa"/>
            <w:vAlign w:val="bottom"/>
            <w:gridSpan w:val="51"/>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INTRODUCTION AND USE OF CERTAIN TERMS</w:t>
              </w:r>
            </w:hyperlink>
          </w:p>
        </w:tc>
        <w:tc>
          <w:tcPr>
            <w:tcW w:w="1020" w:type="dxa"/>
            <w:vAlign w:val="bottom"/>
            <w:tcBorders>
              <w:right w:val="single" w:sz="8" w:color="CCEEFF"/>
            </w:tcBorders>
            <w:gridSpan w:val="4"/>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80" w:type="dxa"/>
            <w:vAlign w:val="bottom"/>
            <w:shd w:val="clear" w:color="auto" w:fill="CCEEFF"/>
          </w:tcPr>
          <w:p>
            <w:pPr>
              <w:spacing w:after="0"/>
              <w:rPr>
                <w:sz w:val="21"/>
                <w:szCs w:val="21"/>
                <w:color w:val="auto"/>
              </w:rPr>
            </w:pPr>
          </w:p>
        </w:tc>
      </w:tr>
      <w:tr>
        <w:trPr>
          <w:trHeight w:val="75"/>
        </w:trPr>
        <w:tc>
          <w:tcPr>
            <w:tcW w:w="340" w:type="dxa"/>
            <w:vAlign w:val="bottom"/>
            <w:tcBorders>
              <w:top w:val="single" w:sz="8" w:color="0000EE"/>
              <w:right w:val="single" w:sz="8" w:color="CCEEFF"/>
            </w:tcBorders>
            <w:gridSpan w:val="3"/>
            <w:shd w:val="clear" w:color="auto" w:fill="CCEEFF"/>
          </w:tcPr>
          <w:p>
            <w:pPr>
              <w:spacing w:after="0"/>
              <w:rPr>
                <w:sz w:val="6"/>
                <w:szCs w:val="6"/>
                <w:color w:val="auto"/>
              </w:rPr>
            </w:pPr>
          </w:p>
        </w:tc>
        <w:tc>
          <w:tcPr>
            <w:tcW w:w="1980" w:type="dxa"/>
            <w:vAlign w:val="bottom"/>
            <w:tcBorders>
              <w:top w:val="single" w:sz="8" w:color="0000EE"/>
              <w:right w:val="single" w:sz="8" w:color="CCEEFF"/>
            </w:tcBorders>
            <w:gridSpan w:val="20"/>
            <w:shd w:val="clear" w:color="auto" w:fill="CCEEFF"/>
          </w:tcPr>
          <w:p>
            <w:pPr>
              <w:spacing w:after="0"/>
              <w:rPr>
                <w:sz w:val="6"/>
                <w:szCs w:val="6"/>
                <w:color w:val="auto"/>
              </w:rPr>
            </w:pPr>
          </w:p>
        </w:tc>
        <w:tc>
          <w:tcPr>
            <w:tcW w:w="1580" w:type="dxa"/>
            <w:vAlign w:val="bottom"/>
            <w:tcBorders>
              <w:top w:val="single" w:sz="8" w:color="0000EE"/>
            </w:tcBorders>
            <w:gridSpan w:val="17"/>
            <w:shd w:val="clear" w:color="auto" w:fill="CCEEFF"/>
          </w:tcPr>
          <w:p>
            <w:pPr>
              <w:spacing w:after="0"/>
              <w:rPr>
                <w:sz w:val="6"/>
                <w:szCs w:val="6"/>
                <w:color w:val="auto"/>
              </w:rPr>
            </w:pPr>
          </w:p>
        </w:tc>
        <w:tc>
          <w:tcPr>
            <w:tcW w:w="4340" w:type="dxa"/>
            <w:vAlign w:val="bottom"/>
            <w:tcBorders>
              <w:top w:val="single" w:sz="8" w:color="CCEEFF"/>
            </w:tcBorders>
            <w:gridSpan w:val="14"/>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7320" w:type="dxa"/>
            <w:vAlign w:val="bottom"/>
            <w:gridSpan w:val="5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SPECIAL NOTE REGARDING FORWARD LOOKING STATEMENTS</w:t>
              </w:r>
            </w:hyperlink>
          </w:p>
        </w:tc>
        <w:tc>
          <w:tcPr>
            <w:tcW w:w="102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80" w:type="dxa"/>
            <w:vAlign w:val="bottom"/>
          </w:tcPr>
          <w:p>
            <w:pPr>
              <w:spacing w:after="0"/>
              <w:rPr>
                <w:sz w:val="19"/>
                <w:szCs w:val="19"/>
                <w:color w:val="auto"/>
              </w:rPr>
            </w:pPr>
          </w:p>
        </w:tc>
      </w:tr>
      <w:tr>
        <w:trPr>
          <w:trHeight w:val="75"/>
        </w:trPr>
        <w:tc>
          <w:tcPr>
            <w:tcW w:w="5320" w:type="dxa"/>
            <w:vAlign w:val="bottom"/>
            <w:tcBorders>
              <w:top w:val="single" w:sz="8" w:color="0000EE"/>
            </w:tcBorders>
            <w:gridSpan w:val="45"/>
          </w:tcPr>
          <w:p>
            <w:pPr>
              <w:spacing w:after="0"/>
              <w:rPr>
                <w:sz w:val="6"/>
                <w:szCs w:val="6"/>
                <w:color w:val="auto"/>
              </w:rPr>
            </w:pPr>
          </w:p>
        </w:tc>
        <w:tc>
          <w:tcPr>
            <w:tcW w:w="2920" w:type="dxa"/>
            <w:vAlign w:val="bottom"/>
            <w:gridSpan w:val="9"/>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860" w:type="dxa"/>
            <w:vAlign w:val="bottom"/>
            <w:gridSpan w:val="7"/>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ADVISERS</w:t>
              </w:r>
            </w:hyperlink>
          </w:p>
        </w:tc>
        <w:tc>
          <w:tcPr>
            <w:tcW w:w="1020" w:type="dxa"/>
            <w:vAlign w:val="bottom"/>
            <w:tcBorders>
              <w:right w:val="single" w:sz="8" w:color="CCEEFF"/>
            </w:tcBorders>
            <w:gridSpan w:val="4"/>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80" w:type="dxa"/>
            <w:vAlign w:val="bottom"/>
            <w:shd w:val="clear" w:color="auto" w:fill="CCEEFF"/>
          </w:tcPr>
          <w:p>
            <w:pPr>
              <w:spacing w:after="0"/>
              <w:rPr>
                <w:sz w:val="19"/>
                <w:szCs w:val="19"/>
                <w:color w:val="auto"/>
              </w:rPr>
            </w:pPr>
          </w:p>
        </w:tc>
      </w:tr>
      <w:tr>
        <w:trPr>
          <w:trHeight w:val="74"/>
        </w:trPr>
        <w:tc>
          <w:tcPr>
            <w:tcW w:w="340" w:type="dxa"/>
            <w:vAlign w:val="bottom"/>
            <w:tcBorders>
              <w:top w:val="single" w:sz="8" w:color="0000EE"/>
              <w:right w:val="single" w:sz="8" w:color="CCEEFF"/>
            </w:tcBorders>
            <w:gridSpan w:val="3"/>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gridSpan w:val="4"/>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4260" w:type="dxa"/>
            <w:vAlign w:val="bottom"/>
            <w:tcBorders>
              <w:top w:val="single" w:sz="8" w:color="0000EE"/>
            </w:tcBorders>
            <w:gridSpan w:val="27"/>
            <w:shd w:val="clear" w:color="auto" w:fill="CCEEFF"/>
          </w:tcPr>
          <w:p>
            <w:pPr>
              <w:spacing w:after="0"/>
              <w:rPr>
                <w:sz w:val="6"/>
                <w:szCs w:val="6"/>
                <w:color w:val="auto"/>
              </w:rPr>
            </w:pPr>
          </w:p>
        </w:tc>
        <w:tc>
          <w:tcPr>
            <w:tcW w:w="1660" w:type="dxa"/>
            <w:vAlign w:val="bottom"/>
            <w:tcBorders>
              <w:top w:val="single" w:sz="8" w:color="CCEEFF"/>
            </w:tcBorders>
            <w:gridSpan w:val="4"/>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w:t>
              </w:r>
            </w:hyperlink>
          </w:p>
        </w:tc>
        <w:tc>
          <w:tcPr>
            <w:tcW w:w="6460" w:type="dxa"/>
            <w:vAlign w:val="bottom"/>
            <w:gridSpan w:val="44"/>
          </w:tcPr>
          <w:p>
            <w:pPr>
              <w:ind w:left="120"/>
              <w:spacing w:after="0"/>
              <w:rPr>
                <w:rFonts w:ascii="Arial" w:cs="Arial" w:eastAsia="Arial" w:hAnsi="Arial"/>
                <w:sz w:val="18"/>
                <w:szCs w:val="18"/>
                <w:color w:val="0000EE"/>
              </w:rPr>
            </w:pPr>
            <w:hyperlink w:anchor="page7">
              <w:r>
                <w:rPr>
                  <w:rFonts w:ascii="Arial" w:cs="Arial" w:eastAsia="Arial" w:hAnsi="Arial"/>
                  <w:sz w:val="18"/>
                  <w:szCs w:val="18"/>
                  <w:color w:val="0000EE"/>
                </w:rPr>
                <w:t>Directors and Senior Management</w:t>
              </w:r>
            </w:hyperlink>
          </w:p>
        </w:tc>
        <w:tc>
          <w:tcPr>
            <w:tcW w:w="102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2480" w:type="dxa"/>
            <w:vAlign w:val="bottom"/>
            <w:tcBorders>
              <w:top w:val="single" w:sz="8" w:color="0000EE"/>
            </w:tcBorders>
            <w:gridSpan w:val="29"/>
          </w:tcPr>
          <w:p>
            <w:pPr>
              <w:spacing w:after="0"/>
              <w:rPr>
                <w:sz w:val="6"/>
                <w:szCs w:val="6"/>
                <w:color w:val="auto"/>
              </w:rPr>
            </w:pPr>
          </w:p>
        </w:tc>
        <w:tc>
          <w:tcPr>
            <w:tcW w:w="4780" w:type="dxa"/>
            <w:vAlign w:val="bottom"/>
            <w:gridSpan w:val="17"/>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7">
              <w:r>
                <w:rPr>
                  <w:rFonts w:ascii="Arial" w:cs="Arial" w:eastAsia="Arial" w:hAnsi="Arial"/>
                  <w:sz w:val="18"/>
                  <w:szCs w:val="18"/>
                  <w:color w:val="0000EE"/>
                </w:rPr>
                <w:t>Advisors</w:t>
              </w:r>
            </w:hyperlink>
          </w:p>
        </w:tc>
        <w:tc>
          <w:tcPr>
            <w:tcW w:w="1020" w:type="dxa"/>
            <w:vAlign w:val="bottom"/>
            <w:tcBorders>
              <w:right w:val="single" w:sz="8" w:color="CCEEFF"/>
            </w:tcBorders>
            <w:gridSpan w:val="4"/>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8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640" w:type="dxa"/>
            <w:vAlign w:val="bottom"/>
            <w:tcBorders>
              <w:top w:val="single" w:sz="8" w:color="0000EE"/>
            </w:tcBorders>
            <w:gridSpan w:val="4"/>
            <w:shd w:val="clear" w:color="auto" w:fill="CCEEFF"/>
          </w:tcPr>
          <w:p>
            <w:pPr>
              <w:spacing w:after="0"/>
              <w:rPr>
                <w:sz w:val="6"/>
                <w:szCs w:val="6"/>
                <w:color w:val="auto"/>
              </w:rPr>
            </w:pPr>
          </w:p>
        </w:tc>
        <w:tc>
          <w:tcPr>
            <w:tcW w:w="700" w:type="dxa"/>
            <w:vAlign w:val="bottom"/>
            <w:tcBorders>
              <w:top w:val="single" w:sz="8" w:color="CCEEFF"/>
              <w:right w:val="single" w:sz="8" w:color="CCEEFF"/>
            </w:tcBorders>
            <w:gridSpan w:val="11"/>
            <w:shd w:val="clear" w:color="auto" w:fill="CCEEFF"/>
          </w:tcPr>
          <w:p>
            <w:pPr>
              <w:spacing w:after="0"/>
              <w:rPr>
                <w:sz w:val="6"/>
                <w:szCs w:val="6"/>
                <w:color w:val="auto"/>
              </w:rPr>
            </w:pPr>
          </w:p>
        </w:tc>
        <w:tc>
          <w:tcPr>
            <w:tcW w:w="5920" w:type="dxa"/>
            <w:vAlign w:val="bottom"/>
            <w:tcBorders>
              <w:top w:val="single" w:sz="8" w:color="CCEEFF"/>
            </w:tcBorders>
            <w:gridSpan w:val="31"/>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w:t>
              </w:r>
            </w:hyperlink>
          </w:p>
        </w:tc>
        <w:tc>
          <w:tcPr>
            <w:tcW w:w="6460" w:type="dxa"/>
            <w:vAlign w:val="bottom"/>
            <w:gridSpan w:val="44"/>
          </w:tcPr>
          <w:p>
            <w:pPr>
              <w:ind w:left="120"/>
              <w:spacing w:after="0"/>
              <w:rPr>
                <w:rFonts w:ascii="Arial" w:cs="Arial" w:eastAsia="Arial" w:hAnsi="Arial"/>
                <w:sz w:val="18"/>
                <w:szCs w:val="18"/>
                <w:color w:val="0000EE"/>
              </w:rPr>
            </w:pPr>
            <w:hyperlink w:anchor="page7">
              <w:r>
                <w:rPr>
                  <w:rFonts w:ascii="Arial" w:cs="Arial" w:eastAsia="Arial" w:hAnsi="Arial"/>
                  <w:sz w:val="18"/>
                  <w:szCs w:val="18"/>
                  <w:color w:val="0000EE"/>
                </w:rPr>
                <w:t>Auditors</w:t>
              </w:r>
            </w:hyperlink>
          </w:p>
        </w:tc>
        <w:tc>
          <w:tcPr>
            <w:tcW w:w="102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8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620" w:type="dxa"/>
            <w:vAlign w:val="bottom"/>
            <w:tcBorders>
              <w:top w:val="single" w:sz="8" w:color="0000EE"/>
            </w:tcBorders>
            <w:gridSpan w:val="3"/>
          </w:tcPr>
          <w:p>
            <w:pPr>
              <w:spacing w:after="0"/>
              <w:rPr>
                <w:sz w:val="6"/>
                <w:szCs w:val="6"/>
                <w:color w:val="auto"/>
              </w:rPr>
            </w:pPr>
          </w:p>
        </w:tc>
        <w:tc>
          <w:tcPr>
            <w:tcW w:w="6640" w:type="dxa"/>
            <w:vAlign w:val="bottom"/>
            <w:gridSpan w:val="43"/>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860" w:type="dxa"/>
            <w:vAlign w:val="bottom"/>
            <w:gridSpan w:val="7"/>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2.</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7">
              <w:r>
                <w:rPr>
                  <w:rFonts w:ascii="Arial" w:cs="Arial" w:eastAsia="Arial" w:hAnsi="Arial"/>
                  <w:sz w:val="18"/>
                  <w:szCs w:val="18"/>
                  <w:color w:val="0000EE"/>
                </w:rPr>
                <w:t>OFFER STATISTICS AND EXPECTED TIMETABLE</w:t>
              </w:r>
            </w:hyperlink>
          </w:p>
        </w:tc>
        <w:tc>
          <w:tcPr>
            <w:tcW w:w="1020" w:type="dxa"/>
            <w:vAlign w:val="bottom"/>
            <w:tcBorders>
              <w:right w:val="single" w:sz="8" w:color="CCEEFF"/>
            </w:tcBorders>
            <w:gridSpan w:val="4"/>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80" w:type="dxa"/>
            <w:vAlign w:val="bottom"/>
            <w:shd w:val="clear" w:color="auto" w:fill="CCEEFF"/>
          </w:tcPr>
          <w:p>
            <w:pPr>
              <w:spacing w:after="0"/>
              <w:rPr>
                <w:sz w:val="19"/>
                <w:szCs w:val="19"/>
                <w:color w:val="auto"/>
              </w:rPr>
            </w:pPr>
          </w:p>
        </w:tc>
      </w:tr>
      <w:tr>
        <w:trPr>
          <w:trHeight w:val="74"/>
        </w:trPr>
        <w:tc>
          <w:tcPr>
            <w:tcW w:w="340" w:type="dxa"/>
            <w:vAlign w:val="bottom"/>
            <w:tcBorders>
              <w:top w:val="single" w:sz="8" w:color="0000EE"/>
              <w:right w:val="single" w:sz="8" w:color="CCEEFF"/>
            </w:tcBorders>
            <w:gridSpan w:val="3"/>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gridSpan w:val="4"/>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2680" w:type="dxa"/>
            <w:vAlign w:val="bottom"/>
            <w:tcBorders>
              <w:top w:val="single" w:sz="8" w:color="0000EE"/>
            </w:tcBorders>
            <w:gridSpan w:val="21"/>
            <w:shd w:val="clear" w:color="auto" w:fill="CCEEFF"/>
          </w:tcPr>
          <w:p>
            <w:pPr>
              <w:spacing w:after="0"/>
              <w:rPr>
                <w:sz w:val="6"/>
                <w:szCs w:val="6"/>
                <w:color w:val="auto"/>
              </w:rPr>
            </w:pPr>
          </w:p>
        </w:tc>
        <w:tc>
          <w:tcPr>
            <w:tcW w:w="3240" w:type="dxa"/>
            <w:vAlign w:val="bottom"/>
            <w:tcBorders>
              <w:top w:val="single" w:sz="8" w:color="CCEEFF"/>
            </w:tcBorders>
            <w:gridSpan w:val="10"/>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86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3.</w:t>
              </w:r>
            </w:hyperlink>
          </w:p>
        </w:tc>
        <w:tc>
          <w:tcPr>
            <w:tcW w:w="6460" w:type="dxa"/>
            <w:vAlign w:val="bottom"/>
            <w:gridSpan w:val="44"/>
          </w:tcPr>
          <w:p>
            <w:pPr>
              <w:ind w:left="120"/>
              <w:spacing w:after="0"/>
              <w:rPr>
                <w:rFonts w:ascii="Arial" w:cs="Arial" w:eastAsia="Arial" w:hAnsi="Arial"/>
                <w:sz w:val="18"/>
                <w:szCs w:val="18"/>
                <w:color w:val="0000EE"/>
              </w:rPr>
            </w:pPr>
            <w:hyperlink w:anchor="page7">
              <w:r>
                <w:rPr>
                  <w:rFonts w:ascii="Arial" w:cs="Arial" w:eastAsia="Arial" w:hAnsi="Arial"/>
                  <w:sz w:val="18"/>
                  <w:szCs w:val="18"/>
                  <w:color w:val="0000EE"/>
                </w:rPr>
                <w:t>KEY INFORMATION</w:t>
              </w:r>
            </w:hyperlink>
          </w:p>
        </w:tc>
        <w:tc>
          <w:tcPr>
            <w:tcW w:w="102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80" w:type="dxa"/>
            <w:vAlign w:val="bottom"/>
          </w:tcPr>
          <w:p>
            <w:pPr>
              <w:spacing w:after="0"/>
              <w:rPr>
                <w:sz w:val="19"/>
                <w:szCs w:val="19"/>
                <w:color w:val="auto"/>
              </w:rPr>
            </w:pPr>
          </w:p>
        </w:tc>
      </w:tr>
      <w:tr>
        <w:trPr>
          <w:trHeight w:val="74"/>
        </w:trPr>
        <w:tc>
          <w:tcPr>
            <w:tcW w:w="620" w:type="dxa"/>
            <w:vAlign w:val="bottom"/>
            <w:tcBorders>
              <w:top w:val="single" w:sz="8" w:color="0000EE"/>
            </w:tcBorders>
            <w:gridSpan w:val="4"/>
          </w:tcPr>
          <w:p>
            <w:pPr>
              <w:spacing w:after="0"/>
              <w:rPr>
                <w:sz w:val="6"/>
                <w:szCs w:val="6"/>
                <w:color w:val="auto"/>
              </w:rPr>
            </w:pPr>
          </w:p>
        </w:tc>
        <w:tc>
          <w:tcPr>
            <w:tcW w:w="360" w:type="dxa"/>
            <w:vAlign w:val="bottom"/>
            <w:gridSpan w:val="4"/>
          </w:tcPr>
          <w:p>
            <w:pPr>
              <w:spacing w:after="0"/>
              <w:rPr>
                <w:sz w:val="6"/>
                <w:szCs w:val="6"/>
                <w:color w:val="auto"/>
              </w:rPr>
            </w:pPr>
          </w:p>
        </w:tc>
        <w:tc>
          <w:tcPr>
            <w:tcW w:w="1660" w:type="dxa"/>
            <w:vAlign w:val="bottom"/>
            <w:tcBorders>
              <w:top w:val="single" w:sz="8" w:color="0000EE"/>
            </w:tcBorders>
            <w:gridSpan w:val="21"/>
          </w:tcPr>
          <w:p>
            <w:pPr>
              <w:spacing w:after="0"/>
              <w:rPr>
                <w:sz w:val="6"/>
                <w:szCs w:val="6"/>
                <w:color w:val="auto"/>
              </w:rPr>
            </w:pPr>
          </w:p>
        </w:tc>
        <w:tc>
          <w:tcPr>
            <w:tcW w:w="5600" w:type="dxa"/>
            <w:vAlign w:val="bottom"/>
            <w:gridSpan w:val="25"/>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7">
              <w:r>
                <w:rPr>
                  <w:rFonts w:ascii="Arial" w:cs="Arial" w:eastAsia="Arial" w:hAnsi="Arial"/>
                  <w:sz w:val="18"/>
                  <w:szCs w:val="18"/>
                  <w:color w:val="0000EE"/>
                </w:rPr>
                <w:t>[Reserved]</w:t>
              </w:r>
            </w:hyperlink>
          </w:p>
        </w:tc>
        <w:tc>
          <w:tcPr>
            <w:tcW w:w="1020" w:type="dxa"/>
            <w:vAlign w:val="bottom"/>
            <w:tcBorders>
              <w:right w:val="single" w:sz="8" w:color="CCEEFF"/>
            </w:tcBorders>
            <w:gridSpan w:val="4"/>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8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780" w:type="dxa"/>
            <w:vAlign w:val="bottom"/>
            <w:tcBorders>
              <w:top w:val="single" w:sz="8" w:color="0000EE"/>
            </w:tcBorders>
            <w:gridSpan w:val="5"/>
            <w:shd w:val="clear" w:color="auto" w:fill="CCEEFF"/>
          </w:tcPr>
          <w:p>
            <w:pPr>
              <w:spacing w:after="0"/>
              <w:rPr>
                <w:sz w:val="6"/>
                <w:szCs w:val="6"/>
                <w:color w:val="auto"/>
              </w:rPr>
            </w:pPr>
          </w:p>
        </w:tc>
        <w:tc>
          <w:tcPr>
            <w:tcW w:w="560" w:type="dxa"/>
            <w:vAlign w:val="bottom"/>
            <w:tcBorders>
              <w:top w:val="single" w:sz="8" w:color="CCEEFF"/>
              <w:right w:val="single" w:sz="8" w:color="CCEEFF"/>
            </w:tcBorders>
            <w:gridSpan w:val="10"/>
            <w:shd w:val="clear" w:color="auto" w:fill="CCEEFF"/>
          </w:tcPr>
          <w:p>
            <w:pPr>
              <w:spacing w:after="0"/>
              <w:rPr>
                <w:sz w:val="6"/>
                <w:szCs w:val="6"/>
                <w:color w:val="auto"/>
              </w:rPr>
            </w:pPr>
          </w:p>
        </w:tc>
        <w:tc>
          <w:tcPr>
            <w:tcW w:w="5920" w:type="dxa"/>
            <w:vAlign w:val="bottom"/>
            <w:tcBorders>
              <w:top w:val="single" w:sz="8" w:color="CCEEFF"/>
            </w:tcBorders>
            <w:gridSpan w:val="31"/>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w:t>
              </w:r>
            </w:hyperlink>
          </w:p>
        </w:tc>
        <w:tc>
          <w:tcPr>
            <w:tcW w:w="6460" w:type="dxa"/>
            <w:vAlign w:val="bottom"/>
            <w:gridSpan w:val="44"/>
          </w:tcPr>
          <w:p>
            <w:pPr>
              <w:ind w:left="120"/>
              <w:spacing w:after="0"/>
              <w:rPr>
                <w:rFonts w:ascii="Arial" w:cs="Arial" w:eastAsia="Arial" w:hAnsi="Arial"/>
                <w:sz w:val="18"/>
                <w:szCs w:val="18"/>
                <w:color w:val="0000EE"/>
              </w:rPr>
            </w:pPr>
            <w:hyperlink w:anchor="page7">
              <w:r>
                <w:rPr>
                  <w:rFonts w:ascii="Arial" w:cs="Arial" w:eastAsia="Arial" w:hAnsi="Arial"/>
                  <w:sz w:val="18"/>
                  <w:szCs w:val="18"/>
                  <w:color w:val="0000EE"/>
                </w:rPr>
                <w:t>Capitalization and Indebtedness</w:t>
              </w:r>
            </w:hyperlink>
          </w:p>
        </w:tc>
        <w:tc>
          <w:tcPr>
            <w:tcW w:w="102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8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2300" w:type="dxa"/>
            <w:vAlign w:val="bottom"/>
            <w:tcBorders>
              <w:top w:val="single" w:sz="8" w:color="0000EE"/>
            </w:tcBorders>
            <w:gridSpan w:val="26"/>
          </w:tcPr>
          <w:p>
            <w:pPr>
              <w:spacing w:after="0"/>
              <w:rPr>
                <w:sz w:val="6"/>
                <w:szCs w:val="6"/>
                <w:color w:val="auto"/>
              </w:rPr>
            </w:pPr>
          </w:p>
        </w:tc>
        <w:tc>
          <w:tcPr>
            <w:tcW w:w="4960" w:type="dxa"/>
            <w:vAlign w:val="bottom"/>
            <w:gridSpan w:val="20"/>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8">
              <w:r>
                <w:rPr>
                  <w:rFonts w:ascii="Arial" w:cs="Arial" w:eastAsia="Arial" w:hAnsi="Arial"/>
                  <w:sz w:val="18"/>
                  <w:szCs w:val="18"/>
                  <w:color w:val="0000EE"/>
                </w:rPr>
                <w:t>Reasons for the Offer and Use of Proceeds</w:t>
              </w:r>
            </w:hyperlink>
          </w:p>
        </w:tc>
        <w:tc>
          <w:tcPr>
            <w:tcW w:w="1020" w:type="dxa"/>
            <w:vAlign w:val="bottom"/>
            <w:tcBorders>
              <w:right w:val="single" w:sz="8" w:color="CCEEFF"/>
            </w:tcBorders>
            <w:gridSpan w:val="4"/>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8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1720" w:type="dxa"/>
            <w:vAlign w:val="bottom"/>
            <w:tcBorders>
              <w:top w:val="single" w:sz="8" w:color="0000EE"/>
            </w:tcBorders>
            <w:gridSpan w:val="19"/>
            <w:shd w:val="clear" w:color="auto" w:fill="CCEEFF"/>
          </w:tcPr>
          <w:p>
            <w:pPr>
              <w:spacing w:after="0"/>
              <w:rPr>
                <w:sz w:val="6"/>
                <w:szCs w:val="6"/>
                <w:color w:val="auto"/>
              </w:rPr>
            </w:pPr>
          </w:p>
        </w:tc>
        <w:tc>
          <w:tcPr>
            <w:tcW w:w="4200" w:type="dxa"/>
            <w:vAlign w:val="bottom"/>
            <w:tcBorders>
              <w:top w:val="single" w:sz="8" w:color="CCEEFF"/>
            </w:tcBorders>
            <w:gridSpan w:val="12"/>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D.</w:t>
              </w:r>
            </w:hyperlink>
          </w:p>
        </w:tc>
        <w:tc>
          <w:tcPr>
            <w:tcW w:w="6460" w:type="dxa"/>
            <w:vAlign w:val="bottom"/>
            <w:gridSpan w:val="44"/>
          </w:tcPr>
          <w:p>
            <w:pPr>
              <w:ind w:left="120"/>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02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900" w:type="dxa"/>
            <w:vAlign w:val="bottom"/>
            <w:tcBorders>
              <w:top w:val="single" w:sz="8" w:color="0000EE"/>
            </w:tcBorders>
            <w:gridSpan w:val="7"/>
          </w:tcPr>
          <w:p>
            <w:pPr>
              <w:spacing w:after="0"/>
              <w:rPr>
                <w:sz w:val="6"/>
                <w:szCs w:val="6"/>
                <w:color w:val="auto"/>
              </w:rPr>
            </w:pPr>
          </w:p>
        </w:tc>
        <w:tc>
          <w:tcPr>
            <w:tcW w:w="6360" w:type="dxa"/>
            <w:vAlign w:val="bottom"/>
            <w:gridSpan w:val="39"/>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860" w:type="dxa"/>
            <w:vAlign w:val="bottom"/>
            <w:gridSpan w:val="7"/>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42">
              <w:r>
                <w:rPr>
                  <w:rFonts w:ascii="Arial" w:cs="Arial" w:eastAsia="Arial" w:hAnsi="Arial"/>
                  <w:sz w:val="18"/>
                  <w:szCs w:val="18"/>
                  <w:color w:val="0000EE"/>
                </w:rPr>
                <w:t>INFORMATION ON THE COMPANY</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80" w:type="dxa"/>
            <w:vAlign w:val="bottom"/>
            <w:shd w:val="clear" w:color="auto" w:fill="CCEEFF"/>
          </w:tcPr>
          <w:p>
            <w:pPr>
              <w:spacing w:after="0"/>
              <w:rPr>
                <w:sz w:val="19"/>
                <w:szCs w:val="19"/>
                <w:color w:val="auto"/>
              </w:rPr>
            </w:pPr>
          </w:p>
        </w:tc>
      </w:tr>
      <w:tr>
        <w:trPr>
          <w:trHeight w:val="74"/>
        </w:trPr>
        <w:tc>
          <w:tcPr>
            <w:tcW w:w="340" w:type="dxa"/>
            <w:vAlign w:val="bottom"/>
            <w:tcBorders>
              <w:top w:val="single" w:sz="8" w:color="0000EE"/>
              <w:right w:val="single" w:sz="8" w:color="CCEEFF"/>
            </w:tcBorders>
            <w:gridSpan w:val="3"/>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gridSpan w:val="4"/>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1520" w:type="dxa"/>
            <w:vAlign w:val="bottom"/>
            <w:tcBorders>
              <w:top w:val="single" w:sz="8" w:color="0000EE"/>
            </w:tcBorders>
            <w:gridSpan w:val="16"/>
            <w:shd w:val="clear" w:color="auto" w:fill="CCEEFF"/>
          </w:tcPr>
          <w:p>
            <w:pPr>
              <w:spacing w:after="0"/>
              <w:rPr>
                <w:sz w:val="6"/>
                <w:szCs w:val="6"/>
                <w:color w:val="auto"/>
              </w:rPr>
            </w:pPr>
          </w:p>
        </w:tc>
        <w:tc>
          <w:tcPr>
            <w:tcW w:w="4300" w:type="dxa"/>
            <w:vAlign w:val="bottom"/>
            <w:tcBorders>
              <w:top w:val="single" w:sz="8" w:color="CCEEFF"/>
            </w:tcBorders>
            <w:gridSpan w:val="14"/>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w:t>
              </w:r>
            </w:hyperlink>
          </w:p>
        </w:tc>
        <w:tc>
          <w:tcPr>
            <w:tcW w:w="6460" w:type="dxa"/>
            <w:vAlign w:val="bottom"/>
            <w:gridSpan w:val="44"/>
          </w:tcPr>
          <w:p>
            <w:pPr>
              <w:ind w:left="120"/>
              <w:spacing w:after="0"/>
              <w:rPr>
                <w:rFonts w:ascii="Arial" w:cs="Arial" w:eastAsia="Arial" w:hAnsi="Arial"/>
                <w:sz w:val="18"/>
                <w:szCs w:val="18"/>
                <w:color w:val="0000EE"/>
              </w:rPr>
            </w:pPr>
            <w:hyperlink w:anchor="page42">
              <w:r>
                <w:rPr>
                  <w:rFonts w:ascii="Arial" w:cs="Arial" w:eastAsia="Arial" w:hAnsi="Arial"/>
                  <w:sz w:val="18"/>
                  <w:szCs w:val="18"/>
                  <w:color w:val="0000EE"/>
                </w:rPr>
                <w:t>History and Development of the Company</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8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3060" w:type="dxa"/>
            <w:vAlign w:val="bottom"/>
            <w:tcBorders>
              <w:top w:val="single" w:sz="8" w:color="0000EE"/>
            </w:tcBorders>
            <w:gridSpan w:val="34"/>
          </w:tcPr>
          <w:p>
            <w:pPr>
              <w:spacing w:after="0"/>
              <w:rPr>
                <w:sz w:val="6"/>
                <w:szCs w:val="6"/>
                <w:color w:val="auto"/>
              </w:rPr>
            </w:pPr>
          </w:p>
        </w:tc>
        <w:tc>
          <w:tcPr>
            <w:tcW w:w="4100" w:type="dxa"/>
            <w:vAlign w:val="bottom"/>
            <w:gridSpan w:val="11"/>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B.</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42">
              <w:r>
                <w:rPr>
                  <w:rFonts w:ascii="Arial" w:cs="Arial" w:eastAsia="Arial" w:hAnsi="Arial"/>
                  <w:sz w:val="18"/>
                  <w:szCs w:val="18"/>
                  <w:color w:val="0000EE"/>
                </w:rPr>
                <w:t>Business Overview</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8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760" w:type="dxa"/>
            <w:vAlign w:val="bottom"/>
            <w:tcBorders>
              <w:top w:val="single" w:sz="8" w:color="CCEEFF"/>
            </w:tcBorders>
            <w:gridSpan w:val="29"/>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w:t>
              </w:r>
            </w:hyperlink>
          </w:p>
        </w:tc>
        <w:tc>
          <w:tcPr>
            <w:tcW w:w="6460" w:type="dxa"/>
            <w:vAlign w:val="bottom"/>
            <w:gridSpan w:val="44"/>
          </w:tcPr>
          <w:p>
            <w:pPr>
              <w:ind w:left="120"/>
              <w:spacing w:after="0"/>
              <w:rPr>
                <w:rFonts w:ascii="Arial" w:cs="Arial" w:eastAsia="Arial" w:hAnsi="Arial"/>
                <w:sz w:val="18"/>
                <w:szCs w:val="18"/>
                <w:color w:val="0000EE"/>
              </w:rPr>
            </w:pPr>
            <w:hyperlink w:anchor="page65">
              <w:r>
                <w:rPr>
                  <w:rFonts w:ascii="Arial" w:cs="Arial" w:eastAsia="Arial" w:hAnsi="Arial"/>
                  <w:sz w:val="18"/>
                  <w:szCs w:val="18"/>
                  <w:color w:val="0000EE"/>
                </w:rPr>
                <w:t>Organizational Structure</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1760" w:type="dxa"/>
            <w:vAlign w:val="bottom"/>
            <w:tcBorders>
              <w:top w:val="single" w:sz="8" w:color="0000EE"/>
            </w:tcBorders>
            <w:gridSpan w:val="22"/>
          </w:tcPr>
          <w:p>
            <w:pPr>
              <w:spacing w:after="0"/>
              <w:rPr>
                <w:sz w:val="6"/>
                <w:szCs w:val="6"/>
                <w:color w:val="auto"/>
              </w:rPr>
            </w:pPr>
          </w:p>
        </w:tc>
        <w:tc>
          <w:tcPr>
            <w:tcW w:w="5400" w:type="dxa"/>
            <w:vAlign w:val="bottom"/>
            <w:gridSpan w:val="23"/>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D.</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65">
              <w:r>
                <w:rPr>
                  <w:rFonts w:ascii="Arial" w:cs="Arial" w:eastAsia="Arial" w:hAnsi="Arial"/>
                  <w:sz w:val="18"/>
                  <w:szCs w:val="18"/>
                  <w:color w:val="0000EE"/>
                </w:rPr>
                <w:t>Property, Plants, and Equipment</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c>
          <w:tcPr>
            <w:tcW w:w="8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980" w:type="dxa"/>
            <w:vAlign w:val="bottom"/>
            <w:tcBorders>
              <w:top w:val="single" w:sz="8" w:color="0000EE"/>
            </w:tcBorders>
            <w:gridSpan w:val="12"/>
            <w:shd w:val="clear" w:color="auto" w:fill="CCEEFF"/>
          </w:tcPr>
          <w:p>
            <w:pPr>
              <w:spacing w:after="0"/>
              <w:rPr>
                <w:sz w:val="6"/>
                <w:szCs w:val="6"/>
                <w:color w:val="auto"/>
              </w:rPr>
            </w:pPr>
          </w:p>
        </w:tc>
        <w:tc>
          <w:tcPr>
            <w:tcW w:w="4840" w:type="dxa"/>
            <w:vAlign w:val="bottom"/>
            <w:tcBorders>
              <w:top w:val="single" w:sz="8" w:color="CCEEFF"/>
            </w:tcBorders>
            <w:gridSpan w:val="18"/>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860" w:type="dxa"/>
            <w:vAlign w:val="bottom"/>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4A.</w:t>
              </w:r>
            </w:hyperlink>
          </w:p>
        </w:tc>
        <w:tc>
          <w:tcPr>
            <w:tcW w:w="6460" w:type="dxa"/>
            <w:vAlign w:val="bottom"/>
            <w:gridSpan w:val="44"/>
          </w:tcPr>
          <w:p>
            <w:pPr>
              <w:ind w:left="120"/>
              <w:spacing w:after="0"/>
              <w:rPr>
                <w:rFonts w:ascii="Arial" w:cs="Arial" w:eastAsia="Arial" w:hAnsi="Arial"/>
                <w:sz w:val="18"/>
                <w:szCs w:val="18"/>
                <w:color w:val="0000EE"/>
              </w:rPr>
            </w:pPr>
            <w:hyperlink w:anchor="page66">
              <w:r>
                <w:rPr>
                  <w:rFonts w:ascii="Arial" w:cs="Arial" w:eastAsia="Arial" w:hAnsi="Arial"/>
                  <w:sz w:val="18"/>
                  <w:szCs w:val="18"/>
                  <w:color w:val="0000EE"/>
                </w:rPr>
                <w:t>UNRESOLVED STAFF COMMENTS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c>
          <w:tcPr>
            <w:tcW w:w="80" w:type="dxa"/>
            <w:vAlign w:val="bottom"/>
          </w:tcPr>
          <w:p>
            <w:pPr>
              <w:spacing w:after="0"/>
              <w:rPr>
                <w:sz w:val="19"/>
                <w:szCs w:val="19"/>
                <w:color w:val="auto"/>
              </w:rPr>
            </w:pPr>
          </w:p>
        </w:tc>
      </w:tr>
      <w:tr>
        <w:trPr>
          <w:trHeight w:val="75"/>
        </w:trPr>
        <w:tc>
          <w:tcPr>
            <w:tcW w:w="740" w:type="dxa"/>
            <w:vAlign w:val="bottom"/>
            <w:tcBorders>
              <w:top w:val="single" w:sz="8" w:color="0000EE"/>
            </w:tcBorders>
            <w:gridSpan w:val="6"/>
          </w:tcPr>
          <w:p>
            <w:pPr>
              <w:spacing w:after="0"/>
              <w:rPr>
                <w:sz w:val="6"/>
                <w:szCs w:val="6"/>
                <w:color w:val="auto"/>
              </w:rPr>
            </w:pPr>
          </w:p>
        </w:tc>
        <w:tc>
          <w:tcPr>
            <w:tcW w:w="240" w:type="dxa"/>
            <w:vAlign w:val="bottom"/>
            <w:gridSpan w:val="2"/>
          </w:tcPr>
          <w:p>
            <w:pPr>
              <w:spacing w:after="0"/>
              <w:rPr>
                <w:sz w:val="6"/>
                <w:szCs w:val="6"/>
                <w:color w:val="auto"/>
              </w:rPr>
            </w:pPr>
          </w:p>
        </w:tc>
        <w:tc>
          <w:tcPr>
            <w:tcW w:w="2820" w:type="dxa"/>
            <w:vAlign w:val="bottom"/>
            <w:tcBorders>
              <w:top w:val="single" w:sz="8" w:color="0000EE"/>
            </w:tcBorders>
            <w:gridSpan w:val="30"/>
          </w:tcPr>
          <w:p>
            <w:pPr>
              <w:spacing w:after="0"/>
              <w:rPr>
                <w:sz w:val="6"/>
                <w:szCs w:val="6"/>
                <w:color w:val="auto"/>
              </w:rPr>
            </w:pPr>
          </w:p>
        </w:tc>
        <w:tc>
          <w:tcPr>
            <w:tcW w:w="4340" w:type="dxa"/>
            <w:vAlign w:val="bottom"/>
            <w:gridSpan w:val="15"/>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860" w:type="dxa"/>
            <w:vAlign w:val="bottom"/>
            <w:gridSpan w:val="7"/>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5.</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67">
              <w:r>
                <w:rPr>
                  <w:rFonts w:ascii="Arial" w:cs="Arial" w:eastAsia="Arial" w:hAnsi="Arial"/>
                  <w:sz w:val="18"/>
                  <w:szCs w:val="18"/>
                  <w:color w:val="0000EE"/>
                </w:rPr>
                <w:t>OPERATING AND FINANCIAL REVIEW AND PROSPECTS</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c>
          <w:tcPr>
            <w:tcW w:w="80" w:type="dxa"/>
            <w:vAlign w:val="bottom"/>
            <w:shd w:val="clear" w:color="auto" w:fill="CCEEFF"/>
          </w:tcPr>
          <w:p>
            <w:pPr>
              <w:spacing w:after="0"/>
              <w:rPr>
                <w:sz w:val="19"/>
                <w:szCs w:val="19"/>
                <w:color w:val="auto"/>
              </w:rPr>
            </w:pPr>
          </w:p>
        </w:tc>
      </w:tr>
      <w:tr>
        <w:trPr>
          <w:trHeight w:val="74"/>
        </w:trPr>
        <w:tc>
          <w:tcPr>
            <w:tcW w:w="340" w:type="dxa"/>
            <w:vAlign w:val="bottom"/>
            <w:tcBorders>
              <w:top w:val="single" w:sz="8" w:color="0000EE"/>
              <w:right w:val="single" w:sz="8" w:color="CCEEFF"/>
            </w:tcBorders>
            <w:gridSpan w:val="3"/>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gridSpan w:val="4"/>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3320" w:type="dxa"/>
            <w:vAlign w:val="bottom"/>
            <w:tcBorders>
              <w:top w:val="single" w:sz="8" w:color="0000EE"/>
            </w:tcBorders>
            <w:gridSpan w:val="24"/>
            <w:shd w:val="clear" w:color="auto" w:fill="CCEEFF"/>
          </w:tcPr>
          <w:p>
            <w:pPr>
              <w:spacing w:after="0"/>
              <w:rPr>
                <w:sz w:val="6"/>
                <w:szCs w:val="6"/>
                <w:color w:val="auto"/>
              </w:rPr>
            </w:pPr>
          </w:p>
        </w:tc>
        <w:tc>
          <w:tcPr>
            <w:tcW w:w="2500" w:type="dxa"/>
            <w:vAlign w:val="bottom"/>
            <w:tcBorders>
              <w:top w:val="single" w:sz="8" w:color="CCEEFF"/>
            </w:tcBorders>
            <w:gridSpan w:val="6"/>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A.</w:t>
              </w:r>
            </w:hyperlink>
          </w:p>
        </w:tc>
        <w:tc>
          <w:tcPr>
            <w:tcW w:w="6460" w:type="dxa"/>
            <w:vAlign w:val="bottom"/>
            <w:gridSpan w:val="44"/>
          </w:tcPr>
          <w:p>
            <w:pPr>
              <w:ind w:left="120"/>
              <w:spacing w:after="0"/>
              <w:rPr>
                <w:rFonts w:ascii="Arial" w:cs="Arial" w:eastAsia="Arial" w:hAnsi="Arial"/>
                <w:sz w:val="18"/>
                <w:szCs w:val="18"/>
                <w:color w:val="0000EE"/>
              </w:rPr>
            </w:pPr>
            <w:hyperlink w:anchor="page67">
              <w:r>
                <w:rPr>
                  <w:rFonts w:ascii="Arial" w:cs="Arial" w:eastAsia="Arial" w:hAnsi="Arial"/>
                  <w:sz w:val="18"/>
                  <w:szCs w:val="18"/>
                  <w:color w:val="0000EE"/>
                </w:rPr>
                <w:t>Operating Results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c>
          <w:tcPr>
            <w:tcW w:w="8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1300" w:type="dxa"/>
            <w:vAlign w:val="bottom"/>
            <w:tcBorders>
              <w:top w:val="single" w:sz="8" w:color="0000EE"/>
            </w:tcBorders>
            <w:gridSpan w:val="14"/>
          </w:tcPr>
          <w:p>
            <w:pPr>
              <w:spacing w:after="0"/>
              <w:rPr>
                <w:sz w:val="6"/>
                <w:szCs w:val="6"/>
                <w:color w:val="auto"/>
              </w:rPr>
            </w:pPr>
          </w:p>
        </w:tc>
        <w:tc>
          <w:tcPr>
            <w:tcW w:w="5860" w:type="dxa"/>
            <w:vAlign w:val="bottom"/>
            <w:gridSpan w:val="31"/>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B.</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79">
              <w:r>
                <w:rPr>
                  <w:rFonts w:ascii="Arial" w:cs="Arial" w:eastAsia="Arial" w:hAnsi="Arial"/>
                  <w:sz w:val="18"/>
                  <w:szCs w:val="18"/>
                  <w:color w:val="0000EE"/>
                </w:rPr>
                <w:t>Liquidity and Capital Resources</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75</w:t>
              </w:r>
            </w:hyperlink>
          </w:p>
        </w:tc>
        <w:tc>
          <w:tcPr>
            <w:tcW w:w="8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980" w:type="dxa"/>
            <w:vAlign w:val="bottom"/>
            <w:tcBorders>
              <w:top w:val="single" w:sz="8" w:color="0000EE"/>
            </w:tcBorders>
            <w:gridSpan w:val="12"/>
            <w:shd w:val="clear" w:color="auto" w:fill="CCEEFF"/>
          </w:tcPr>
          <w:p>
            <w:pPr>
              <w:spacing w:after="0"/>
              <w:rPr>
                <w:sz w:val="6"/>
                <w:szCs w:val="6"/>
                <w:color w:val="auto"/>
              </w:rPr>
            </w:pPr>
          </w:p>
        </w:tc>
        <w:tc>
          <w:tcPr>
            <w:tcW w:w="4840" w:type="dxa"/>
            <w:vAlign w:val="bottom"/>
            <w:tcBorders>
              <w:top w:val="single" w:sz="8" w:color="CCEEFF"/>
            </w:tcBorders>
            <w:gridSpan w:val="18"/>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w:t>
              </w:r>
            </w:hyperlink>
          </w:p>
        </w:tc>
        <w:tc>
          <w:tcPr>
            <w:tcW w:w="6460" w:type="dxa"/>
            <w:vAlign w:val="bottom"/>
            <w:gridSpan w:val="44"/>
          </w:tcPr>
          <w:p>
            <w:pPr>
              <w:ind w:left="120"/>
              <w:spacing w:after="0"/>
              <w:rPr>
                <w:rFonts w:ascii="Arial" w:cs="Arial" w:eastAsia="Arial" w:hAnsi="Arial"/>
                <w:sz w:val="18"/>
                <w:szCs w:val="18"/>
                <w:color w:val="0000EE"/>
              </w:rPr>
            </w:pPr>
            <w:hyperlink w:anchor="page85">
              <w:r>
                <w:rPr>
                  <w:rFonts w:ascii="Arial" w:cs="Arial" w:eastAsia="Arial" w:hAnsi="Arial"/>
                  <w:sz w:val="18"/>
                  <w:szCs w:val="18"/>
                  <w:color w:val="0000EE"/>
                </w:rPr>
                <w:t>Research and Development, Patents and Licenses, Etc.</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8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3940" w:type="dxa"/>
            <w:vAlign w:val="bottom"/>
            <w:tcBorders>
              <w:top w:val="single" w:sz="8" w:color="0000EE"/>
            </w:tcBorders>
            <w:gridSpan w:val="35"/>
          </w:tcPr>
          <w:p>
            <w:pPr>
              <w:spacing w:after="0"/>
              <w:rPr>
                <w:sz w:val="6"/>
                <w:szCs w:val="6"/>
                <w:color w:val="auto"/>
              </w:rPr>
            </w:pPr>
          </w:p>
        </w:tc>
        <w:tc>
          <w:tcPr>
            <w:tcW w:w="3220" w:type="dxa"/>
            <w:vAlign w:val="bottom"/>
            <w:gridSpan w:val="10"/>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85">
              <w:r>
                <w:rPr>
                  <w:rFonts w:ascii="Arial" w:cs="Arial" w:eastAsia="Arial" w:hAnsi="Arial"/>
                  <w:sz w:val="18"/>
                  <w:szCs w:val="18"/>
                  <w:color w:val="0000EE"/>
                </w:rPr>
                <w:t>Trend Information</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8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5820" w:type="dxa"/>
            <w:vAlign w:val="bottom"/>
            <w:tcBorders>
              <w:top w:val="single" w:sz="8" w:color="CCEEFF"/>
            </w:tcBorders>
            <w:gridSpan w:val="30"/>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w:t>
              </w:r>
            </w:hyperlink>
          </w:p>
        </w:tc>
        <w:tc>
          <w:tcPr>
            <w:tcW w:w="6460" w:type="dxa"/>
            <w:vAlign w:val="bottom"/>
            <w:gridSpan w:val="44"/>
          </w:tcPr>
          <w:p>
            <w:pPr>
              <w:ind w:left="120"/>
              <w:spacing w:after="0"/>
              <w:rPr>
                <w:rFonts w:ascii="Arial" w:cs="Arial" w:eastAsia="Arial" w:hAnsi="Arial"/>
                <w:sz w:val="18"/>
                <w:szCs w:val="18"/>
                <w:color w:val="0000EE"/>
              </w:rPr>
            </w:pPr>
            <w:hyperlink w:anchor="page85">
              <w:r>
                <w:rPr>
                  <w:rFonts w:ascii="Arial" w:cs="Arial" w:eastAsia="Arial" w:hAnsi="Arial"/>
                  <w:sz w:val="18"/>
                  <w:szCs w:val="18"/>
                  <w:color w:val="0000EE"/>
                </w:rPr>
                <w:t>Critical Accounting Estimates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8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2160" w:type="dxa"/>
            <w:vAlign w:val="bottom"/>
            <w:tcBorders>
              <w:top w:val="single" w:sz="8" w:color="0000EE"/>
            </w:tcBorders>
            <w:gridSpan w:val="24"/>
          </w:tcPr>
          <w:p>
            <w:pPr>
              <w:spacing w:after="0"/>
              <w:rPr>
                <w:sz w:val="6"/>
                <w:szCs w:val="6"/>
                <w:color w:val="auto"/>
              </w:rPr>
            </w:pPr>
          </w:p>
        </w:tc>
        <w:tc>
          <w:tcPr>
            <w:tcW w:w="5000" w:type="dxa"/>
            <w:vAlign w:val="bottom"/>
            <w:gridSpan w:val="21"/>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860" w:type="dxa"/>
            <w:vAlign w:val="bottom"/>
            <w:gridSpan w:val="7"/>
            <w:shd w:val="clear" w:color="auto" w:fill="CCEEFF"/>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6.</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87">
              <w:r>
                <w:rPr>
                  <w:rFonts w:ascii="Arial" w:cs="Arial" w:eastAsia="Arial" w:hAnsi="Arial"/>
                  <w:sz w:val="18"/>
                  <w:szCs w:val="18"/>
                  <w:color w:val="0000EE"/>
                </w:rPr>
                <w:t>DIRECTORS, SENIOR MANAGEMENT AND EMPLOYEES</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c>
          <w:tcPr>
            <w:tcW w:w="80" w:type="dxa"/>
            <w:vAlign w:val="bottom"/>
            <w:shd w:val="clear" w:color="auto" w:fill="CCEEFF"/>
          </w:tcPr>
          <w:p>
            <w:pPr>
              <w:spacing w:after="0"/>
              <w:rPr>
                <w:sz w:val="19"/>
                <w:szCs w:val="19"/>
                <w:color w:val="auto"/>
              </w:rPr>
            </w:pPr>
          </w:p>
        </w:tc>
      </w:tr>
      <w:tr>
        <w:trPr>
          <w:trHeight w:val="75"/>
        </w:trPr>
        <w:tc>
          <w:tcPr>
            <w:tcW w:w="340" w:type="dxa"/>
            <w:vAlign w:val="bottom"/>
            <w:tcBorders>
              <w:top w:val="single" w:sz="8" w:color="0000EE"/>
              <w:right w:val="single" w:sz="8" w:color="CCEEFF"/>
            </w:tcBorders>
            <w:gridSpan w:val="3"/>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gridSpan w:val="4"/>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3280" w:type="dxa"/>
            <w:vAlign w:val="bottom"/>
            <w:tcBorders>
              <w:top w:val="single" w:sz="8" w:color="0000EE"/>
            </w:tcBorders>
            <w:gridSpan w:val="23"/>
            <w:shd w:val="clear" w:color="auto" w:fill="CCEEFF"/>
          </w:tcPr>
          <w:p>
            <w:pPr>
              <w:spacing w:after="0"/>
              <w:rPr>
                <w:sz w:val="6"/>
                <w:szCs w:val="6"/>
                <w:color w:val="auto"/>
              </w:rPr>
            </w:pPr>
          </w:p>
        </w:tc>
        <w:tc>
          <w:tcPr>
            <w:tcW w:w="2540" w:type="dxa"/>
            <w:vAlign w:val="bottom"/>
            <w:tcBorders>
              <w:top w:val="single" w:sz="8" w:color="CCEEFF"/>
            </w:tcBorders>
            <w:gridSpan w:val="7"/>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A.</w:t>
              </w:r>
            </w:hyperlink>
          </w:p>
        </w:tc>
        <w:tc>
          <w:tcPr>
            <w:tcW w:w="6460" w:type="dxa"/>
            <w:vAlign w:val="bottom"/>
            <w:gridSpan w:val="44"/>
          </w:tcPr>
          <w:p>
            <w:pPr>
              <w:ind w:left="120"/>
              <w:spacing w:after="0"/>
              <w:rPr>
                <w:rFonts w:ascii="Arial" w:cs="Arial" w:eastAsia="Arial" w:hAnsi="Arial"/>
                <w:sz w:val="18"/>
                <w:szCs w:val="18"/>
                <w:color w:val="0000EE"/>
              </w:rPr>
            </w:pPr>
            <w:hyperlink w:anchor="page87">
              <w:r>
                <w:rPr>
                  <w:rFonts w:ascii="Arial" w:cs="Arial" w:eastAsia="Arial" w:hAnsi="Arial"/>
                  <w:sz w:val="18"/>
                  <w:szCs w:val="18"/>
                  <w:color w:val="0000EE"/>
                </w:rPr>
                <w:t>Directors and Senior Management</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c>
          <w:tcPr>
            <w:tcW w:w="8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2480" w:type="dxa"/>
            <w:vAlign w:val="bottom"/>
            <w:tcBorders>
              <w:top w:val="single" w:sz="8" w:color="0000EE"/>
            </w:tcBorders>
            <w:gridSpan w:val="29"/>
          </w:tcPr>
          <w:p>
            <w:pPr>
              <w:spacing w:after="0"/>
              <w:rPr>
                <w:sz w:val="6"/>
                <w:szCs w:val="6"/>
                <w:color w:val="auto"/>
              </w:rPr>
            </w:pPr>
          </w:p>
        </w:tc>
        <w:tc>
          <w:tcPr>
            <w:tcW w:w="4680" w:type="dxa"/>
            <w:vAlign w:val="bottom"/>
            <w:gridSpan w:val="16"/>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B.</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89">
              <w:r>
                <w:rPr>
                  <w:rFonts w:ascii="Arial" w:cs="Arial" w:eastAsia="Arial" w:hAnsi="Arial"/>
                  <w:sz w:val="18"/>
                  <w:szCs w:val="18"/>
                  <w:color w:val="0000EE"/>
                </w:rPr>
                <w:t>Compensation</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c>
          <w:tcPr>
            <w:tcW w:w="8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1040" w:type="dxa"/>
            <w:vAlign w:val="bottom"/>
            <w:tcBorders>
              <w:top w:val="single" w:sz="8" w:color="0000EE"/>
            </w:tcBorders>
            <w:gridSpan w:val="9"/>
            <w:shd w:val="clear" w:color="auto" w:fill="CCEEFF"/>
          </w:tcPr>
          <w:p>
            <w:pPr>
              <w:spacing w:after="0"/>
              <w:rPr>
                <w:sz w:val="6"/>
                <w:szCs w:val="6"/>
                <w:color w:val="auto"/>
              </w:rPr>
            </w:pPr>
          </w:p>
        </w:tc>
        <w:tc>
          <w:tcPr>
            <w:tcW w:w="300" w:type="dxa"/>
            <w:vAlign w:val="bottom"/>
            <w:tcBorders>
              <w:top w:val="single" w:sz="8" w:color="CCEEFF"/>
              <w:right w:val="single" w:sz="8" w:color="CCEEFF"/>
            </w:tcBorders>
            <w:gridSpan w:val="6"/>
            <w:shd w:val="clear" w:color="auto" w:fill="CCEEFF"/>
          </w:tcPr>
          <w:p>
            <w:pPr>
              <w:spacing w:after="0"/>
              <w:rPr>
                <w:sz w:val="6"/>
                <w:szCs w:val="6"/>
                <w:color w:val="auto"/>
              </w:rPr>
            </w:pPr>
          </w:p>
        </w:tc>
        <w:tc>
          <w:tcPr>
            <w:tcW w:w="5820" w:type="dxa"/>
            <w:vAlign w:val="bottom"/>
            <w:tcBorders>
              <w:top w:val="single" w:sz="8" w:color="CCEEFF"/>
            </w:tcBorders>
            <w:gridSpan w:val="30"/>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w:t>
              </w:r>
            </w:hyperlink>
          </w:p>
        </w:tc>
        <w:tc>
          <w:tcPr>
            <w:tcW w:w="6460" w:type="dxa"/>
            <w:vAlign w:val="bottom"/>
            <w:gridSpan w:val="44"/>
          </w:tcPr>
          <w:p>
            <w:pPr>
              <w:ind w:left="120"/>
              <w:spacing w:after="0"/>
              <w:rPr>
                <w:rFonts w:ascii="Arial" w:cs="Arial" w:eastAsia="Arial" w:hAnsi="Arial"/>
                <w:sz w:val="18"/>
                <w:szCs w:val="18"/>
                <w:color w:val="0000EE"/>
              </w:rPr>
            </w:pPr>
            <w:hyperlink w:anchor="page91">
              <w:r>
                <w:rPr>
                  <w:rFonts w:ascii="Arial" w:cs="Arial" w:eastAsia="Arial" w:hAnsi="Arial"/>
                  <w:sz w:val="18"/>
                  <w:szCs w:val="18"/>
                  <w:color w:val="0000EE"/>
                </w:rPr>
                <w:t>Board Practices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1140" w:type="dxa"/>
            <w:vAlign w:val="bottom"/>
            <w:tcBorders>
              <w:top w:val="single" w:sz="8" w:color="0000EE"/>
            </w:tcBorders>
            <w:gridSpan w:val="12"/>
          </w:tcPr>
          <w:p>
            <w:pPr>
              <w:spacing w:after="0"/>
              <w:rPr>
                <w:sz w:val="6"/>
                <w:szCs w:val="6"/>
                <w:color w:val="auto"/>
              </w:rPr>
            </w:pPr>
          </w:p>
        </w:tc>
        <w:tc>
          <w:tcPr>
            <w:tcW w:w="6020" w:type="dxa"/>
            <w:vAlign w:val="bottom"/>
            <w:gridSpan w:val="33"/>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D.</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96">
              <w:r>
                <w:rPr>
                  <w:rFonts w:ascii="Arial" w:cs="Arial" w:eastAsia="Arial" w:hAnsi="Arial"/>
                  <w:sz w:val="18"/>
                  <w:szCs w:val="18"/>
                  <w:color w:val="0000EE"/>
                </w:rPr>
                <w:t>Employees</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92</w:t>
              </w:r>
            </w:hyperlink>
          </w:p>
        </w:tc>
        <w:tc>
          <w:tcPr>
            <w:tcW w:w="8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800" w:type="dxa"/>
            <w:vAlign w:val="bottom"/>
            <w:tcBorders>
              <w:top w:val="single" w:sz="8" w:color="0000EE"/>
            </w:tcBorders>
            <w:gridSpan w:val="6"/>
            <w:shd w:val="clear" w:color="auto" w:fill="CCEEFF"/>
          </w:tcPr>
          <w:p>
            <w:pPr>
              <w:spacing w:after="0"/>
              <w:rPr>
                <w:sz w:val="6"/>
                <w:szCs w:val="6"/>
                <w:color w:val="auto"/>
              </w:rPr>
            </w:pPr>
          </w:p>
        </w:tc>
        <w:tc>
          <w:tcPr>
            <w:tcW w:w="540" w:type="dxa"/>
            <w:vAlign w:val="bottom"/>
            <w:tcBorders>
              <w:top w:val="single" w:sz="8" w:color="CCEEFF"/>
              <w:right w:val="single" w:sz="8" w:color="CCEEFF"/>
            </w:tcBorders>
            <w:gridSpan w:val="9"/>
            <w:shd w:val="clear" w:color="auto" w:fill="CCEEFF"/>
          </w:tcPr>
          <w:p>
            <w:pPr>
              <w:spacing w:after="0"/>
              <w:rPr>
                <w:sz w:val="6"/>
                <w:szCs w:val="6"/>
                <w:color w:val="auto"/>
              </w:rPr>
            </w:pPr>
          </w:p>
        </w:tc>
        <w:tc>
          <w:tcPr>
            <w:tcW w:w="5820" w:type="dxa"/>
            <w:vAlign w:val="bottom"/>
            <w:tcBorders>
              <w:top w:val="single" w:sz="8" w:color="CCEEFF"/>
            </w:tcBorders>
            <w:gridSpan w:val="30"/>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w:t>
              </w:r>
            </w:hyperlink>
          </w:p>
        </w:tc>
        <w:tc>
          <w:tcPr>
            <w:tcW w:w="6460" w:type="dxa"/>
            <w:vAlign w:val="bottom"/>
            <w:gridSpan w:val="44"/>
          </w:tcPr>
          <w:p>
            <w:pPr>
              <w:ind w:left="120"/>
              <w:spacing w:after="0"/>
              <w:rPr>
                <w:rFonts w:ascii="Arial" w:cs="Arial" w:eastAsia="Arial" w:hAnsi="Arial"/>
                <w:sz w:val="18"/>
                <w:szCs w:val="18"/>
                <w:color w:val="0000EE"/>
              </w:rPr>
            </w:pPr>
            <w:hyperlink w:anchor="page96">
              <w:r>
                <w:rPr>
                  <w:rFonts w:ascii="Arial" w:cs="Arial" w:eastAsia="Arial" w:hAnsi="Arial"/>
                  <w:sz w:val="18"/>
                  <w:szCs w:val="18"/>
                  <w:color w:val="0000EE"/>
                </w:rPr>
                <w:t>Share Ownership</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92</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1240" w:type="dxa"/>
            <w:vAlign w:val="bottom"/>
            <w:tcBorders>
              <w:top w:val="single" w:sz="8" w:color="0000EE"/>
            </w:tcBorders>
            <w:gridSpan w:val="13"/>
          </w:tcPr>
          <w:p>
            <w:pPr>
              <w:spacing w:after="0"/>
              <w:rPr>
                <w:sz w:val="6"/>
                <w:szCs w:val="6"/>
                <w:color w:val="auto"/>
              </w:rPr>
            </w:pPr>
          </w:p>
        </w:tc>
        <w:tc>
          <w:tcPr>
            <w:tcW w:w="5920" w:type="dxa"/>
            <w:vAlign w:val="bottom"/>
            <w:gridSpan w:val="32"/>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860" w:type="dxa"/>
            <w:vAlign w:val="bottom"/>
            <w:gridSpan w:val="7"/>
            <w:shd w:val="clear" w:color="auto" w:fill="CCEEFF"/>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7.</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98">
              <w:r>
                <w:rPr>
                  <w:rFonts w:ascii="Arial" w:cs="Arial" w:eastAsia="Arial" w:hAnsi="Arial"/>
                  <w:sz w:val="18"/>
                  <w:szCs w:val="18"/>
                  <w:color w:val="0000EE"/>
                </w:rPr>
                <w:t>MAJOR SHAREHOLDERS AND RELATED PARTY TRANSACTIONS</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98">
              <w:r>
                <w:rPr>
                  <w:rFonts w:ascii="Arial" w:cs="Arial" w:eastAsia="Arial" w:hAnsi="Arial"/>
                  <w:sz w:val="18"/>
                  <w:szCs w:val="18"/>
                  <w:color w:val="0000EE"/>
                </w:rPr>
                <w:t>94</w:t>
              </w:r>
            </w:hyperlink>
          </w:p>
        </w:tc>
        <w:tc>
          <w:tcPr>
            <w:tcW w:w="80" w:type="dxa"/>
            <w:vAlign w:val="bottom"/>
            <w:shd w:val="clear" w:color="auto" w:fill="CCEEFF"/>
          </w:tcPr>
          <w:p>
            <w:pPr>
              <w:spacing w:after="0"/>
              <w:rPr>
                <w:sz w:val="19"/>
                <w:szCs w:val="19"/>
                <w:color w:val="auto"/>
              </w:rPr>
            </w:pPr>
          </w:p>
        </w:tc>
      </w:tr>
      <w:tr>
        <w:trPr>
          <w:trHeight w:val="75"/>
        </w:trPr>
        <w:tc>
          <w:tcPr>
            <w:tcW w:w="340" w:type="dxa"/>
            <w:vAlign w:val="bottom"/>
            <w:tcBorders>
              <w:top w:val="single" w:sz="8" w:color="0000EE"/>
              <w:right w:val="single" w:sz="8" w:color="CCEEFF"/>
            </w:tcBorders>
            <w:gridSpan w:val="3"/>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gridSpan w:val="4"/>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4040" w:type="dxa"/>
            <w:vAlign w:val="bottom"/>
            <w:tcBorders>
              <w:top w:val="single" w:sz="8" w:color="0000EE"/>
            </w:tcBorders>
            <w:gridSpan w:val="26"/>
            <w:shd w:val="clear" w:color="auto" w:fill="CCEEFF"/>
          </w:tcPr>
          <w:p>
            <w:pPr>
              <w:spacing w:after="0"/>
              <w:rPr>
                <w:sz w:val="6"/>
                <w:szCs w:val="6"/>
                <w:color w:val="auto"/>
              </w:rPr>
            </w:pPr>
          </w:p>
        </w:tc>
        <w:tc>
          <w:tcPr>
            <w:tcW w:w="1780" w:type="dxa"/>
            <w:vAlign w:val="bottom"/>
            <w:tcBorders>
              <w:top w:val="single" w:sz="8" w:color="CCEEFF"/>
            </w:tcBorders>
            <w:gridSpan w:val="4"/>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A.</w:t>
              </w:r>
            </w:hyperlink>
          </w:p>
        </w:tc>
        <w:tc>
          <w:tcPr>
            <w:tcW w:w="6460" w:type="dxa"/>
            <w:vAlign w:val="bottom"/>
            <w:gridSpan w:val="44"/>
          </w:tcPr>
          <w:p>
            <w:pPr>
              <w:ind w:left="120"/>
              <w:spacing w:after="0"/>
              <w:rPr>
                <w:rFonts w:ascii="Arial" w:cs="Arial" w:eastAsia="Arial" w:hAnsi="Arial"/>
                <w:sz w:val="18"/>
                <w:szCs w:val="18"/>
                <w:color w:val="0000EE"/>
              </w:rPr>
            </w:pPr>
            <w:hyperlink w:anchor="page98">
              <w:r>
                <w:rPr>
                  <w:rFonts w:ascii="Arial" w:cs="Arial" w:eastAsia="Arial" w:hAnsi="Arial"/>
                  <w:sz w:val="18"/>
                  <w:szCs w:val="18"/>
                  <w:color w:val="0000EE"/>
                </w:rPr>
                <w:t>Major Shareholders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98">
              <w:r>
                <w:rPr>
                  <w:rFonts w:ascii="Arial" w:cs="Arial" w:eastAsia="Arial" w:hAnsi="Arial"/>
                  <w:sz w:val="18"/>
                  <w:szCs w:val="18"/>
                  <w:color w:val="0000EE"/>
                </w:rPr>
                <w:t>94</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1420" w:type="dxa"/>
            <w:vAlign w:val="bottom"/>
            <w:tcBorders>
              <w:top w:val="single" w:sz="8" w:color="0000EE"/>
            </w:tcBorders>
            <w:gridSpan w:val="17"/>
          </w:tcPr>
          <w:p>
            <w:pPr>
              <w:spacing w:after="0"/>
              <w:rPr>
                <w:sz w:val="6"/>
                <w:szCs w:val="6"/>
                <w:color w:val="auto"/>
              </w:rPr>
            </w:pPr>
          </w:p>
        </w:tc>
        <w:tc>
          <w:tcPr>
            <w:tcW w:w="5740" w:type="dxa"/>
            <w:vAlign w:val="bottom"/>
            <w:gridSpan w:val="28"/>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B.</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98">
              <w:r>
                <w:rPr>
                  <w:rFonts w:ascii="Arial" w:cs="Arial" w:eastAsia="Arial" w:hAnsi="Arial"/>
                  <w:sz w:val="18"/>
                  <w:szCs w:val="18"/>
                  <w:color w:val="0000EE"/>
                </w:rPr>
                <w:t>Related Party Transactions</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98">
              <w:r>
                <w:rPr>
                  <w:rFonts w:ascii="Arial" w:cs="Arial" w:eastAsia="Arial" w:hAnsi="Arial"/>
                  <w:sz w:val="18"/>
                  <w:szCs w:val="18"/>
                  <w:color w:val="0000EE"/>
                </w:rPr>
                <w:t>94</w:t>
              </w:r>
            </w:hyperlink>
          </w:p>
        </w:tc>
        <w:tc>
          <w:tcPr>
            <w:tcW w:w="8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580" w:type="dxa"/>
            <w:vAlign w:val="bottom"/>
            <w:tcBorders>
              <w:top w:val="single" w:sz="8" w:color="0000EE"/>
            </w:tcBorders>
            <w:gridSpan w:val="8"/>
            <w:shd w:val="clear" w:color="auto" w:fill="CCEEFF"/>
          </w:tcPr>
          <w:p>
            <w:pPr>
              <w:spacing w:after="0"/>
              <w:rPr>
                <w:sz w:val="6"/>
                <w:szCs w:val="6"/>
                <w:color w:val="auto"/>
              </w:rPr>
            </w:pPr>
          </w:p>
        </w:tc>
        <w:tc>
          <w:tcPr>
            <w:tcW w:w="5240" w:type="dxa"/>
            <w:vAlign w:val="bottom"/>
            <w:tcBorders>
              <w:top w:val="single" w:sz="8" w:color="CCEEFF"/>
            </w:tcBorders>
            <w:gridSpan w:val="22"/>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w:t>
              </w:r>
            </w:hyperlink>
          </w:p>
        </w:tc>
        <w:tc>
          <w:tcPr>
            <w:tcW w:w="6460" w:type="dxa"/>
            <w:vAlign w:val="bottom"/>
            <w:gridSpan w:val="44"/>
          </w:tcPr>
          <w:p>
            <w:pPr>
              <w:ind w:left="120"/>
              <w:spacing w:after="0"/>
              <w:rPr>
                <w:rFonts w:ascii="Arial" w:cs="Arial" w:eastAsia="Arial" w:hAnsi="Arial"/>
                <w:sz w:val="18"/>
                <w:szCs w:val="18"/>
                <w:color w:val="0000EE"/>
              </w:rPr>
            </w:pPr>
            <w:hyperlink w:anchor="page100">
              <w:r>
                <w:rPr>
                  <w:rFonts w:ascii="Arial" w:cs="Arial" w:eastAsia="Arial" w:hAnsi="Arial"/>
                  <w:sz w:val="18"/>
                  <w:szCs w:val="18"/>
                  <w:color w:val="0000EE"/>
                </w:rPr>
                <w:t>Interests of experts and counsel</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00">
              <w:r>
                <w:rPr>
                  <w:rFonts w:ascii="Arial" w:cs="Arial" w:eastAsia="Arial" w:hAnsi="Arial"/>
                  <w:sz w:val="18"/>
                  <w:szCs w:val="18"/>
                  <w:color w:val="0000EE"/>
                </w:rPr>
                <w:t>96</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2260" w:type="dxa"/>
            <w:vAlign w:val="bottom"/>
            <w:tcBorders>
              <w:top w:val="single" w:sz="8" w:color="0000EE"/>
            </w:tcBorders>
            <w:gridSpan w:val="25"/>
          </w:tcPr>
          <w:p>
            <w:pPr>
              <w:spacing w:after="0"/>
              <w:rPr>
                <w:sz w:val="6"/>
                <w:szCs w:val="6"/>
                <w:color w:val="auto"/>
              </w:rPr>
            </w:pPr>
          </w:p>
        </w:tc>
        <w:tc>
          <w:tcPr>
            <w:tcW w:w="4900" w:type="dxa"/>
            <w:vAlign w:val="bottom"/>
            <w:gridSpan w:val="20"/>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860" w:type="dxa"/>
            <w:vAlign w:val="bottom"/>
            <w:gridSpan w:val="7"/>
            <w:shd w:val="clear" w:color="auto" w:fill="CCEEFF"/>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8.</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FINANCIAL INFORMATION</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shd w:val="clear" w:color="auto" w:fill="CCEEFF"/>
          </w:tcPr>
          <w:p>
            <w:pPr>
              <w:spacing w:after="0"/>
              <w:rPr>
                <w:sz w:val="19"/>
                <w:szCs w:val="19"/>
                <w:color w:val="auto"/>
              </w:rPr>
            </w:pPr>
          </w:p>
        </w:tc>
      </w:tr>
      <w:tr>
        <w:trPr>
          <w:trHeight w:val="74"/>
        </w:trPr>
        <w:tc>
          <w:tcPr>
            <w:tcW w:w="340" w:type="dxa"/>
            <w:vAlign w:val="bottom"/>
            <w:tcBorders>
              <w:top w:val="single" w:sz="8" w:color="0000EE"/>
              <w:right w:val="single" w:sz="8" w:color="CCEEFF"/>
            </w:tcBorders>
            <w:gridSpan w:val="3"/>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gridSpan w:val="4"/>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920" w:type="dxa"/>
            <w:vAlign w:val="bottom"/>
            <w:tcBorders>
              <w:top w:val="single" w:sz="8" w:color="0000EE"/>
            </w:tcBorders>
            <w:gridSpan w:val="10"/>
            <w:shd w:val="clear" w:color="auto" w:fill="CCEEFF"/>
          </w:tcPr>
          <w:p>
            <w:pPr>
              <w:spacing w:after="0"/>
              <w:rPr>
                <w:sz w:val="6"/>
                <w:szCs w:val="6"/>
                <w:color w:val="auto"/>
              </w:rPr>
            </w:pPr>
          </w:p>
        </w:tc>
        <w:tc>
          <w:tcPr>
            <w:tcW w:w="4900" w:type="dxa"/>
            <w:vAlign w:val="bottom"/>
            <w:tcBorders>
              <w:top w:val="single" w:sz="8" w:color="CCEEFF"/>
            </w:tcBorders>
            <w:gridSpan w:val="20"/>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A.</w:t>
              </w:r>
            </w:hyperlink>
          </w:p>
        </w:tc>
        <w:tc>
          <w:tcPr>
            <w:tcW w:w="6460" w:type="dxa"/>
            <w:vAlign w:val="bottom"/>
            <w:gridSpan w:val="44"/>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Consolidated Financial Statements and Other Financial Information</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4880" w:type="dxa"/>
            <w:vAlign w:val="bottom"/>
            <w:tcBorders>
              <w:top w:val="single" w:sz="8" w:color="0000EE"/>
            </w:tcBorders>
            <w:gridSpan w:val="40"/>
          </w:tcPr>
          <w:p>
            <w:pPr>
              <w:spacing w:after="0"/>
              <w:rPr>
                <w:sz w:val="6"/>
                <w:szCs w:val="6"/>
                <w:color w:val="auto"/>
              </w:rPr>
            </w:pPr>
          </w:p>
        </w:tc>
        <w:tc>
          <w:tcPr>
            <w:tcW w:w="2280" w:type="dxa"/>
            <w:vAlign w:val="bottom"/>
            <w:gridSpan w:val="5"/>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B.</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Significant Changes</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120" w:type="dxa"/>
            <w:vAlign w:val="bottom"/>
            <w:tcBorders>
              <w:top w:val="single" w:sz="8" w:color="0000EE"/>
            </w:tcBorders>
            <w:gridSpan w:val="3"/>
            <w:shd w:val="clear" w:color="auto" w:fill="CCEEFF"/>
          </w:tcPr>
          <w:p>
            <w:pPr>
              <w:spacing w:after="0"/>
              <w:rPr>
                <w:sz w:val="6"/>
                <w:szCs w:val="6"/>
                <w:color w:val="auto"/>
              </w:rPr>
            </w:pPr>
          </w:p>
        </w:tc>
        <w:tc>
          <w:tcPr>
            <w:tcW w:w="5700" w:type="dxa"/>
            <w:vAlign w:val="bottom"/>
            <w:tcBorders>
              <w:top w:val="single" w:sz="8" w:color="CCEEFF"/>
            </w:tcBorders>
            <w:gridSpan w:val="27"/>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860" w:type="dxa"/>
            <w:vAlign w:val="bottom"/>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9.</w:t>
              </w:r>
            </w:hyperlink>
          </w:p>
        </w:tc>
        <w:tc>
          <w:tcPr>
            <w:tcW w:w="6460" w:type="dxa"/>
            <w:vAlign w:val="bottom"/>
            <w:gridSpan w:val="44"/>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THE LISTING</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tcPr>
          <w:p>
            <w:pPr>
              <w:spacing w:after="0"/>
              <w:rPr>
                <w:sz w:val="19"/>
                <w:szCs w:val="19"/>
                <w:color w:val="auto"/>
              </w:rPr>
            </w:pPr>
          </w:p>
        </w:tc>
      </w:tr>
      <w:tr>
        <w:trPr>
          <w:trHeight w:val="74"/>
        </w:trPr>
        <w:tc>
          <w:tcPr>
            <w:tcW w:w="620" w:type="dxa"/>
            <w:vAlign w:val="bottom"/>
            <w:tcBorders>
              <w:top w:val="single" w:sz="8" w:color="0000EE"/>
            </w:tcBorders>
            <w:gridSpan w:val="4"/>
          </w:tcPr>
          <w:p>
            <w:pPr>
              <w:spacing w:after="0"/>
              <w:rPr>
                <w:sz w:val="6"/>
                <w:szCs w:val="6"/>
                <w:color w:val="auto"/>
              </w:rPr>
            </w:pPr>
          </w:p>
        </w:tc>
        <w:tc>
          <w:tcPr>
            <w:tcW w:w="360" w:type="dxa"/>
            <w:vAlign w:val="bottom"/>
            <w:gridSpan w:val="4"/>
          </w:tcPr>
          <w:p>
            <w:pPr>
              <w:spacing w:after="0"/>
              <w:rPr>
                <w:sz w:val="6"/>
                <w:szCs w:val="6"/>
                <w:color w:val="auto"/>
              </w:rPr>
            </w:pPr>
          </w:p>
        </w:tc>
        <w:tc>
          <w:tcPr>
            <w:tcW w:w="1100" w:type="dxa"/>
            <w:vAlign w:val="bottom"/>
            <w:tcBorders>
              <w:top w:val="single" w:sz="8" w:color="0000EE"/>
            </w:tcBorders>
            <w:gridSpan w:val="11"/>
          </w:tcPr>
          <w:p>
            <w:pPr>
              <w:spacing w:after="0"/>
              <w:rPr>
                <w:sz w:val="6"/>
                <w:szCs w:val="6"/>
                <w:color w:val="auto"/>
              </w:rPr>
            </w:pPr>
          </w:p>
        </w:tc>
        <w:tc>
          <w:tcPr>
            <w:tcW w:w="6060" w:type="dxa"/>
            <w:vAlign w:val="bottom"/>
            <w:gridSpan w:val="34"/>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A.</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Listing Details</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1060" w:type="dxa"/>
            <w:vAlign w:val="bottom"/>
            <w:tcBorders>
              <w:top w:val="single" w:sz="8" w:color="0000EE"/>
            </w:tcBorders>
            <w:gridSpan w:val="10"/>
            <w:shd w:val="clear" w:color="auto" w:fill="CCEEFF"/>
          </w:tcPr>
          <w:p>
            <w:pPr>
              <w:spacing w:after="0"/>
              <w:rPr>
                <w:sz w:val="6"/>
                <w:szCs w:val="6"/>
                <w:color w:val="auto"/>
              </w:rPr>
            </w:pPr>
          </w:p>
        </w:tc>
        <w:tc>
          <w:tcPr>
            <w:tcW w:w="280" w:type="dxa"/>
            <w:vAlign w:val="bottom"/>
            <w:tcBorders>
              <w:top w:val="single" w:sz="8" w:color="CCEEFF"/>
              <w:right w:val="single" w:sz="8" w:color="CCEEFF"/>
            </w:tcBorders>
            <w:gridSpan w:val="5"/>
            <w:shd w:val="clear" w:color="auto" w:fill="CCEEFF"/>
          </w:tcPr>
          <w:p>
            <w:pPr>
              <w:spacing w:after="0"/>
              <w:rPr>
                <w:sz w:val="6"/>
                <w:szCs w:val="6"/>
                <w:color w:val="auto"/>
              </w:rPr>
            </w:pPr>
          </w:p>
        </w:tc>
        <w:tc>
          <w:tcPr>
            <w:tcW w:w="5820" w:type="dxa"/>
            <w:vAlign w:val="bottom"/>
            <w:tcBorders>
              <w:top w:val="single" w:sz="8" w:color="CCEEFF"/>
            </w:tcBorders>
            <w:gridSpan w:val="30"/>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B.</w:t>
              </w:r>
            </w:hyperlink>
          </w:p>
        </w:tc>
        <w:tc>
          <w:tcPr>
            <w:tcW w:w="6460" w:type="dxa"/>
            <w:vAlign w:val="bottom"/>
            <w:gridSpan w:val="44"/>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Plan of Distribution</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1420" w:type="dxa"/>
            <w:vAlign w:val="bottom"/>
            <w:tcBorders>
              <w:top w:val="single" w:sz="8" w:color="0000EE"/>
            </w:tcBorders>
            <w:gridSpan w:val="17"/>
          </w:tcPr>
          <w:p>
            <w:pPr>
              <w:spacing w:after="0"/>
              <w:rPr>
                <w:sz w:val="6"/>
                <w:szCs w:val="6"/>
                <w:color w:val="auto"/>
              </w:rPr>
            </w:pPr>
          </w:p>
        </w:tc>
        <w:tc>
          <w:tcPr>
            <w:tcW w:w="5740" w:type="dxa"/>
            <w:vAlign w:val="bottom"/>
            <w:gridSpan w:val="28"/>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Markets</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CCEEFF"/>
              <w:right w:val="single" w:sz="8" w:color="CCEEFF"/>
            </w:tcBorders>
            <w:gridSpan w:val="14"/>
            <w:shd w:val="clear" w:color="auto" w:fill="CCEEFF"/>
          </w:tcPr>
          <w:p>
            <w:pPr>
              <w:spacing w:after="0"/>
              <w:rPr>
                <w:sz w:val="6"/>
                <w:szCs w:val="6"/>
                <w:color w:val="auto"/>
              </w:rPr>
            </w:pPr>
          </w:p>
        </w:tc>
        <w:tc>
          <w:tcPr>
            <w:tcW w:w="5820" w:type="dxa"/>
            <w:vAlign w:val="bottom"/>
            <w:tcBorders>
              <w:top w:val="single" w:sz="8" w:color="CCEEFF"/>
            </w:tcBorders>
            <w:gridSpan w:val="30"/>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w:t>
              </w:r>
            </w:hyperlink>
          </w:p>
        </w:tc>
        <w:tc>
          <w:tcPr>
            <w:tcW w:w="6460" w:type="dxa"/>
            <w:vAlign w:val="bottom"/>
            <w:gridSpan w:val="44"/>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Selling Shareholders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1500" w:type="dxa"/>
            <w:vAlign w:val="bottom"/>
            <w:tcBorders>
              <w:top w:val="single" w:sz="8" w:color="0000EE"/>
            </w:tcBorders>
            <w:gridSpan w:val="19"/>
          </w:tcPr>
          <w:p>
            <w:pPr>
              <w:spacing w:after="0"/>
              <w:rPr>
                <w:sz w:val="6"/>
                <w:szCs w:val="6"/>
                <w:color w:val="auto"/>
              </w:rPr>
            </w:pPr>
          </w:p>
        </w:tc>
        <w:tc>
          <w:tcPr>
            <w:tcW w:w="5660" w:type="dxa"/>
            <w:vAlign w:val="bottom"/>
            <w:gridSpan w:val="26"/>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Dilution</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600" w:type="dxa"/>
            <w:vAlign w:val="bottom"/>
            <w:tcBorders>
              <w:top w:val="single" w:sz="8" w:color="0000EE"/>
            </w:tcBorders>
            <w:gridSpan w:val="2"/>
            <w:shd w:val="clear" w:color="auto" w:fill="CCEEFF"/>
          </w:tcPr>
          <w:p>
            <w:pPr>
              <w:spacing w:after="0"/>
              <w:rPr>
                <w:sz w:val="6"/>
                <w:szCs w:val="6"/>
                <w:color w:val="auto"/>
              </w:rPr>
            </w:pPr>
          </w:p>
        </w:tc>
        <w:tc>
          <w:tcPr>
            <w:tcW w:w="740" w:type="dxa"/>
            <w:vAlign w:val="bottom"/>
            <w:tcBorders>
              <w:top w:val="single" w:sz="8" w:color="CCEEFF"/>
              <w:right w:val="single" w:sz="8" w:color="CCEEFF"/>
            </w:tcBorders>
            <w:gridSpan w:val="13"/>
            <w:shd w:val="clear" w:color="auto" w:fill="CCEEFF"/>
          </w:tcPr>
          <w:p>
            <w:pPr>
              <w:spacing w:after="0"/>
              <w:rPr>
                <w:sz w:val="6"/>
                <w:szCs w:val="6"/>
                <w:color w:val="auto"/>
              </w:rPr>
            </w:pPr>
          </w:p>
        </w:tc>
        <w:tc>
          <w:tcPr>
            <w:tcW w:w="5820" w:type="dxa"/>
            <w:vAlign w:val="bottom"/>
            <w:tcBorders>
              <w:top w:val="single" w:sz="8" w:color="CCEEFF"/>
            </w:tcBorders>
            <w:gridSpan w:val="30"/>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F.</w:t>
              </w:r>
            </w:hyperlink>
          </w:p>
        </w:tc>
        <w:tc>
          <w:tcPr>
            <w:tcW w:w="6460" w:type="dxa"/>
            <w:vAlign w:val="bottom"/>
            <w:gridSpan w:val="44"/>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Expenses of the Issue</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80" w:type="dxa"/>
            <w:vAlign w:val="bottom"/>
            <w:gridSpan w:val="6"/>
          </w:tcPr>
          <w:p>
            <w:pPr>
              <w:spacing w:after="0"/>
              <w:rPr>
                <w:sz w:val="6"/>
                <w:szCs w:val="6"/>
                <w:color w:val="auto"/>
              </w:rPr>
            </w:pPr>
          </w:p>
        </w:tc>
        <w:tc>
          <w:tcPr>
            <w:tcW w:w="1560" w:type="dxa"/>
            <w:vAlign w:val="bottom"/>
            <w:tcBorders>
              <w:top w:val="single" w:sz="8" w:color="0000EE"/>
            </w:tcBorders>
            <w:gridSpan w:val="20"/>
          </w:tcPr>
          <w:p>
            <w:pPr>
              <w:spacing w:after="0"/>
              <w:rPr>
                <w:sz w:val="6"/>
                <w:szCs w:val="6"/>
                <w:color w:val="auto"/>
              </w:rPr>
            </w:pPr>
          </w:p>
        </w:tc>
        <w:tc>
          <w:tcPr>
            <w:tcW w:w="5600" w:type="dxa"/>
            <w:vAlign w:val="bottom"/>
            <w:gridSpan w:val="25"/>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860" w:type="dxa"/>
            <w:vAlign w:val="bottom"/>
            <w:gridSpan w:val="7"/>
            <w:shd w:val="clear" w:color="auto" w:fill="CCEEFF"/>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10.</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ADDITIONAL INFORMATION</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shd w:val="clear" w:color="auto" w:fill="CCEEFF"/>
          </w:tcPr>
          <w:p>
            <w:pPr>
              <w:spacing w:after="0"/>
              <w:rPr>
                <w:sz w:val="19"/>
                <w:szCs w:val="19"/>
                <w:color w:val="auto"/>
              </w:rPr>
            </w:pPr>
          </w:p>
        </w:tc>
      </w:tr>
      <w:tr>
        <w:trPr>
          <w:trHeight w:val="74"/>
        </w:trPr>
        <w:tc>
          <w:tcPr>
            <w:tcW w:w="340" w:type="dxa"/>
            <w:vAlign w:val="bottom"/>
            <w:tcBorders>
              <w:top w:val="single" w:sz="8" w:color="0000EE"/>
              <w:right w:val="single" w:sz="8" w:color="CCEEFF"/>
            </w:tcBorders>
            <w:gridSpan w:val="3"/>
            <w:shd w:val="clear" w:color="auto" w:fill="CCEEFF"/>
          </w:tcPr>
          <w:p>
            <w:pPr>
              <w:spacing w:after="0"/>
              <w:rPr>
                <w:sz w:val="6"/>
                <w:szCs w:val="6"/>
                <w:color w:val="auto"/>
              </w:rPr>
            </w:pPr>
          </w:p>
        </w:tc>
        <w:tc>
          <w:tcPr>
            <w:tcW w:w="360" w:type="dxa"/>
            <w:vAlign w:val="bottom"/>
            <w:tcBorders>
              <w:top w:val="single" w:sz="8" w:color="0000EE"/>
            </w:tcBorders>
            <w:gridSpan w:val="2"/>
            <w:shd w:val="clear" w:color="auto" w:fill="CCEEFF"/>
          </w:tcPr>
          <w:p>
            <w:pPr>
              <w:spacing w:after="0"/>
              <w:rPr>
                <w:sz w:val="6"/>
                <w:szCs w:val="6"/>
                <w:color w:val="auto"/>
              </w:rPr>
            </w:pPr>
          </w:p>
        </w:tc>
        <w:tc>
          <w:tcPr>
            <w:tcW w:w="280" w:type="dxa"/>
            <w:vAlign w:val="bottom"/>
            <w:tcBorders>
              <w:top w:val="single" w:sz="8" w:color="CCEEFF"/>
            </w:tcBorders>
            <w:gridSpan w:val="3"/>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1060" w:type="dxa"/>
            <w:vAlign w:val="bottom"/>
            <w:tcBorders>
              <w:top w:val="single" w:sz="8" w:color="0000EE"/>
            </w:tcBorders>
            <w:gridSpan w:val="13"/>
            <w:shd w:val="clear" w:color="auto" w:fill="CCEEFF"/>
          </w:tcPr>
          <w:p>
            <w:pPr>
              <w:spacing w:after="0"/>
              <w:rPr>
                <w:sz w:val="6"/>
                <w:szCs w:val="6"/>
                <w:color w:val="auto"/>
              </w:rPr>
            </w:pPr>
          </w:p>
        </w:tc>
        <w:tc>
          <w:tcPr>
            <w:tcW w:w="4760" w:type="dxa"/>
            <w:vAlign w:val="bottom"/>
            <w:tcBorders>
              <w:top w:val="single" w:sz="8" w:color="CCEEFF"/>
            </w:tcBorders>
            <w:gridSpan w:val="17"/>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680" w:type="dxa"/>
            <w:vAlign w:val="bottom"/>
            <w:gridSpan w:val="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A.</w:t>
              </w:r>
            </w:hyperlink>
          </w:p>
        </w:tc>
        <w:tc>
          <w:tcPr>
            <w:tcW w:w="6460" w:type="dxa"/>
            <w:vAlign w:val="bottom"/>
            <w:gridSpan w:val="44"/>
          </w:tcPr>
          <w:p>
            <w:pPr>
              <w:ind w:left="120"/>
              <w:spacing w:after="0"/>
              <w:rPr>
                <w:rFonts w:ascii="Arial" w:cs="Arial" w:eastAsia="Arial" w:hAnsi="Arial"/>
                <w:sz w:val="18"/>
                <w:szCs w:val="18"/>
                <w:color w:val="0000EE"/>
              </w:rPr>
            </w:pPr>
            <w:hyperlink w:anchor="page101">
              <w:r>
                <w:rPr>
                  <w:rFonts w:ascii="Arial" w:cs="Arial" w:eastAsia="Arial" w:hAnsi="Arial"/>
                  <w:sz w:val="18"/>
                  <w:szCs w:val="18"/>
                  <w:color w:val="0000EE"/>
                </w:rPr>
                <w:t>Share Capital</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97</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60" w:type="dxa"/>
            <w:vAlign w:val="bottom"/>
            <w:tcBorders>
              <w:top w:val="single" w:sz="8" w:color="0000EE"/>
            </w:tcBorders>
            <w:gridSpan w:val="2"/>
          </w:tcPr>
          <w:p>
            <w:pPr>
              <w:spacing w:after="0"/>
              <w:rPr>
                <w:sz w:val="6"/>
                <w:szCs w:val="6"/>
                <w:color w:val="auto"/>
              </w:rPr>
            </w:pPr>
          </w:p>
        </w:tc>
        <w:tc>
          <w:tcPr>
            <w:tcW w:w="640" w:type="dxa"/>
            <w:vAlign w:val="bottom"/>
            <w:gridSpan w:val="5"/>
          </w:tcPr>
          <w:p>
            <w:pPr>
              <w:spacing w:after="0"/>
              <w:rPr>
                <w:sz w:val="6"/>
                <w:szCs w:val="6"/>
                <w:color w:val="auto"/>
              </w:rPr>
            </w:pPr>
          </w:p>
        </w:tc>
        <w:tc>
          <w:tcPr>
            <w:tcW w:w="980" w:type="dxa"/>
            <w:vAlign w:val="bottom"/>
            <w:tcBorders>
              <w:top w:val="single" w:sz="8" w:color="0000EE"/>
            </w:tcBorders>
            <w:gridSpan w:val="8"/>
          </w:tcPr>
          <w:p>
            <w:pPr>
              <w:spacing w:after="0"/>
              <w:rPr>
                <w:sz w:val="6"/>
                <w:szCs w:val="6"/>
                <w:color w:val="auto"/>
              </w:rPr>
            </w:pPr>
          </w:p>
        </w:tc>
        <w:tc>
          <w:tcPr>
            <w:tcW w:w="6180" w:type="dxa"/>
            <w:vAlign w:val="bottom"/>
            <w:gridSpan w:val="37"/>
          </w:tcPr>
          <w:p>
            <w:pPr>
              <w:spacing w:after="0"/>
              <w:rPr>
                <w:sz w:val="6"/>
                <w:szCs w:val="6"/>
                <w:color w:val="auto"/>
              </w:rPr>
            </w:pPr>
          </w:p>
        </w:tc>
        <w:tc>
          <w:tcPr>
            <w:tcW w:w="200" w:type="dxa"/>
            <w:vAlign w:val="bottom"/>
            <w:tcBorders>
              <w:top w:val="single" w:sz="8" w:color="0000EE"/>
            </w:tcBorders>
            <w:gridSpan w:val="2"/>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680" w:type="dxa"/>
            <w:vAlign w:val="bottom"/>
            <w:gridSpan w:val="6"/>
            <w:shd w:val="clear" w:color="auto" w:fill="CCEEFF"/>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B.</w:t>
              </w:r>
            </w:hyperlink>
          </w:p>
        </w:tc>
        <w:tc>
          <w:tcPr>
            <w:tcW w:w="6460" w:type="dxa"/>
            <w:vAlign w:val="bottom"/>
            <w:gridSpan w:val="44"/>
            <w:shd w:val="clear" w:color="auto" w:fill="CCEEFF"/>
          </w:tcPr>
          <w:p>
            <w:pPr>
              <w:ind w:left="120"/>
              <w:spacing w:after="0"/>
              <w:rPr>
                <w:rFonts w:ascii="Arial" w:cs="Arial" w:eastAsia="Arial" w:hAnsi="Arial"/>
                <w:sz w:val="18"/>
                <w:szCs w:val="18"/>
                <w:color w:val="0000EE"/>
              </w:rPr>
            </w:pPr>
            <w:hyperlink w:anchor="page102">
              <w:r>
                <w:rPr>
                  <w:rFonts w:ascii="Arial" w:cs="Arial" w:eastAsia="Arial" w:hAnsi="Arial"/>
                  <w:sz w:val="18"/>
                  <w:szCs w:val="18"/>
                  <w:color w:val="0000EE"/>
                </w:rPr>
                <w:t>Memorandum and Articles of Association</w:t>
              </w:r>
            </w:hyperlink>
          </w:p>
        </w:tc>
        <w:tc>
          <w:tcPr>
            <w:tcW w:w="1020" w:type="dxa"/>
            <w:vAlign w:val="bottom"/>
            <w:tcBorders>
              <w:right w:val="single" w:sz="8" w:color="CCEEFF"/>
            </w:tcBorders>
            <w:gridSpan w:val="4"/>
            <w:shd w:val="clear" w:color="auto" w:fill="CCEEFF"/>
          </w:tcPr>
          <w:p>
            <w:pPr>
              <w:jc w:val="right"/>
              <w:ind w:right="20"/>
              <w:spacing w:after="0"/>
              <w:rPr>
                <w:rFonts w:ascii="Arial" w:cs="Arial" w:eastAsia="Arial" w:hAnsi="Arial"/>
                <w:sz w:val="18"/>
                <w:szCs w:val="18"/>
                <w:color w:val="0000EE"/>
              </w:rPr>
            </w:pPr>
            <w:hyperlink w:anchor="page102">
              <w:r>
                <w:rPr>
                  <w:rFonts w:ascii="Arial" w:cs="Arial" w:eastAsia="Arial" w:hAnsi="Arial"/>
                  <w:sz w:val="18"/>
                  <w:szCs w:val="18"/>
                  <w:color w:val="0000EE"/>
                </w:rPr>
                <w:t>98</w:t>
              </w:r>
            </w:hyperlink>
          </w:p>
        </w:tc>
        <w:tc>
          <w:tcPr>
            <w:tcW w:w="8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640" w:type="dxa"/>
            <w:vAlign w:val="bottom"/>
            <w:tcBorders>
              <w:top w:val="single" w:sz="8" w:color="CCEEFF"/>
            </w:tcBorders>
            <w:gridSpan w:val="5"/>
            <w:shd w:val="clear" w:color="auto" w:fill="CCEEFF"/>
          </w:tcPr>
          <w:p>
            <w:pPr>
              <w:spacing w:after="0"/>
              <w:rPr>
                <w:sz w:val="6"/>
                <w:szCs w:val="6"/>
                <w:color w:val="auto"/>
              </w:rPr>
            </w:pPr>
          </w:p>
        </w:tc>
        <w:tc>
          <w:tcPr>
            <w:tcW w:w="1340" w:type="dxa"/>
            <w:vAlign w:val="bottom"/>
            <w:tcBorders>
              <w:top w:val="single" w:sz="8" w:color="0000EE"/>
              <w:right w:val="single" w:sz="8" w:color="CCEEFF"/>
            </w:tcBorders>
            <w:gridSpan w:val="15"/>
            <w:shd w:val="clear" w:color="auto" w:fill="CCEEFF"/>
          </w:tcPr>
          <w:p>
            <w:pPr>
              <w:spacing w:after="0"/>
              <w:rPr>
                <w:sz w:val="6"/>
                <w:szCs w:val="6"/>
                <w:color w:val="auto"/>
              </w:rPr>
            </w:pPr>
          </w:p>
        </w:tc>
        <w:tc>
          <w:tcPr>
            <w:tcW w:w="1680" w:type="dxa"/>
            <w:vAlign w:val="bottom"/>
            <w:tcBorders>
              <w:top w:val="single" w:sz="8" w:color="0000EE"/>
            </w:tcBorders>
            <w:gridSpan w:val="18"/>
            <w:shd w:val="clear" w:color="auto" w:fill="CCEEFF"/>
          </w:tcPr>
          <w:p>
            <w:pPr>
              <w:spacing w:after="0"/>
              <w:rPr>
                <w:sz w:val="6"/>
                <w:szCs w:val="6"/>
                <w:color w:val="auto"/>
              </w:rPr>
            </w:pPr>
          </w:p>
        </w:tc>
        <w:tc>
          <w:tcPr>
            <w:tcW w:w="4140" w:type="dxa"/>
            <w:vAlign w:val="bottom"/>
            <w:tcBorders>
              <w:top w:val="single" w:sz="8" w:color="CCEEFF"/>
            </w:tcBorders>
            <w:gridSpan w:val="12"/>
            <w:shd w:val="clear" w:color="auto" w:fill="CCEEFF"/>
          </w:tcPr>
          <w:p>
            <w:pPr>
              <w:spacing w:after="0"/>
              <w:rPr>
                <w:sz w:val="6"/>
                <w:szCs w:val="6"/>
                <w:color w:val="auto"/>
              </w:rPr>
            </w:pPr>
          </w:p>
        </w:tc>
        <w:tc>
          <w:tcPr>
            <w:tcW w:w="200" w:type="dxa"/>
            <w:vAlign w:val="bottom"/>
            <w:tcBorders>
              <w:top w:val="single" w:sz="8" w:color="0000EE"/>
              <w:right w:val="single" w:sz="8" w:color="CCEEFF"/>
            </w:tcBorders>
            <w:gridSpan w:val="2"/>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160" w:type="dxa"/>
            <w:vAlign w:val="bottom"/>
            <w:gridSpan w:val="2"/>
          </w:tcPr>
          <w:p>
            <w:pPr>
              <w:spacing w:after="0"/>
              <w:rPr>
                <w:rFonts w:ascii="Arial" w:cs="Arial" w:eastAsia="Arial" w:hAnsi="Arial"/>
                <w:sz w:val="17"/>
                <w:szCs w:val="17"/>
                <w:color w:val="0000EE"/>
                <w:w w:val="70"/>
              </w:rPr>
            </w:pPr>
            <w:hyperlink w:anchor="page108">
              <w:r>
                <w:rPr>
                  <w:rFonts w:ascii="Arial" w:cs="Arial" w:eastAsia="Arial" w:hAnsi="Arial"/>
                  <w:sz w:val="17"/>
                  <w:szCs w:val="17"/>
                  <w:color w:val="0000EE"/>
                  <w:w w:val="70"/>
                </w:rPr>
                <w:t>C.</w:t>
              </w:r>
            </w:hyperlink>
          </w:p>
        </w:tc>
        <w:tc>
          <w:tcPr>
            <w:tcW w:w="520" w:type="dxa"/>
            <w:vAlign w:val="bottom"/>
            <w:gridSpan w:val="4"/>
          </w:tcPr>
          <w:p>
            <w:pPr>
              <w:spacing w:after="0"/>
              <w:rPr>
                <w:sz w:val="19"/>
                <w:szCs w:val="19"/>
                <w:color w:val="auto"/>
              </w:rPr>
            </w:pPr>
          </w:p>
        </w:tc>
        <w:tc>
          <w:tcPr>
            <w:tcW w:w="6460" w:type="dxa"/>
            <w:vAlign w:val="bottom"/>
            <w:gridSpan w:val="44"/>
          </w:tcPr>
          <w:p>
            <w:pPr>
              <w:ind w:left="120"/>
              <w:spacing w:after="0"/>
              <w:rPr>
                <w:rFonts w:ascii="Arial" w:cs="Arial" w:eastAsia="Arial" w:hAnsi="Arial"/>
                <w:sz w:val="18"/>
                <w:szCs w:val="18"/>
                <w:color w:val="0000EE"/>
              </w:rPr>
            </w:pPr>
            <w:hyperlink w:anchor="page108">
              <w:r>
                <w:rPr>
                  <w:rFonts w:ascii="Arial" w:cs="Arial" w:eastAsia="Arial" w:hAnsi="Arial"/>
                  <w:sz w:val="18"/>
                  <w:szCs w:val="18"/>
                  <w:color w:val="0000EE"/>
                </w:rPr>
                <w:t>Material Contracts</w:t>
              </w:r>
            </w:hyperlink>
          </w:p>
        </w:tc>
        <w:tc>
          <w:tcPr>
            <w:tcW w:w="1100" w:type="dxa"/>
            <w:vAlign w:val="bottom"/>
            <w:gridSpan w:val="5"/>
          </w:tcPr>
          <w:p>
            <w:pPr>
              <w:jc w:val="right"/>
              <w:ind w:right="80"/>
              <w:spacing w:after="0"/>
              <w:rPr>
                <w:rFonts w:ascii="Arial" w:cs="Arial" w:eastAsia="Arial" w:hAnsi="Arial"/>
                <w:sz w:val="18"/>
                <w:szCs w:val="18"/>
                <w:color w:val="0000EE"/>
              </w:rPr>
            </w:pPr>
            <w:hyperlink w:anchor="page108">
              <w:r>
                <w:rPr>
                  <w:rFonts w:ascii="Arial" w:cs="Arial" w:eastAsia="Arial" w:hAnsi="Arial"/>
                  <w:sz w:val="18"/>
                  <w:szCs w:val="18"/>
                  <w:color w:val="0000EE"/>
                </w:rPr>
                <w:t>104</w:t>
              </w:r>
            </w:hyperlink>
          </w:p>
        </w:tc>
      </w:tr>
      <w:tr>
        <w:trPr>
          <w:trHeight w:val="20"/>
        </w:trPr>
        <w:tc>
          <w:tcPr>
            <w:tcW w:w="340" w:type="dxa"/>
            <w:vAlign w:val="bottom"/>
            <w:tcBorders>
              <w:right w:val="single" w:sz="8" w:color="0000EE"/>
            </w:tcBorders>
            <w:gridSpan w:val="3"/>
          </w:tcPr>
          <w:p>
            <w:pPr>
              <w:spacing w:after="0" w:line="20" w:lineRule="exact"/>
              <w:rPr>
                <w:sz w:val="1"/>
                <w:szCs w:val="1"/>
                <w:color w:val="auto"/>
              </w:rPr>
            </w:pPr>
          </w:p>
        </w:tc>
        <w:tc>
          <w:tcPr>
            <w:tcW w:w="1980" w:type="dxa"/>
            <w:vAlign w:val="bottom"/>
            <w:tcBorders>
              <w:right w:val="single" w:sz="8" w:color="0000EE"/>
            </w:tcBorders>
            <w:gridSpan w:val="20"/>
          </w:tcPr>
          <w:p>
            <w:pPr>
              <w:spacing w:after="0" w:line="20" w:lineRule="exact"/>
              <w:rPr>
                <w:sz w:val="1"/>
                <w:szCs w:val="1"/>
                <w:color w:val="auto"/>
              </w:rPr>
            </w:pPr>
          </w:p>
        </w:tc>
        <w:tc>
          <w:tcPr>
            <w:tcW w:w="6020" w:type="dxa"/>
            <w:vAlign w:val="bottom"/>
            <w:tcBorders>
              <w:right w:val="single" w:sz="8" w:color="0000EE"/>
            </w:tcBorders>
            <w:gridSpan w:val="3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77" w:orient="portrait"/>
          <w:cols w:equalWidth="0" w:num="1">
            <w:col w:w="9019"/>
          </w:cols>
          <w:pgMar w:left="1440" w:top="265" w:right="1440" w:bottom="0" w:gutter="0" w:footer="0" w:header="0"/>
        </w:sectPr>
      </w:pPr>
    </w:p>
    <w:bookmarkStart w:id="2" w:name="page3"/>
    <w:bookmarkEnd w:id="2"/>
    <w:p>
      <w:pPr>
        <w:ind w:left="480"/>
        <w:spacing w:after="0"/>
        <w:tabs>
          <w:tab w:leader="none" w:pos="1260" w:val="left"/>
          <w:tab w:leader="none" w:pos="8340" w:val="left"/>
        </w:tabs>
        <w:rPr>
          <w:rFonts w:ascii="Arial" w:cs="Arial" w:eastAsia="Arial" w:hAnsi="Arial"/>
          <w:sz w:val="16"/>
          <w:szCs w:val="16"/>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1099820</wp:posOffset>
            </wp:positionH>
            <wp:positionV relativeFrom="page">
              <wp:posOffset>114300</wp:posOffset>
            </wp:positionV>
            <wp:extent cx="534924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205740"/>
                    </a:xfrm>
                    <a:prstGeom prst="rect">
                      <a:avLst/>
                    </a:prstGeom>
                    <a:noFill/>
                  </pic:spPr>
                </pic:pic>
              </a:graphicData>
            </a:graphic>
          </wp:anchor>
        </w:drawing>
        <w:t>D.</w:t>
      </w:r>
      <w:r>
        <w:rPr>
          <w:sz w:val="20"/>
          <w:szCs w:val="20"/>
          <w:color w:val="auto"/>
        </w:rPr>
        <w:tab/>
      </w:r>
      <w:hyperlink w:anchor="page108">
        <w:r>
          <w:rPr>
            <w:rFonts w:ascii="Arial" w:cs="Arial" w:eastAsia="Arial" w:hAnsi="Arial"/>
            <w:sz w:val="18"/>
            <w:szCs w:val="18"/>
            <w:u w:val="single" w:color="auto"/>
            <w:color w:val="0000EE"/>
          </w:rPr>
          <w:t>Exchange Controls</w:t>
        </w:r>
      </w:hyperlink>
      <w:r>
        <w:rPr>
          <w:rFonts w:ascii="Arial" w:cs="Arial" w:eastAsia="Arial" w:hAnsi="Arial"/>
          <w:sz w:val="18"/>
          <w:szCs w:val="18"/>
          <w:u w:val="single" w:color="auto"/>
          <w:color w:val="0000EE"/>
        </w:rPr>
        <w:tab/>
      </w:r>
      <w:hyperlink w:anchor="page108">
        <w:r>
          <w:rPr>
            <w:rFonts w:ascii="Arial" w:cs="Arial" w:eastAsia="Arial" w:hAnsi="Arial"/>
            <w:sz w:val="16"/>
            <w:szCs w:val="16"/>
            <w:u w:val="single" w:color="auto"/>
            <w:color w:val="0000EE"/>
          </w:rPr>
          <w:t>104</w:t>
        </w:r>
      </w:hyperlink>
    </w:p>
    <w:p>
      <w:pPr>
        <w:sectPr>
          <w:pgSz w:w="11900" w:h="16838" w:orient="portrait"/>
          <w:cols w:equalWidth="0" w:num="1">
            <w:col w:w="9019"/>
          </w:cols>
          <w:pgMar w:left="1440" w:top="220"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type w:val="continuous"/>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4"/>
          </w:tcPr>
          <w:p>
            <w:pPr>
              <w:ind w:left="100"/>
              <w:spacing w:after="0"/>
              <w:rPr>
                <w:sz w:val="20"/>
                <w:szCs w:val="20"/>
                <w:color w:val="auto"/>
              </w:rPr>
            </w:pPr>
            <w:r>
              <w:rPr>
                <w:rFonts w:ascii="Arial" w:cs="Arial" w:eastAsia="Arial" w:hAnsi="Arial"/>
                <w:sz w:val="14"/>
                <w:szCs w:val="14"/>
                <w:b w:val="1"/>
                <w:bCs w:val="1"/>
                <w:color w:val="auto"/>
              </w:rPr>
              <w:t>Page</w:t>
            </w:r>
          </w:p>
        </w:tc>
      </w:tr>
      <w:tr>
        <w:trPr>
          <w:trHeight w:val="53"/>
        </w:trPr>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43"/>
        </w:trPr>
        <w:tc>
          <w:tcPr>
            <w:tcW w:w="180" w:type="dxa"/>
            <w:vAlign w:val="bottom"/>
            <w:shd w:val="clear" w:color="auto" w:fill="CCEEFF"/>
          </w:tcPr>
          <w:p>
            <w:pPr>
              <w:spacing w:after="0"/>
              <w:rPr>
                <w:sz w:val="21"/>
                <w:szCs w:val="21"/>
                <w:color w:val="auto"/>
              </w:rPr>
            </w:pPr>
          </w:p>
        </w:tc>
        <w:tc>
          <w:tcPr>
            <w:tcW w:w="720" w:type="dxa"/>
            <w:vAlign w:val="bottom"/>
            <w:gridSpan w:val="9"/>
            <w:shd w:val="clear" w:color="auto" w:fill="CCEEFF"/>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09">
              <w:r>
                <w:rPr>
                  <w:rFonts w:ascii="Arial" w:cs="Arial" w:eastAsia="Arial" w:hAnsi="Arial"/>
                  <w:sz w:val="18"/>
                  <w:szCs w:val="18"/>
                  <w:color w:val="0000EE"/>
                </w:rPr>
                <w:t>Taxation</w:t>
              </w:r>
            </w:hyperlink>
          </w:p>
        </w:tc>
        <w:tc>
          <w:tcPr>
            <w:tcW w:w="460" w:type="dxa"/>
            <w:vAlign w:val="bottom"/>
            <w:gridSpan w:val="4"/>
            <w:shd w:val="clear" w:color="auto" w:fill="CCEEFF"/>
          </w:tcPr>
          <w:p>
            <w:pPr>
              <w:ind w:left="100"/>
              <w:spacing w:after="0"/>
              <w:rPr>
                <w:rFonts w:ascii="Arial" w:cs="Arial" w:eastAsia="Arial" w:hAnsi="Arial"/>
                <w:sz w:val="18"/>
                <w:szCs w:val="18"/>
                <w:color w:val="0000EE"/>
              </w:rPr>
            </w:pPr>
            <w:hyperlink w:anchor="page109">
              <w:r>
                <w:rPr>
                  <w:rFonts w:ascii="Arial" w:cs="Arial" w:eastAsia="Arial" w:hAnsi="Arial"/>
                  <w:sz w:val="18"/>
                  <w:szCs w:val="18"/>
                  <w:color w:val="0000EE"/>
                </w:rPr>
                <w:t>105</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20" w:type="dxa"/>
            <w:vAlign w:val="bottom"/>
            <w:gridSpan w:val="9"/>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F.</w:t>
              </w:r>
            </w:hyperlink>
          </w:p>
        </w:tc>
        <w:tc>
          <w:tcPr>
            <w:tcW w:w="7060" w:type="dxa"/>
            <w:vAlign w:val="bottom"/>
            <w:gridSpan w:val="29"/>
          </w:tcPr>
          <w:p>
            <w:pPr>
              <w:ind w:left="80"/>
              <w:spacing w:after="0"/>
              <w:rPr>
                <w:rFonts w:ascii="Arial" w:cs="Arial" w:eastAsia="Arial" w:hAnsi="Arial"/>
                <w:sz w:val="18"/>
                <w:szCs w:val="18"/>
                <w:color w:val="0000EE"/>
              </w:rPr>
            </w:pPr>
            <w:hyperlink w:anchor="page116">
              <w:r>
                <w:rPr>
                  <w:rFonts w:ascii="Arial" w:cs="Arial" w:eastAsia="Arial" w:hAnsi="Arial"/>
                  <w:sz w:val="18"/>
                  <w:szCs w:val="18"/>
                  <w:color w:val="0000EE"/>
                </w:rPr>
                <w:t>Dividends and Paying Agents</w:t>
              </w:r>
            </w:hyperlink>
          </w:p>
        </w:tc>
        <w:tc>
          <w:tcPr>
            <w:tcW w:w="380" w:type="dxa"/>
            <w:vAlign w:val="bottom"/>
            <w:gridSpan w:val="3"/>
          </w:tcPr>
          <w:p>
            <w:pPr>
              <w:ind w:left="100"/>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112</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20" w:type="dxa"/>
            <w:vAlign w:val="bottom"/>
            <w:gridSpan w:val="9"/>
            <w:shd w:val="clear" w:color="auto" w:fill="CCEEFF"/>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G.</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16">
              <w:r>
                <w:rPr>
                  <w:rFonts w:ascii="Arial" w:cs="Arial" w:eastAsia="Arial" w:hAnsi="Arial"/>
                  <w:sz w:val="18"/>
                  <w:szCs w:val="18"/>
                  <w:color w:val="0000EE"/>
                </w:rPr>
                <w:t>Statement by Experts</w:t>
              </w:r>
            </w:hyperlink>
          </w:p>
        </w:tc>
        <w:tc>
          <w:tcPr>
            <w:tcW w:w="380" w:type="dxa"/>
            <w:vAlign w:val="bottom"/>
            <w:gridSpan w:val="3"/>
            <w:shd w:val="clear" w:color="auto" w:fill="CCEEFF"/>
          </w:tcPr>
          <w:p>
            <w:pPr>
              <w:ind w:left="100"/>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112</w:t>
              </w:r>
            </w:hyperlink>
          </w:p>
        </w:tc>
        <w:tc>
          <w:tcPr>
            <w:tcW w:w="8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20" w:type="dxa"/>
            <w:vAlign w:val="bottom"/>
            <w:gridSpan w:val="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H.</w:t>
              </w:r>
            </w:hyperlink>
          </w:p>
        </w:tc>
        <w:tc>
          <w:tcPr>
            <w:tcW w:w="7060" w:type="dxa"/>
            <w:vAlign w:val="bottom"/>
            <w:gridSpan w:val="29"/>
          </w:tcPr>
          <w:p>
            <w:pPr>
              <w:ind w:left="80"/>
              <w:spacing w:after="0"/>
              <w:rPr>
                <w:rFonts w:ascii="Arial" w:cs="Arial" w:eastAsia="Arial" w:hAnsi="Arial"/>
                <w:sz w:val="18"/>
                <w:szCs w:val="18"/>
                <w:color w:val="0000EE"/>
              </w:rPr>
            </w:pPr>
            <w:hyperlink w:anchor="page117">
              <w:r>
                <w:rPr>
                  <w:rFonts w:ascii="Arial" w:cs="Arial" w:eastAsia="Arial" w:hAnsi="Arial"/>
                  <w:sz w:val="18"/>
                  <w:szCs w:val="18"/>
                  <w:color w:val="0000EE"/>
                </w:rPr>
                <w:t>Documents on Display</w:t>
              </w:r>
            </w:hyperlink>
          </w:p>
        </w:tc>
        <w:tc>
          <w:tcPr>
            <w:tcW w:w="380" w:type="dxa"/>
            <w:vAlign w:val="bottom"/>
            <w:gridSpan w:val="3"/>
          </w:tcPr>
          <w:p>
            <w:pPr>
              <w:ind w:left="100"/>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113</w:t>
              </w:r>
            </w:hyperlink>
          </w:p>
        </w:tc>
        <w:tc>
          <w:tcPr>
            <w:tcW w:w="8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20" w:type="dxa"/>
            <w:vAlign w:val="bottom"/>
            <w:gridSpan w:val="9"/>
            <w:shd w:val="clear" w:color="auto" w:fill="CCEEFF"/>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I.</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17">
              <w:r>
                <w:rPr>
                  <w:rFonts w:ascii="Arial" w:cs="Arial" w:eastAsia="Arial" w:hAnsi="Arial"/>
                  <w:sz w:val="18"/>
                  <w:szCs w:val="18"/>
                  <w:color w:val="0000EE"/>
                </w:rPr>
                <w:t>Subsidiary Information</w:t>
              </w:r>
            </w:hyperlink>
          </w:p>
        </w:tc>
        <w:tc>
          <w:tcPr>
            <w:tcW w:w="380" w:type="dxa"/>
            <w:vAlign w:val="bottom"/>
            <w:gridSpan w:val="3"/>
            <w:shd w:val="clear" w:color="auto" w:fill="CCEEFF"/>
          </w:tcPr>
          <w:p>
            <w:pPr>
              <w:ind w:left="100"/>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113</w:t>
              </w:r>
            </w:hyperlink>
          </w:p>
        </w:tc>
        <w:tc>
          <w:tcPr>
            <w:tcW w:w="8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10"/>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11.</w:t>
              </w:r>
            </w:hyperlink>
          </w:p>
        </w:tc>
        <w:tc>
          <w:tcPr>
            <w:tcW w:w="7060" w:type="dxa"/>
            <w:vAlign w:val="bottom"/>
            <w:gridSpan w:val="29"/>
          </w:tcPr>
          <w:p>
            <w:pPr>
              <w:ind w:left="80"/>
              <w:spacing w:after="0"/>
              <w:rPr>
                <w:rFonts w:ascii="Arial" w:cs="Arial" w:eastAsia="Arial" w:hAnsi="Arial"/>
                <w:sz w:val="18"/>
                <w:szCs w:val="18"/>
                <w:color w:val="0000EE"/>
              </w:rPr>
            </w:pPr>
            <w:hyperlink w:anchor="page118">
              <w:r>
                <w:rPr>
                  <w:rFonts w:ascii="Arial" w:cs="Arial" w:eastAsia="Arial" w:hAnsi="Arial"/>
                  <w:sz w:val="18"/>
                  <w:szCs w:val="18"/>
                  <w:color w:val="0000EE"/>
                </w:rPr>
                <w:t>QUANTITATIVE AND QUALITATIVE DISCLOSURES ABOUT MARKET RISK</w:t>
              </w:r>
            </w:hyperlink>
          </w:p>
        </w:tc>
        <w:tc>
          <w:tcPr>
            <w:tcW w:w="380" w:type="dxa"/>
            <w:vAlign w:val="bottom"/>
            <w:gridSpan w:val="3"/>
          </w:tcPr>
          <w:p>
            <w:pPr>
              <w:ind w:left="10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114</w:t>
              </w:r>
            </w:hyperlink>
          </w:p>
        </w:tc>
        <w:tc>
          <w:tcPr>
            <w:tcW w:w="8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900" w:type="dxa"/>
            <w:vAlign w:val="bottom"/>
            <w:gridSpan w:val="10"/>
            <w:shd w:val="clear" w:color="auto" w:fill="CCEEFF"/>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12.</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18">
              <w:r>
                <w:rPr>
                  <w:rFonts w:ascii="Arial" w:cs="Arial" w:eastAsia="Arial" w:hAnsi="Arial"/>
                  <w:sz w:val="18"/>
                  <w:szCs w:val="18"/>
                  <w:color w:val="0000EE"/>
                </w:rPr>
                <w:t>DESCRIPTION OF SECURITIES OTHER THAN EQUITY SECURITIES</w:t>
              </w:r>
            </w:hyperlink>
          </w:p>
        </w:tc>
        <w:tc>
          <w:tcPr>
            <w:tcW w:w="380" w:type="dxa"/>
            <w:vAlign w:val="bottom"/>
            <w:gridSpan w:val="3"/>
            <w:shd w:val="clear" w:color="auto" w:fill="CCEEFF"/>
          </w:tcPr>
          <w:p>
            <w:pPr>
              <w:ind w:left="10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114</w:t>
              </w:r>
            </w:hyperlink>
          </w:p>
        </w:tc>
        <w:tc>
          <w:tcPr>
            <w:tcW w:w="8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20" w:type="dxa"/>
            <w:vAlign w:val="bottom"/>
            <w:gridSpan w:val="9"/>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A.</w:t>
              </w:r>
            </w:hyperlink>
          </w:p>
        </w:tc>
        <w:tc>
          <w:tcPr>
            <w:tcW w:w="7060" w:type="dxa"/>
            <w:vAlign w:val="bottom"/>
            <w:gridSpan w:val="29"/>
          </w:tcPr>
          <w:p>
            <w:pPr>
              <w:ind w:left="80"/>
              <w:spacing w:after="0"/>
              <w:rPr>
                <w:rFonts w:ascii="Arial" w:cs="Arial" w:eastAsia="Arial" w:hAnsi="Arial"/>
                <w:sz w:val="18"/>
                <w:szCs w:val="18"/>
                <w:color w:val="0000EE"/>
              </w:rPr>
            </w:pPr>
            <w:hyperlink w:anchor="page118">
              <w:r>
                <w:rPr>
                  <w:rFonts w:ascii="Arial" w:cs="Arial" w:eastAsia="Arial" w:hAnsi="Arial"/>
                  <w:sz w:val="18"/>
                  <w:szCs w:val="18"/>
                  <w:color w:val="0000EE"/>
                </w:rPr>
                <w:t>Debt Securities</w:t>
              </w:r>
            </w:hyperlink>
          </w:p>
        </w:tc>
        <w:tc>
          <w:tcPr>
            <w:tcW w:w="380" w:type="dxa"/>
            <w:vAlign w:val="bottom"/>
            <w:gridSpan w:val="3"/>
          </w:tcPr>
          <w:p>
            <w:pPr>
              <w:ind w:left="10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114</w:t>
              </w:r>
            </w:hyperlink>
          </w:p>
        </w:tc>
        <w:tc>
          <w:tcPr>
            <w:tcW w:w="8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20" w:type="dxa"/>
            <w:vAlign w:val="bottom"/>
            <w:gridSpan w:val="9"/>
            <w:shd w:val="clear" w:color="auto" w:fill="CCEEFF"/>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B.</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18">
              <w:r>
                <w:rPr>
                  <w:rFonts w:ascii="Arial" w:cs="Arial" w:eastAsia="Arial" w:hAnsi="Arial"/>
                  <w:sz w:val="18"/>
                  <w:szCs w:val="18"/>
                  <w:color w:val="0000EE"/>
                </w:rPr>
                <w:t>Warrants and Rights</w:t>
              </w:r>
            </w:hyperlink>
          </w:p>
        </w:tc>
        <w:tc>
          <w:tcPr>
            <w:tcW w:w="380" w:type="dxa"/>
            <w:vAlign w:val="bottom"/>
            <w:gridSpan w:val="3"/>
            <w:shd w:val="clear" w:color="auto" w:fill="CCEEFF"/>
          </w:tcPr>
          <w:p>
            <w:pPr>
              <w:ind w:left="10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114</w:t>
              </w:r>
            </w:hyperlink>
          </w:p>
        </w:tc>
        <w:tc>
          <w:tcPr>
            <w:tcW w:w="8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20" w:type="dxa"/>
            <w:vAlign w:val="bottom"/>
            <w:gridSpan w:val="9"/>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w:t>
              </w:r>
            </w:hyperlink>
          </w:p>
        </w:tc>
        <w:tc>
          <w:tcPr>
            <w:tcW w:w="7060" w:type="dxa"/>
            <w:vAlign w:val="bottom"/>
            <w:gridSpan w:val="29"/>
          </w:tcPr>
          <w:p>
            <w:pPr>
              <w:ind w:left="80"/>
              <w:spacing w:after="0"/>
              <w:rPr>
                <w:rFonts w:ascii="Arial" w:cs="Arial" w:eastAsia="Arial" w:hAnsi="Arial"/>
                <w:sz w:val="18"/>
                <w:szCs w:val="18"/>
                <w:color w:val="0000EE"/>
              </w:rPr>
            </w:pPr>
            <w:hyperlink w:anchor="page118">
              <w:r>
                <w:rPr>
                  <w:rFonts w:ascii="Arial" w:cs="Arial" w:eastAsia="Arial" w:hAnsi="Arial"/>
                  <w:sz w:val="18"/>
                  <w:szCs w:val="18"/>
                  <w:color w:val="0000EE"/>
                </w:rPr>
                <w:t>Other Securities.</w:t>
              </w:r>
            </w:hyperlink>
          </w:p>
        </w:tc>
        <w:tc>
          <w:tcPr>
            <w:tcW w:w="380" w:type="dxa"/>
            <w:vAlign w:val="bottom"/>
            <w:gridSpan w:val="3"/>
          </w:tcPr>
          <w:p>
            <w:pPr>
              <w:ind w:left="10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114</w:t>
              </w:r>
            </w:hyperlink>
          </w:p>
        </w:tc>
        <w:tc>
          <w:tcPr>
            <w:tcW w:w="8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20" w:type="dxa"/>
            <w:vAlign w:val="bottom"/>
            <w:gridSpan w:val="9"/>
            <w:shd w:val="clear" w:color="auto" w:fill="CCEEFF"/>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D.</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18">
              <w:r>
                <w:rPr>
                  <w:rFonts w:ascii="Arial" w:cs="Arial" w:eastAsia="Arial" w:hAnsi="Arial"/>
                  <w:sz w:val="18"/>
                  <w:szCs w:val="18"/>
                  <w:color w:val="0000EE"/>
                </w:rPr>
                <w:t>American Depositary Shares</w:t>
              </w:r>
            </w:hyperlink>
          </w:p>
        </w:tc>
        <w:tc>
          <w:tcPr>
            <w:tcW w:w="380" w:type="dxa"/>
            <w:vAlign w:val="bottom"/>
            <w:gridSpan w:val="3"/>
            <w:shd w:val="clear" w:color="auto" w:fill="CCEEFF"/>
          </w:tcPr>
          <w:p>
            <w:pPr>
              <w:ind w:left="10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114</w:t>
              </w:r>
            </w:hyperlink>
          </w:p>
        </w:tc>
        <w:tc>
          <w:tcPr>
            <w:tcW w:w="8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10"/>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13.</w:t>
              </w:r>
            </w:hyperlink>
          </w:p>
        </w:tc>
        <w:tc>
          <w:tcPr>
            <w:tcW w:w="7060" w:type="dxa"/>
            <w:vAlign w:val="bottom"/>
            <w:gridSpan w:val="29"/>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DEFAULTS, DIVIDEND ARREARAGES AND DELINQUENCIES</w:t>
              </w:r>
            </w:hyperlink>
          </w:p>
        </w:tc>
        <w:tc>
          <w:tcPr>
            <w:tcW w:w="460" w:type="dxa"/>
            <w:vAlign w:val="bottom"/>
            <w:gridSpan w:val="4"/>
          </w:tcPr>
          <w:p>
            <w:pPr>
              <w:ind w:left="100"/>
              <w:spacing w:after="0"/>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4"/>
        </w:trPr>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900" w:type="dxa"/>
            <w:vAlign w:val="bottom"/>
            <w:gridSpan w:val="10"/>
            <w:shd w:val="clear" w:color="auto" w:fill="CCEEFF"/>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14.</w:t>
              </w:r>
            </w:hyperlink>
          </w:p>
        </w:tc>
        <w:tc>
          <w:tcPr>
            <w:tcW w:w="7060" w:type="dxa"/>
            <w:vAlign w:val="bottom"/>
            <w:gridSpan w:val="29"/>
            <w:shd w:val="clear" w:color="auto" w:fill="CCEEFF"/>
          </w:tcPr>
          <w:p>
            <w:pPr>
              <w:ind w:left="80"/>
              <w:spacing w:after="0"/>
              <w:rPr>
                <w:rFonts w:ascii="Arial" w:cs="Arial" w:eastAsia="Arial" w:hAnsi="Arial"/>
                <w:sz w:val="18"/>
                <w:szCs w:val="18"/>
                <w:color w:val="0000EE"/>
                <w:w w:val="97"/>
              </w:rPr>
            </w:pPr>
            <w:hyperlink w:anchor="page128">
              <w:r>
                <w:rPr>
                  <w:rFonts w:ascii="Arial" w:cs="Arial" w:eastAsia="Arial" w:hAnsi="Arial"/>
                  <w:sz w:val="18"/>
                  <w:szCs w:val="18"/>
                  <w:color w:val="0000EE"/>
                  <w:w w:val="97"/>
                </w:rPr>
                <w:t>MATERIAL MODIFICATIONS TO THE RIGHTS OF SECURITY HOLDERS AND USE OF</w:t>
              </w:r>
            </w:hyperlink>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6780" w:type="dxa"/>
            <w:vAlign w:val="bottom"/>
            <w:tcBorders>
              <w:top w:val="single" w:sz="8" w:color="0000EE"/>
            </w:tcBorders>
            <w:gridSpan w:val="26"/>
            <w:shd w:val="clear" w:color="auto" w:fill="CCEEFF"/>
          </w:tcPr>
          <w:p>
            <w:pPr>
              <w:ind w:left="6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PROCEEDS</w:t>
              </w:r>
            </w:hyperlink>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gridSpan w:val="4"/>
            <w:shd w:val="clear" w:color="auto" w:fill="CCEEFF"/>
          </w:tcPr>
          <w:p>
            <w:pPr>
              <w:ind w:left="10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10"/>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15.</w:t>
              </w:r>
            </w:hyperlink>
          </w:p>
        </w:tc>
        <w:tc>
          <w:tcPr>
            <w:tcW w:w="7060" w:type="dxa"/>
            <w:vAlign w:val="bottom"/>
            <w:gridSpan w:val="29"/>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CONTROLS AND PROCEDURES</w:t>
              </w:r>
            </w:hyperlink>
          </w:p>
        </w:tc>
        <w:tc>
          <w:tcPr>
            <w:tcW w:w="460" w:type="dxa"/>
            <w:vAlign w:val="bottom"/>
            <w:gridSpan w:val="4"/>
          </w:tcPr>
          <w:p>
            <w:pPr>
              <w:ind w:left="100"/>
              <w:spacing w:after="0"/>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5"/>
        </w:trPr>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900" w:type="dxa"/>
            <w:vAlign w:val="bottom"/>
            <w:gridSpan w:val="10"/>
            <w:shd w:val="clear" w:color="auto" w:fill="CCEEFF"/>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16.</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[RESERVED]</w:t>
              </w:r>
            </w:hyperlink>
          </w:p>
        </w:tc>
        <w:tc>
          <w:tcPr>
            <w:tcW w:w="460" w:type="dxa"/>
            <w:vAlign w:val="bottom"/>
            <w:gridSpan w:val="4"/>
            <w:shd w:val="clear" w:color="auto" w:fill="CCEEFF"/>
          </w:tcPr>
          <w:p>
            <w:pPr>
              <w:ind w:left="100"/>
              <w:spacing w:after="0"/>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10"/>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16A.</w:t>
              </w:r>
            </w:hyperlink>
          </w:p>
        </w:tc>
        <w:tc>
          <w:tcPr>
            <w:tcW w:w="7060" w:type="dxa"/>
            <w:vAlign w:val="bottom"/>
            <w:gridSpan w:val="29"/>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AUDIT COMMITTEE FINANCIAL EXPERT</w:t>
              </w:r>
            </w:hyperlink>
          </w:p>
        </w:tc>
        <w:tc>
          <w:tcPr>
            <w:tcW w:w="460" w:type="dxa"/>
            <w:vAlign w:val="bottom"/>
            <w:gridSpan w:val="4"/>
          </w:tcPr>
          <w:p>
            <w:pPr>
              <w:ind w:left="100"/>
              <w:spacing w:after="0"/>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4"/>
        </w:trPr>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900" w:type="dxa"/>
            <w:vAlign w:val="bottom"/>
            <w:gridSpan w:val="10"/>
            <w:shd w:val="clear" w:color="auto" w:fill="CCEEFF"/>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16B.</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CODE OF ETHICS</w:t>
              </w:r>
            </w:hyperlink>
          </w:p>
        </w:tc>
        <w:tc>
          <w:tcPr>
            <w:tcW w:w="460" w:type="dxa"/>
            <w:vAlign w:val="bottom"/>
            <w:gridSpan w:val="4"/>
            <w:shd w:val="clear" w:color="auto" w:fill="CCEEFF"/>
          </w:tcPr>
          <w:p>
            <w:pPr>
              <w:ind w:left="100"/>
              <w:spacing w:after="0"/>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10"/>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16C.</w:t>
              </w:r>
            </w:hyperlink>
          </w:p>
        </w:tc>
        <w:tc>
          <w:tcPr>
            <w:tcW w:w="7060" w:type="dxa"/>
            <w:vAlign w:val="bottom"/>
            <w:gridSpan w:val="29"/>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PRINCIPAL ACCOUNTING FEES AND SERVICES</w:t>
              </w:r>
            </w:hyperlink>
          </w:p>
        </w:tc>
        <w:tc>
          <w:tcPr>
            <w:tcW w:w="460" w:type="dxa"/>
            <w:vAlign w:val="bottom"/>
            <w:gridSpan w:val="4"/>
          </w:tcPr>
          <w:p>
            <w:pPr>
              <w:ind w:left="100"/>
              <w:spacing w:after="0"/>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5"/>
        </w:trPr>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29"/>
        </w:trPr>
        <w:tc>
          <w:tcPr>
            <w:tcW w:w="900" w:type="dxa"/>
            <w:vAlign w:val="bottom"/>
            <w:gridSpan w:val="10"/>
            <w:shd w:val="clear" w:color="auto" w:fill="CCEEFF"/>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16D.</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EXEMPTIONS FROM THE LISTING STANDARDS FOR AUDIT COMMITTEES</w:t>
              </w:r>
            </w:hyperlink>
          </w:p>
        </w:tc>
        <w:tc>
          <w:tcPr>
            <w:tcW w:w="460" w:type="dxa"/>
            <w:vAlign w:val="bottom"/>
            <w:gridSpan w:val="4"/>
            <w:shd w:val="clear" w:color="auto" w:fill="CCEEFF"/>
          </w:tcPr>
          <w:p>
            <w:pPr>
              <w:ind w:left="100"/>
              <w:spacing w:after="0"/>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820" w:type="dxa"/>
            <w:vAlign w:val="bottom"/>
            <w:gridSpan w:val="8"/>
          </w:tcPr>
          <w:p>
            <w:pPr>
              <w:spacing w:after="0"/>
              <w:rPr>
                <w:rFonts w:ascii="Arial" w:cs="Arial" w:eastAsia="Arial" w:hAnsi="Arial"/>
                <w:sz w:val="18"/>
                <w:szCs w:val="18"/>
                <w:color w:val="0000EE"/>
                <w:w w:val="94"/>
              </w:rPr>
            </w:pPr>
            <w:hyperlink w:anchor="page128">
              <w:r>
                <w:rPr>
                  <w:rFonts w:ascii="Arial" w:cs="Arial" w:eastAsia="Arial" w:hAnsi="Arial"/>
                  <w:sz w:val="18"/>
                  <w:szCs w:val="18"/>
                  <w:color w:val="0000EE"/>
                  <w:w w:val="94"/>
                </w:rPr>
                <w:t>ITEM 16E.</w:t>
              </w:r>
            </w:hyperlink>
          </w:p>
        </w:tc>
        <w:tc>
          <w:tcPr>
            <w:tcW w:w="80" w:type="dxa"/>
            <w:vAlign w:val="bottom"/>
            <w:gridSpan w:val="2"/>
          </w:tcPr>
          <w:p>
            <w:pPr>
              <w:spacing w:after="0"/>
              <w:rPr>
                <w:sz w:val="19"/>
                <w:szCs w:val="19"/>
                <w:color w:val="auto"/>
              </w:rPr>
            </w:pPr>
          </w:p>
        </w:tc>
        <w:tc>
          <w:tcPr>
            <w:tcW w:w="7060" w:type="dxa"/>
            <w:vAlign w:val="bottom"/>
            <w:gridSpan w:val="29"/>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PURCHASES OF EQUITY SECURITIES BY THE ISSUER AND AFFILIATED</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820" w:type="dxa"/>
            <w:vAlign w:val="bottom"/>
            <w:tcBorders>
              <w:top w:val="single" w:sz="8" w:color="0000EE"/>
            </w:tcBorders>
            <w:gridSpan w:val="23"/>
          </w:tcPr>
          <w:p>
            <w:pPr>
              <w:ind w:left="6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PURCHASERS</w:t>
              </w:r>
            </w:hyperlink>
          </w:p>
        </w:tc>
        <w:tc>
          <w:tcPr>
            <w:tcW w:w="1040" w:type="dxa"/>
            <w:vAlign w:val="bottom"/>
            <w:gridSpan w:val="4"/>
          </w:tcPr>
          <w:p>
            <w:pPr>
              <w:spacing w:after="0"/>
              <w:rPr>
                <w:sz w:val="17"/>
                <w:szCs w:val="17"/>
                <w:color w:val="auto"/>
              </w:rPr>
            </w:pPr>
          </w:p>
        </w:tc>
        <w:tc>
          <w:tcPr>
            <w:tcW w:w="460" w:type="dxa"/>
            <w:vAlign w:val="bottom"/>
            <w:gridSpan w:val="4"/>
          </w:tcPr>
          <w:p>
            <w:pPr>
              <w:ind w:left="100"/>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5"/>
        </w:trPr>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900" w:type="dxa"/>
            <w:vAlign w:val="bottom"/>
            <w:gridSpan w:val="10"/>
            <w:shd w:val="clear" w:color="auto" w:fill="CCEEFF"/>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16F.</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CHANGE IN REGISTRANT’S CERTIFYING ACCOUNTANT</w:t>
              </w:r>
            </w:hyperlink>
          </w:p>
        </w:tc>
        <w:tc>
          <w:tcPr>
            <w:tcW w:w="460" w:type="dxa"/>
            <w:vAlign w:val="bottom"/>
            <w:gridSpan w:val="4"/>
            <w:shd w:val="clear" w:color="auto" w:fill="CCEEFF"/>
          </w:tcPr>
          <w:p>
            <w:pPr>
              <w:ind w:left="100"/>
              <w:spacing w:after="0"/>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30"/>
        </w:trPr>
        <w:tc>
          <w:tcPr>
            <w:tcW w:w="900" w:type="dxa"/>
            <w:vAlign w:val="bottom"/>
            <w:gridSpan w:val="10"/>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16G.</w:t>
              </w:r>
            </w:hyperlink>
          </w:p>
        </w:tc>
        <w:tc>
          <w:tcPr>
            <w:tcW w:w="7060" w:type="dxa"/>
            <w:vAlign w:val="bottom"/>
            <w:gridSpan w:val="29"/>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CORPORATE GOVERNANCE</w:t>
              </w:r>
            </w:hyperlink>
          </w:p>
        </w:tc>
        <w:tc>
          <w:tcPr>
            <w:tcW w:w="460" w:type="dxa"/>
            <w:vAlign w:val="bottom"/>
            <w:gridSpan w:val="4"/>
          </w:tcPr>
          <w:p>
            <w:pPr>
              <w:ind w:left="100"/>
              <w:spacing w:after="0"/>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5"/>
        </w:trPr>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900" w:type="dxa"/>
            <w:vAlign w:val="bottom"/>
            <w:gridSpan w:val="10"/>
            <w:shd w:val="clear" w:color="auto" w:fill="CCEEFF"/>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ITEM 16H.</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28">
              <w:r>
                <w:rPr>
                  <w:rFonts w:ascii="Arial" w:cs="Arial" w:eastAsia="Arial" w:hAnsi="Arial"/>
                  <w:sz w:val="18"/>
                  <w:szCs w:val="18"/>
                  <w:color w:val="0000EE"/>
                </w:rPr>
                <w:t>MINE SAFETY DISCLOSURE</w:t>
              </w:r>
            </w:hyperlink>
          </w:p>
        </w:tc>
        <w:tc>
          <w:tcPr>
            <w:tcW w:w="460" w:type="dxa"/>
            <w:vAlign w:val="bottom"/>
            <w:gridSpan w:val="4"/>
            <w:shd w:val="clear" w:color="auto" w:fill="CCEEFF"/>
          </w:tcPr>
          <w:p>
            <w:pPr>
              <w:ind w:left="100"/>
              <w:spacing w:after="0"/>
              <w:rPr>
                <w:rFonts w:ascii="Arial" w:cs="Arial" w:eastAsia="Arial" w:hAnsi="Arial"/>
                <w:sz w:val="18"/>
                <w:szCs w:val="18"/>
                <w:color w:val="0000EE"/>
              </w:rPr>
            </w:pPr>
            <w:hyperlink w:anchor="page128">
              <w:r>
                <w:rPr>
                  <w:rFonts w:ascii="Arial" w:cs="Arial" w:eastAsia="Arial" w:hAnsi="Arial"/>
                  <w:sz w:val="18"/>
                  <w:szCs w:val="18"/>
                  <w:color w:val="0000EE"/>
                </w:rPr>
                <w:t>124</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10"/>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ITEM 17.</w:t>
              </w:r>
            </w:hyperlink>
          </w:p>
        </w:tc>
        <w:tc>
          <w:tcPr>
            <w:tcW w:w="7060" w:type="dxa"/>
            <w:vAlign w:val="bottom"/>
            <w:gridSpan w:val="29"/>
          </w:tcPr>
          <w:p>
            <w:pPr>
              <w:ind w:left="80"/>
              <w:spacing w:after="0"/>
              <w:rPr>
                <w:rFonts w:ascii="Arial" w:cs="Arial" w:eastAsia="Arial" w:hAnsi="Arial"/>
                <w:sz w:val="18"/>
                <w:szCs w:val="18"/>
                <w:color w:val="0000EE"/>
              </w:rPr>
            </w:pPr>
            <w:hyperlink w:anchor="page129">
              <w:r>
                <w:rPr>
                  <w:rFonts w:ascii="Arial" w:cs="Arial" w:eastAsia="Arial" w:hAnsi="Arial"/>
                  <w:sz w:val="18"/>
                  <w:szCs w:val="18"/>
                  <w:color w:val="0000EE"/>
                </w:rPr>
                <w:t>FINANCIAL STATEMENTS</w:t>
              </w:r>
            </w:hyperlink>
          </w:p>
        </w:tc>
        <w:tc>
          <w:tcPr>
            <w:tcW w:w="460" w:type="dxa"/>
            <w:vAlign w:val="bottom"/>
            <w:gridSpan w:val="4"/>
          </w:tcPr>
          <w:p>
            <w:pPr>
              <w:ind w:left="100"/>
              <w:spacing w:after="0"/>
              <w:rPr>
                <w:rFonts w:ascii="Arial" w:cs="Arial" w:eastAsia="Arial" w:hAnsi="Arial"/>
                <w:sz w:val="18"/>
                <w:szCs w:val="18"/>
                <w:color w:val="0000EE"/>
              </w:rPr>
            </w:pPr>
            <w:hyperlink w:anchor="page129">
              <w:r>
                <w:rPr>
                  <w:rFonts w:ascii="Arial" w:cs="Arial" w:eastAsia="Arial" w:hAnsi="Arial"/>
                  <w:sz w:val="18"/>
                  <w:szCs w:val="18"/>
                  <w:color w:val="0000EE"/>
                </w:rPr>
                <w:t>125</w:t>
              </w:r>
            </w:hyperlink>
          </w:p>
        </w:tc>
      </w:tr>
      <w:tr>
        <w:trPr>
          <w:trHeight w:val="75"/>
        </w:trPr>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900" w:type="dxa"/>
            <w:vAlign w:val="bottom"/>
            <w:gridSpan w:val="10"/>
            <w:shd w:val="clear" w:color="auto" w:fill="CCEEFF"/>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ITEM 18.</w:t>
              </w:r>
            </w:hyperlink>
          </w:p>
        </w:tc>
        <w:tc>
          <w:tcPr>
            <w:tcW w:w="7060" w:type="dxa"/>
            <w:vAlign w:val="bottom"/>
            <w:gridSpan w:val="29"/>
            <w:shd w:val="clear" w:color="auto" w:fill="CCEEFF"/>
          </w:tcPr>
          <w:p>
            <w:pPr>
              <w:ind w:left="80"/>
              <w:spacing w:after="0"/>
              <w:rPr>
                <w:rFonts w:ascii="Arial" w:cs="Arial" w:eastAsia="Arial" w:hAnsi="Arial"/>
                <w:sz w:val="18"/>
                <w:szCs w:val="18"/>
                <w:color w:val="0000EE"/>
              </w:rPr>
            </w:pPr>
            <w:hyperlink w:anchor="page129">
              <w:r>
                <w:rPr>
                  <w:rFonts w:ascii="Arial" w:cs="Arial" w:eastAsia="Arial" w:hAnsi="Arial"/>
                  <w:sz w:val="18"/>
                  <w:szCs w:val="18"/>
                  <w:color w:val="0000EE"/>
                </w:rPr>
                <w:t>FINANCIAL STATEMENTS</w:t>
              </w:r>
            </w:hyperlink>
          </w:p>
        </w:tc>
        <w:tc>
          <w:tcPr>
            <w:tcW w:w="460" w:type="dxa"/>
            <w:vAlign w:val="bottom"/>
            <w:gridSpan w:val="4"/>
            <w:shd w:val="clear" w:color="auto" w:fill="CCEEFF"/>
          </w:tcPr>
          <w:p>
            <w:pPr>
              <w:ind w:left="100"/>
              <w:spacing w:after="0"/>
              <w:rPr>
                <w:rFonts w:ascii="Arial" w:cs="Arial" w:eastAsia="Arial" w:hAnsi="Arial"/>
                <w:sz w:val="18"/>
                <w:szCs w:val="18"/>
                <w:color w:val="0000EE"/>
              </w:rPr>
            </w:pPr>
            <w:hyperlink w:anchor="page129">
              <w:r>
                <w:rPr>
                  <w:rFonts w:ascii="Arial" w:cs="Arial" w:eastAsia="Arial" w:hAnsi="Arial"/>
                  <w:sz w:val="18"/>
                  <w:szCs w:val="18"/>
                  <w:color w:val="0000EE"/>
                </w:rPr>
                <w:t>125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900" w:type="dxa"/>
            <w:vAlign w:val="bottom"/>
            <w:gridSpan w:val="10"/>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ITEM 19.</w:t>
              </w:r>
            </w:hyperlink>
          </w:p>
        </w:tc>
        <w:tc>
          <w:tcPr>
            <w:tcW w:w="7060" w:type="dxa"/>
            <w:vAlign w:val="bottom"/>
            <w:gridSpan w:val="29"/>
          </w:tcPr>
          <w:p>
            <w:pPr>
              <w:ind w:left="80"/>
              <w:spacing w:after="0"/>
              <w:rPr>
                <w:rFonts w:ascii="Arial" w:cs="Arial" w:eastAsia="Arial" w:hAnsi="Arial"/>
                <w:sz w:val="18"/>
                <w:szCs w:val="18"/>
                <w:color w:val="0000EE"/>
              </w:rPr>
            </w:pPr>
            <w:hyperlink w:anchor="page130">
              <w:r>
                <w:rPr>
                  <w:rFonts w:ascii="Arial" w:cs="Arial" w:eastAsia="Arial" w:hAnsi="Arial"/>
                  <w:sz w:val="18"/>
                  <w:szCs w:val="18"/>
                  <w:color w:val="0000EE"/>
                </w:rPr>
                <w:t>EXHIBITS</w:t>
              </w:r>
            </w:hyperlink>
          </w:p>
        </w:tc>
        <w:tc>
          <w:tcPr>
            <w:tcW w:w="460" w:type="dxa"/>
            <w:vAlign w:val="bottom"/>
            <w:gridSpan w:val="4"/>
          </w:tcPr>
          <w:p>
            <w:pPr>
              <w:ind w:left="100"/>
              <w:spacing w:after="0"/>
              <w:rPr>
                <w:rFonts w:ascii="Arial" w:cs="Arial" w:eastAsia="Arial" w:hAnsi="Arial"/>
                <w:sz w:val="18"/>
                <w:szCs w:val="18"/>
                <w:color w:val="0000EE"/>
              </w:rPr>
            </w:pPr>
            <w:hyperlink w:anchor="page130">
              <w:r>
                <w:rPr>
                  <w:rFonts w:ascii="Arial" w:cs="Arial" w:eastAsia="Arial" w:hAnsi="Arial"/>
                  <w:sz w:val="18"/>
                  <w:szCs w:val="18"/>
                  <w:color w:val="0000EE"/>
                </w:rPr>
                <w:t>126</w:t>
              </w:r>
            </w:hyperlink>
          </w:p>
        </w:tc>
      </w:tr>
      <w:tr>
        <w:trPr>
          <w:trHeight w:val="75"/>
        </w:trPr>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r>
      <w:tr>
        <w:trPr>
          <w:trHeight w:val="230"/>
        </w:trPr>
        <w:tc>
          <w:tcPr>
            <w:tcW w:w="7960" w:type="dxa"/>
            <w:vAlign w:val="bottom"/>
            <w:gridSpan w:val="39"/>
            <w:shd w:val="clear" w:color="auto" w:fill="CCEEFF"/>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INDEX TO EXHIBITS</w:t>
              </w:r>
            </w:hyperlink>
          </w:p>
        </w:tc>
        <w:tc>
          <w:tcPr>
            <w:tcW w:w="460" w:type="dxa"/>
            <w:vAlign w:val="bottom"/>
            <w:gridSpan w:val="4"/>
            <w:shd w:val="clear" w:color="auto" w:fill="CCEEFF"/>
          </w:tcPr>
          <w:p>
            <w:pPr>
              <w:ind w:left="100"/>
              <w:spacing w:after="0"/>
              <w:rPr>
                <w:rFonts w:ascii="Arial" w:cs="Arial" w:eastAsia="Arial" w:hAnsi="Arial"/>
                <w:sz w:val="18"/>
                <w:szCs w:val="18"/>
                <w:color w:val="0000EE"/>
              </w:rPr>
            </w:pPr>
            <w:hyperlink w:anchor="page130">
              <w:r>
                <w:rPr>
                  <w:rFonts w:ascii="Arial" w:cs="Arial" w:eastAsia="Arial" w:hAnsi="Arial"/>
                  <w:sz w:val="18"/>
                  <w:szCs w:val="18"/>
                  <w:color w:val="0000EE"/>
                </w:rPr>
                <w:t>126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229"/>
        </w:trPr>
        <w:tc>
          <w:tcPr>
            <w:tcW w:w="110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31">
              <w:r>
                <w:rPr>
                  <w:rFonts w:ascii="Arial" w:cs="Arial" w:eastAsia="Arial" w:hAnsi="Arial"/>
                  <w:sz w:val="18"/>
                  <w:szCs w:val="18"/>
                  <w:color w:val="0000EE"/>
                  <w:w w:val="92"/>
                </w:rPr>
                <w:t>SIGNATURES</w:t>
              </w:r>
            </w:hyperlink>
          </w:p>
        </w:tc>
        <w:tc>
          <w:tcPr>
            <w:tcW w:w="6860" w:type="dxa"/>
            <w:vAlign w:val="bottom"/>
            <w:gridSpan w:val="27"/>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127</w:t>
              </w:r>
            </w:hyperlink>
          </w:p>
        </w:tc>
        <w:tc>
          <w:tcPr>
            <w:tcW w:w="80" w:type="dxa"/>
            <w:vAlign w:val="bottom"/>
          </w:tcPr>
          <w:p>
            <w:pPr>
              <w:spacing w:after="0"/>
              <w:rPr>
                <w:sz w:val="19"/>
                <w:szCs w:val="19"/>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 AND USE OF CERTAIN TERMS</w:t>
      </w:r>
    </w:p>
    <w:p>
      <w:pPr>
        <w:spacing w:after="0" w:line="121"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We were incorporated under the laws of Australia in 2012 under the name Graphitecorp Pty Limited. In 2015, we completed an initial public offering of our ordinary shares and the listing of our ordinary shares on the Australian Securities Exchange, or the ASX, and changed our name to GRAPHITECORP Limited. In 2017, we changed our name to NOVONIX Limited. We are submitting this registration statement on Form 20-F in anticipation of the listing of our American Depositary Shares (“ADSs”) on the Nasdaq Stock Market LLC under the symbol “NVX”.</w:t>
      </w:r>
    </w:p>
    <w:p>
      <w:pPr>
        <w:spacing w:after="0" w:line="2" w:lineRule="exact"/>
        <w:rPr>
          <w:sz w:val="20"/>
          <w:szCs w:val="20"/>
          <w:color w:val="auto"/>
        </w:rPr>
      </w:pPr>
    </w:p>
    <w:p>
      <w:pPr>
        <w:ind w:left="580" w:hanging="288"/>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 acting as depositary, will register and deliver our ADSs, each of which will represent one ordinary share.</w:t>
      </w:r>
    </w:p>
    <w:p>
      <w:pPr>
        <w:spacing w:after="0" w:line="114"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We have prepared this registration statement using a number of conventions, which you should consider when reading the information contained herein. In this registration statement, “NOVONIX,” the “Company,” the “Group”, “our company,” “we,” “us” and “our” refer to NOVONIX Limited and its consolidated subsidiaries, taken as a whole.. Additionally, this registration statement uses the following conventions:</w:t>
      </w:r>
    </w:p>
    <w:p>
      <w:pPr>
        <w:spacing w:after="0" w:line="63"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and “U.S. dollars” and “dollars” mean U.S. dollars;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mean Australian dollars;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 mean Canadian dollars, unless otherwise noted;</w:t>
      </w:r>
    </w:p>
    <w:p>
      <w:pPr>
        <w:spacing w:after="0" w:line="117"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“ADSs” mean American depositary shares, each of which represents one of our ordinary shares, no par value;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“ADRs” mean the American depositary receipts that evidence the ADSs;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“NASDAQ” refers to the Nasdaq Stock Market LLC.</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This registration statement contains forward-looking statements about us and our industry that involve substantial risks and uncertainties. All statements other than statements of historical facts contained in this registration statement,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58" w:lineRule="exact"/>
        <w:rPr>
          <w:sz w:val="20"/>
          <w:szCs w:val="20"/>
          <w:color w:val="auto"/>
        </w:rPr>
      </w:pPr>
    </w:p>
    <w:p>
      <w:pPr>
        <w:ind w:left="300" w:right="519" w:firstLine="360"/>
        <w:spacing w:after="0" w:line="275"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registration statement, regarding, among other things:</w:t>
      </w:r>
    </w:p>
    <w:p>
      <w:pPr>
        <w:spacing w:after="0" w:line="68" w:lineRule="exact"/>
        <w:rPr>
          <w:sz w:val="20"/>
          <w:szCs w:val="20"/>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Australia and other jurisdictions;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perceived benefits of the transaction between the Company and Phillips 66;</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scale-up production of our anode or cathode materials;</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continuation of our sponsorship of the Research Group of Dr. Mark Obrovac at Dalhousie University for the development of our technology;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management, and qualified personnel;</w:t>
      </w:r>
    </w:p>
    <w:p>
      <w:pPr>
        <w:spacing w:after="0" w:line="117"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62"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of the proceeds from the Phillips 66 Transaction;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future trading price of the ADSs and impact of securities analysts’ reports on these prices; and</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These risks are not exhaustive. Other sections of this registration statement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80"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registration statement primarily on our current expectations and projections about future events and trends that we believe may affect our business, financial condition and operating results. We undertake no obligation to update any forward-looking statements made in this registration statement to reflect events or circumstances after the date of this registration statement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3"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registration statement.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4"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You should read this registration statement and the documents that we reference in this registration statement and have filed as exhibits to the registration statement of which this registration statement is a part with the understanding that our actual future results, levels of activity, performance and achievements may be different from what we expect. We qualify all of our forward-looking statements by these cautionary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17" w:lineRule="exact"/>
        <w:rPr>
          <w:sz w:val="20"/>
          <w:szCs w:val="20"/>
          <w:color w:val="auto"/>
        </w:rPr>
      </w:pPr>
    </w:p>
    <w:p>
      <w:pPr>
        <w:ind w:left="640" w:hanging="348"/>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For information on our directors and senior management, see “</w:t>
      </w:r>
      <w:r>
        <w:rPr>
          <w:rFonts w:ascii="Arial" w:cs="Arial" w:eastAsia="Arial" w:hAnsi="Arial"/>
          <w:sz w:val="16"/>
          <w:szCs w:val="16"/>
          <w:i w:val="1"/>
          <w:iCs w:val="1"/>
          <w:color w:val="auto"/>
        </w:rPr>
        <w:t>Item 6A. Directors and Senior Management.”</w:t>
      </w:r>
    </w:p>
    <w:p>
      <w:pPr>
        <w:spacing w:after="0" w:line="244" w:lineRule="exact"/>
        <w:rPr>
          <w:rFonts w:ascii="Arial" w:cs="Arial" w:eastAsia="Arial" w:hAnsi="Arial"/>
          <w:sz w:val="18"/>
          <w:szCs w:val="18"/>
          <w:b w:val="1"/>
          <w:bCs w:val="1"/>
          <w:color w:val="auto"/>
        </w:rPr>
      </w:pPr>
    </w:p>
    <w:p>
      <w:pPr>
        <w:ind w:left="640" w:hanging="348"/>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Advisors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U.S. legal counsel is:</w:t>
      </w:r>
    </w:p>
    <w:p>
      <w:pPr>
        <w:spacing w:after="0" w:line="225" w:lineRule="exact"/>
        <w:rPr>
          <w:rFonts w:ascii="Arial" w:cs="Arial" w:eastAsia="Arial" w:hAnsi="Arial"/>
          <w:sz w:val="18"/>
          <w:szCs w:val="18"/>
          <w:b w:val="1"/>
          <w:bCs w:val="1"/>
          <w:color w:val="auto"/>
        </w:rPr>
      </w:pPr>
    </w:p>
    <w:p>
      <w:pPr>
        <w:ind w:left="660" w:right="6539"/>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Cahill Gordon &amp; Reindel 32 Old Slip</w:t>
      </w:r>
    </w:p>
    <w:p>
      <w:pPr>
        <w:spacing w:after="0" w:line="1" w:lineRule="exact"/>
        <w:rPr>
          <w:rFonts w:ascii="Arial" w:cs="Arial" w:eastAsia="Arial" w:hAnsi="Arial"/>
          <w:sz w:val="18"/>
          <w:szCs w:val="18"/>
          <w:b w:val="1"/>
          <w:bCs w:val="1"/>
          <w:color w:val="auto"/>
        </w:rPr>
      </w:pPr>
    </w:p>
    <w:p>
      <w:pPr>
        <w:ind w:left="660" w:right="6079"/>
        <w:spacing w:after="0" w:line="554" w:lineRule="auto"/>
        <w:rPr>
          <w:rFonts w:ascii="Arial" w:cs="Arial" w:eastAsia="Arial" w:hAnsi="Arial"/>
          <w:sz w:val="18"/>
          <w:szCs w:val="18"/>
          <w:b w:val="1"/>
          <w:bCs w:val="1"/>
          <w:color w:val="auto"/>
        </w:rPr>
      </w:pPr>
      <w:r>
        <w:rPr>
          <w:rFonts w:ascii="Arial" w:cs="Arial" w:eastAsia="Arial" w:hAnsi="Arial"/>
          <w:sz w:val="16"/>
          <w:szCs w:val="16"/>
          <w:color w:val="auto"/>
        </w:rPr>
        <w:t>New York, New York 10005 Our Australian legal counsel is: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Allens</w:t>
      </w:r>
    </w:p>
    <w:p>
      <w:pPr>
        <w:spacing w:after="0" w:line="23" w:lineRule="exact"/>
        <w:rPr>
          <w:rFonts w:ascii="Arial" w:cs="Arial" w:eastAsia="Arial" w:hAnsi="Arial"/>
          <w:sz w:val="18"/>
          <w:szCs w:val="18"/>
          <w:b w:val="1"/>
          <w:bCs w:val="1"/>
          <w:color w:val="auto"/>
        </w:rPr>
      </w:pPr>
    </w:p>
    <w:p>
      <w:pPr>
        <w:ind w:left="660" w:right="637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480 Queen St., Level 26 Brisbane, Queensland 4000 Australia</w:t>
      </w:r>
    </w:p>
    <w:p>
      <w:pPr>
        <w:spacing w:after="0" w:line="185" w:lineRule="exact"/>
        <w:rPr>
          <w:rFonts w:ascii="Arial" w:cs="Arial" w:eastAsia="Arial" w:hAnsi="Arial"/>
          <w:sz w:val="18"/>
          <w:szCs w:val="18"/>
          <w:b w:val="1"/>
          <w:bCs w:val="1"/>
          <w:color w:val="auto"/>
        </w:rPr>
      </w:pPr>
    </w:p>
    <w:p>
      <w:pPr>
        <w:ind w:left="640" w:hanging="348"/>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Auditors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auditors for fiscal years 2021, 2020 and 2019 are:</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PricewaterhouseCoopers</w:t>
      </w:r>
    </w:p>
    <w:p>
      <w:pPr>
        <w:spacing w:after="0" w:line="23" w:lineRule="exact"/>
        <w:rPr>
          <w:rFonts w:ascii="Arial" w:cs="Arial" w:eastAsia="Arial" w:hAnsi="Arial"/>
          <w:sz w:val="18"/>
          <w:szCs w:val="18"/>
          <w:b w:val="1"/>
          <w:bCs w:val="1"/>
          <w:color w:val="auto"/>
        </w:rPr>
      </w:pPr>
    </w:p>
    <w:p>
      <w:pPr>
        <w:ind w:left="660" w:right="599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480 Queen Street, GPO Box 150 Brisbane, Queensland 4000 Australia</w:t>
      </w:r>
    </w:p>
    <w:p>
      <w:pPr>
        <w:spacing w:after="0" w:line="18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Key Information</w:t>
      </w:r>
    </w:p>
    <w:p>
      <w:pPr>
        <w:spacing w:after="0" w:line="117" w:lineRule="exact"/>
        <w:rPr>
          <w:sz w:val="20"/>
          <w:szCs w:val="20"/>
          <w:color w:val="auto"/>
        </w:rPr>
      </w:pPr>
    </w:p>
    <w:p>
      <w:pPr>
        <w:ind w:left="640" w:hanging="348"/>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117" w:lineRule="exact"/>
        <w:rPr>
          <w:rFonts w:ascii="Arial" w:cs="Arial" w:eastAsia="Arial" w:hAnsi="Arial"/>
          <w:sz w:val="18"/>
          <w:szCs w:val="18"/>
          <w:b w:val="1"/>
          <w:bCs w:val="1"/>
          <w:color w:val="auto"/>
        </w:rPr>
      </w:pPr>
    </w:p>
    <w:p>
      <w:pPr>
        <w:ind w:left="640" w:hanging="348"/>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our cash and our capitalization:</w:t>
      </w:r>
    </w:p>
    <w:p>
      <w:pPr>
        <w:spacing w:after="0" w:line="117" w:lineRule="exact"/>
        <w:rPr>
          <w:rFonts w:ascii="Arial" w:cs="Arial" w:eastAsia="Arial" w:hAnsi="Arial"/>
          <w:sz w:val="18"/>
          <w:szCs w:val="18"/>
          <w:b w:val="1"/>
          <w:bCs w:val="1"/>
          <w:color w:val="auto"/>
        </w:rPr>
      </w:pPr>
    </w:p>
    <w:p>
      <w:pPr>
        <w:ind w:left="1000" w:hanging="348"/>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On an actual basis as of June 30, 2021; and</w:t>
      </w:r>
    </w:p>
    <w:p>
      <w:pPr>
        <w:spacing w:after="0" w:line="117" w:lineRule="exact"/>
        <w:rPr>
          <w:rFonts w:ascii="Arial" w:cs="Arial" w:eastAsia="Arial" w:hAnsi="Arial"/>
          <w:sz w:val="18"/>
          <w:szCs w:val="18"/>
          <w:color w:val="auto"/>
        </w:rPr>
      </w:pPr>
    </w:p>
    <w:p>
      <w:pPr>
        <w:ind w:left="1000" w:right="519" w:hanging="348"/>
        <w:spacing w:after="0" w:line="259"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On a pro forma basis to give effect to (i) the issuance of 77,962,578 ordinary shares to Phillips 66 in the Phillips 66 Transaction for an aggregate purchase price of US$150 million and (ii) the incurrence of indebtedness used to purchase our facility in Chattanooga, Tennessee, “Riverside” (locally referred to as “Big Blue”).</w:t>
      </w:r>
    </w:p>
    <w:p>
      <w:pPr>
        <w:spacing w:after="0" w:line="79" w:lineRule="exact"/>
        <w:rPr>
          <w:sz w:val="20"/>
          <w:szCs w:val="20"/>
          <w:color w:val="auto"/>
        </w:rPr>
      </w:pPr>
    </w:p>
    <w:p>
      <w:pPr>
        <w:jc w:val="both"/>
        <w:ind w:left="300" w:right="559" w:firstLine="360"/>
        <w:spacing w:after="0" w:line="263" w:lineRule="auto"/>
        <w:rPr>
          <w:sz w:val="20"/>
          <w:szCs w:val="20"/>
          <w:color w:val="auto"/>
        </w:rPr>
      </w:pPr>
      <w:r>
        <w:rPr>
          <w:rFonts w:ascii="Arial" w:cs="Arial" w:eastAsia="Arial" w:hAnsi="Arial"/>
          <w:sz w:val="18"/>
          <w:szCs w:val="18"/>
          <w:color w:val="auto"/>
        </w:rPr>
        <w:t>The information contained in this “Capitalization” section contains translations of Australian dollar amounts into U.S. dollars for convenience. Unless otherwise stated, all translations from Australian dollars to U.S. dollars were made at A$1.3340 to $1.00 (the noon buying rate on June 30,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color w:val="auto"/>
        </w:rPr>
        <w:t>You should read this information in conjunction with our consolidated financial statements and the related notes included elsewhere in this registration statement, “Operating and Financial Review and Prospects” and other financial information contained elsewhere in this registration statement.</w:t>
      </w:r>
    </w:p>
    <w:p>
      <w:pPr>
        <w:spacing w:after="0" w:line="136" w:lineRule="exact"/>
        <w:rPr>
          <w:sz w:val="20"/>
          <w:szCs w:val="20"/>
          <w:color w:val="auto"/>
        </w:rPr>
      </w:pPr>
    </w:p>
    <w:tbl>
      <w:tblPr>
        <w:tblLayout w:type="fixed"/>
        <w:tblInd w:w="526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Actual</w:t>
            </w:r>
          </w:p>
        </w:tc>
        <w:tc>
          <w:tcPr>
            <w:tcW w:w="1320" w:type="dxa"/>
            <w:vAlign w:val="bottom"/>
          </w:tcPr>
          <w:p>
            <w:pPr>
              <w:jc w:val="center"/>
              <w:ind w:left="788"/>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86"/>
        </w:trPr>
        <w:tc>
          <w:tcPr>
            <w:tcW w:w="1300" w:type="dxa"/>
            <w:vAlign w:val="bottom"/>
            <w:vMerge w:val="continue"/>
          </w:tcPr>
          <w:p>
            <w:pPr>
              <w:spacing w:after="0"/>
              <w:rPr>
                <w:sz w:val="16"/>
                <w:szCs w:val="16"/>
                <w:color w:val="auto"/>
              </w:rPr>
            </w:pPr>
          </w:p>
        </w:tc>
        <w:tc>
          <w:tcPr>
            <w:tcW w:w="1320" w:type="dxa"/>
            <w:vAlign w:val="bottom"/>
          </w:tcPr>
          <w:p>
            <w:pPr>
              <w:jc w:val="center"/>
              <w:ind w:left="828"/>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33655</wp:posOffset>
            </wp:positionV>
            <wp:extent cx="27260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11"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56515</wp:posOffset>
            </wp:positionV>
            <wp:extent cx="1320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02" w:lineRule="exact"/>
        <w:rPr>
          <w:sz w:val="20"/>
          <w:szCs w:val="20"/>
          <w:color w:val="auto"/>
        </w:rPr>
      </w:pPr>
    </w:p>
    <w:p>
      <w:pPr>
        <w:ind w:left="4760"/>
        <w:spacing w:after="0"/>
        <w:tabs>
          <w:tab w:leader="none" w:pos="5900" w:val="left"/>
        </w:tabs>
        <w:rPr>
          <w:sz w:val="20"/>
          <w:szCs w:val="20"/>
          <w:color w:val="auto"/>
        </w:rPr>
      </w:pPr>
      <w:r>
        <w:rPr>
          <w:rFonts w:ascii="Arial" w:cs="Arial" w:eastAsia="Arial" w:hAnsi="Arial"/>
          <w:sz w:val="14"/>
          <w:szCs w:val="14"/>
          <w:b w:val="1"/>
          <w:bCs w:val="1"/>
          <w:color w:val="auto"/>
        </w:rPr>
        <w:t>US$</w:t>
      </w:r>
      <w:r>
        <w:rPr>
          <w:rFonts w:ascii="Arial" w:cs="Arial" w:eastAsia="Arial" w:hAnsi="Arial"/>
          <w:sz w:val="23"/>
          <w:szCs w:val="23"/>
          <w:b w:val="1"/>
          <w:bCs w:val="1"/>
          <w:color w:val="auto"/>
          <w:vertAlign w:val="superscript"/>
        </w:rPr>
        <w:t>1</w:t>
      </w:r>
      <w:r>
        <w:rPr>
          <w:sz w:val="20"/>
          <w:szCs w:val="20"/>
          <w:color w:val="auto"/>
        </w:rPr>
        <w:tab/>
      </w: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56515</wp:posOffset>
            </wp:positionV>
            <wp:extent cx="1320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02" w:lineRule="exact"/>
        <w:rPr>
          <w:sz w:val="20"/>
          <w:szCs w:val="20"/>
          <w:color w:val="auto"/>
        </w:rPr>
      </w:pPr>
    </w:p>
    <w:p>
      <w:pPr>
        <w:spacing w:after="0"/>
        <w:tabs>
          <w:tab w:leader="none" w:pos="1160" w:val="left"/>
        </w:tabs>
        <w:rPr>
          <w:sz w:val="20"/>
          <w:szCs w:val="20"/>
          <w:color w:val="auto"/>
        </w:rPr>
      </w:pPr>
      <w:r>
        <w:rPr>
          <w:rFonts w:ascii="Arial" w:cs="Arial" w:eastAsia="Arial" w:hAnsi="Arial"/>
          <w:sz w:val="14"/>
          <w:szCs w:val="14"/>
          <w:b w:val="1"/>
          <w:bCs w:val="1"/>
          <w:color w:val="auto"/>
        </w:rPr>
        <w:t>US$</w:t>
      </w:r>
      <w:r>
        <w:rPr>
          <w:rFonts w:ascii="Arial" w:cs="Arial" w:eastAsia="Arial" w:hAnsi="Arial"/>
          <w:sz w:val="23"/>
          <w:szCs w:val="23"/>
          <w:b w:val="1"/>
          <w:bCs w:val="1"/>
          <w:color w:val="auto"/>
          <w:vertAlign w:val="superscript"/>
        </w:rPr>
        <w:t>1</w:t>
      </w:r>
      <w:r>
        <w:rPr>
          <w:sz w:val="20"/>
          <w:szCs w:val="20"/>
          <w:color w:val="auto"/>
        </w:rPr>
        <w:tab/>
      </w:r>
      <w:r>
        <w:rPr>
          <w:rFonts w:ascii="Arial" w:cs="Arial" w:eastAsia="Arial" w:hAnsi="Arial"/>
          <w:sz w:val="14"/>
          <w:szCs w:val="14"/>
          <w:b w:val="1"/>
          <w:bCs w:val="1"/>
          <w:color w:val="auto"/>
        </w:rPr>
        <w:t>A$</w:t>
      </w:r>
    </w:p>
    <w:p>
      <w:pPr>
        <w:spacing w:after="0" w:line="1" w:lineRule="exact"/>
        <w:rPr>
          <w:sz w:val="20"/>
          <w:szCs w:val="20"/>
          <w:color w:val="auto"/>
        </w:rPr>
      </w:pPr>
    </w:p>
    <w:p>
      <w:pPr>
        <w:sectPr>
          <w:pgSz w:w="11900" w:h="16838" w:orient="portrait"/>
          <w:cols w:equalWidth="0" w:num="2">
            <w:col w:w="6240" w:space="720"/>
            <w:col w:w="205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270"/>
        </w:trPr>
        <w:tc>
          <w:tcPr>
            <w:tcW w:w="4120" w:type="dxa"/>
            <w:vAlign w:val="bottom"/>
            <w:tcBorders>
              <w:bottom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Total cash and cash equivalents</w:t>
            </w:r>
            <w:r>
              <w:rPr>
                <w:rFonts w:ascii="Arial" w:cs="Arial" w:eastAsia="Arial" w:hAnsi="Arial"/>
                <w:sz w:val="29"/>
                <w:szCs w:val="29"/>
                <w:color w:val="auto"/>
                <w:vertAlign w:val="superscript"/>
              </w:rPr>
              <w:t>2,3,4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102,446,759</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136,663,976</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258,472,602</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344,802,451</w:t>
            </w:r>
          </w:p>
        </w:tc>
        <w:tc>
          <w:tcPr>
            <w:tcW w:w="80" w:type="dxa"/>
            <w:vAlign w:val="bottom"/>
            <w:tcBorders>
              <w:bottom w:val="single" w:sz="8" w:color="CCEEFF"/>
            </w:tcBorders>
            <w:shd w:val="clear" w:color="auto" w:fill="CCEEFF"/>
          </w:tcPr>
          <w:p>
            <w:pPr>
              <w:spacing w:after="0"/>
              <w:rPr>
                <w:sz w:val="23"/>
                <w:szCs w:val="23"/>
                <w:color w:val="auto"/>
              </w:rPr>
            </w:pPr>
          </w:p>
        </w:tc>
      </w:tr>
      <w:tr>
        <w:trPr>
          <w:trHeight w:val="61"/>
        </w:trPr>
        <w:tc>
          <w:tcPr>
            <w:tcW w:w="4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84"/>
        </w:trPr>
        <w:tc>
          <w:tcPr>
            <w:tcW w:w="4120" w:type="dxa"/>
            <w:vAlign w:val="bottom"/>
          </w:tcPr>
          <w:p>
            <w:pPr>
              <w:spacing w:after="0"/>
              <w:rPr>
                <w:sz w:val="20"/>
                <w:szCs w:val="20"/>
                <w:color w:val="auto"/>
              </w:rPr>
            </w:pPr>
            <w:r>
              <w:rPr>
                <w:rFonts w:ascii="Arial" w:cs="Arial" w:eastAsia="Arial" w:hAnsi="Arial"/>
                <w:sz w:val="18"/>
                <w:szCs w:val="18"/>
                <w:color w:val="auto"/>
              </w:rPr>
              <w:t>Secured, bank loans</w:t>
            </w:r>
          </w:p>
        </w:tc>
        <w:tc>
          <w:tcPr>
            <w:tcW w:w="900" w:type="dxa"/>
            <w:vAlign w:val="bottom"/>
          </w:tcPr>
          <w:p>
            <w:pPr>
              <w:jc w:val="right"/>
              <w:spacing w:after="0"/>
              <w:rPr>
                <w:sz w:val="20"/>
                <w:szCs w:val="20"/>
                <w:color w:val="auto"/>
              </w:rPr>
            </w:pPr>
            <w:r>
              <w:rPr>
                <w:rFonts w:ascii="Arial" w:cs="Arial" w:eastAsia="Arial" w:hAnsi="Arial"/>
                <w:sz w:val="18"/>
                <w:szCs w:val="18"/>
                <w:color w:val="auto"/>
              </w:rPr>
              <w:t>4,053,922</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5,407,932</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4,053,922</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5,407,932</w:t>
            </w:r>
          </w:p>
        </w:tc>
        <w:tc>
          <w:tcPr>
            <w:tcW w:w="80" w:type="dxa"/>
            <w:vAlign w:val="bottom"/>
          </w:tcPr>
          <w:p>
            <w:pPr>
              <w:spacing w:after="0"/>
              <w:rPr>
                <w:sz w:val="24"/>
                <w:szCs w:val="24"/>
                <w:color w:val="auto"/>
              </w:rPr>
            </w:pPr>
          </w:p>
        </w:tc>
      </w:tr>
      <w:tr>
        <w:trPr>
          <w:trHeight w:val="54"/>
        </w:trPr>
        <w:tc>
          <w:tcPr>
            <w:tcW w:w="4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Unsecured, other loans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641,449</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855,693</w:t>
            </w: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641,449</w:t>
            </w: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855,693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120" w:type="dxa"/>
            <w:vAlign w:val="bottom"/>
          </w:tcPr>
          <w:p>
            <w:pPr>
              <w:spacing w:after="0" w:line="256" w:lineRule="exact"/>
              <w:rPr>
                <w:sz w:val="20"/>
                <w:szCs w:val="20"/>
                <w:color w:val="auto"/>
              </w:rPr>
            </w:pPr>
            <w:r>
              <w:rPr>
                <w:rFonts w:ascii="Arial" w:cs="Arial" w:eastAsia="Arial" w:hAnsi="Arial"/>
                <w:sz w:val="18"/>
                <w:szCs w:val="18"/>
                <w:color w:val="auto"/>
              </w:rPr>
              <w:t>Loan secured against Riverside</w:t>
            </w:r>
            <w:r>
              <w:rPr>
                <w:rFonts w:ascii="Arial" w:cs="Arial" w:eastAsia="Arial" w:hAnsi="Arial"/>
                <w:sz w:val="29"/>
                <w:szCs w:val="29"/>
                <w:color w:val="auto"/>
                <w:vertAlign w:val="superscript"/>
              </w:rPr>
              <w:t>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31,122,588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41,517,532</w:t>
            </w:r>
          </w:p>
        </w:tc>
        <w:tc>
          <w:tcPr>
            <w:tcW w:w="80" w:type="dxa"/>
            <w:vAlign w:val="bottom"/>
          </w:tcPr>
          <w:p>
            <w:pPr>
              <w:spacing w:after="0"/>
              <w:rPr>
                <w:sz w:val="22"/>
                <w:szCs w:val="22"/>
                <w:color w:val="auto"/>
              </w:rPr>
            </w:pPr>
          </w:p>
        </w:tc>
      </w:tr>
      <w:tr>
        <w:trPr>
          <w:trHeight w:val="61"/>
        </w:trPr>
        <w:tc>
          <w:tcPr>
            <w:tcW w:w="412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Total debt</w:t>
            </w:r>
            <w:r>
              <w:rPr>
                <w:rFonts w:ascii="Arial" w:cs="Arial" w:eastAsia="Arial" w:hAnsi="Arial"/>
                <w:sz w:val="29"/>
                <w:szCs w:val="29"/>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4,695,371</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6,263,625</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35,817,959</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47,781,157</w:t>
            </w:r>
          </w:p>
        </w:tc>
        <w:tc>
          <w:tcPr>
            <w:tcW w:w="80" w:type="dxa"/>
            <w:vAlign w:val="bottom"/>
            <w:shd w:val="clear" w:color="auto" w:fill="CCEEFF"/>
          </w:tcPr>
          <w:p>
            <w:pPr>
              <w:spacing w:after="0"/>
              <w:rPr>
                <w:sz w:val="23"/>
                <w:szCs w:val="23"/>
                <w:color w:val="auto"/>
              </w:rPr>
            </w:pPr>
          </w:p>
        </w:tc>
      </w:tr>
      <w:tr>
        <w:trPr>
          <w:trHeight w:val="61"/>
        </w:trPr>
        <w:tc>
          <w:tcPr>
            <w:tcW w:w="41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69"/>
        </w:trPr>
        <w:tc>
          <w:tcPr>
            <w:tcW w:w="4120" w:type="dxa"/>
            <w:vAlign w:val="bottom"/>
          </w:tcPr>
          <w:p>
            <w:pPr>
              <w:spacing w:after="0"/>
              <w:rPr>
                <w:sz w:val="20"/>
                <w:szCs w:val="20"/>
                <w:color w:val="auto"/>
              </w:rPr>
            </w:pPr>
            <w:r>
              <w:rPr>
                <w:rFonts w:ascii="Arial" w:cs="Arial" w:eastAsia="Arial" w:hAnsi="Arial"/>
                <w:sz w:val="18"/>
                <w:szCs w:val="18"/>
                <w:color w:val="auto"/>
                <w:w w:val="98"/>
              </w:rPr>
              <w:t>Contributed equity: 404,601,384 ordinary shares, no</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7"/>
        </w:trPr>
        <w:tc>
          <w:tcPr>
            <w:tcW w:w="4120" w:type="dxa"/>
            <w:vAlign w:val="bottom"/>
          </w:tcPr>
          <w:p>
            <w:pPr>
              <w:ind w:left="180"/>
              <w:spacing w:after="0"/>
              <w:rPr>
                <w:sz w:val="20"/>
                <w:szCs w:val="20"/>
                <w:color w:val="auto"/>
              </w:rPr>
            </w:pPr>
            <w:r>
              <w:rPr>
                <w:rFonts w:ascii="Arial" w:cs="Arial" w:eastAsia="Arial" w:hAnsi="Arial"/>
                <w:sz w:val="18"/>
                <w:szCs w:val="18"/>
                <w:color w:val="auto"/>
              </w:rPr>
              <w:t>par value, outstanding, actual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174,809,975</w:t>
            </w:r>
          </w:p>
        </w:tc>
        <w:tc>
          <w:tcPr>
            <w:tcW w:w="20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233,196,507</w:t>
            </w:r>
          </w:p>
        </w:tc>
        <w:tc>
          <w:tcPr>
            <w:tcW w:w="20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174,809,975</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233,196,507</w:t>
            </w:r>
          </w:p>
        </w:tc>
        <w:tc>
          <w:tcPr>
            <w:tcW w:w="80" w:type="dxa"/>
            <w:vAlign w:val="bottom"/>
          </w:tcPr>
          <w:p>
            <w:pPr>
              <w:spacing w:after="0"/>
              <w:rPr>
                <w:sz w:val="18"/>
                <w:szCs w:val="18"/>
                <w:color w:val="auto"/>
              </w:rPr>
            </w:pPr>
          </w:p>
        </w:tc>
      </w:tr>
      <w:tr>
        <w:trPr>
          <w:trHeight w:val="61"/>
        </w:trPr>
        <w:tc>
          <w:tcPr>
            <w:tcW w:w="4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Phillips 66 capital raise</w:t>
            </w:r>
            <w:r>
              <w:rPr>
                <w:rFonts w:ascii="Arial" w:cs="Arial" w:eastAsia="Arial" w:hAnsi="Arial"/>
                <w:sz w:val="29"/>
                <w:szCs w:val="29"/>
                <w:color w:val="auto"/>
                <w:vertAlign w:val="superscript"/>
              </w:rPr>
              <w:t>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156,025,843</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208,138,475</w:t>
            </w:r>
          </w:p>
        </w:tc>
        <w:tc>
          <w:tcPr>
            <w:tcW w:w="80" w:type="dxa"/>
            <w:vAlign w:val="bottom"/>
            <w:shd w:val="clear" w:color="auto" w:fill="CCEEFF"/>
          </w:tcPr>
          <w:p>
            <w:pPr>
              <w:spacing w:after="0"/>
              <w:rPr>
                <w:sz w:val="23"/>
                <w:szCs w:val="23"/>
                <w:color w:val="auto"/>
              </w:rPr>
            </w:pPr>
          </w:p>
        </w:tc>
      </w:tr>
      <w:tr>
        <w:trPr>
          <w:trHeight w:val="61"/>
        </w:trPr>
        <w:tc>
          <w:tcPr>
            <w:tcW w:w="41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69"/>
        </w:trPr>
        <w:tc>
          <w:tcPr>
            <w:tcW w:w="4120" w:type="dxa"/>
            <w:vAlign w:val="bottom"/>
          </w:tcPr>
          <w:p>
            <w:pPr>
              <w:spacing w:after="0"/>
              <w:rPr>
                <w:sz w:val="20"/>
                <w:szCs w:val="20"/>
                <w:color w:val="auto"/>
              </w:rPr>
            </w:pPr>
            <w:r>
              <w:rPr>
                <w:rFonts w:ascii="Arial" w:cs="Arial" w:eastAsia="Arial" w:hAnsi="Arial"/>
                <w:sz w:val="18"/>
                <w:szCs w:val="18"/>
                <w:color w:val="auto"/>
                <w:w w:val="94"/>
              </w:rPr>
              <w:t>Total contributed equity (404,601,384 ordinary shares,</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7"/>
        </w:trPr>
        <w:tc>
          <w:tcPr>
            <w:tcW w:w="4120" w:type="dxa"/>
            <w:vAlign w:val="bottom"/>
          </w:tcPr>
          <w:p>
            <w:pPr>
              <w:ind w:left="180"/>
              <w:spacing w:after="0"/>
              <w:rPr>
                <w:sz w:val="20"/>
                <w:szCs w:val="20"/>
                <w:color w:val="auto"/>
              </w:rPr>
            </w:pPr>
            <w:r>
              <w:rPr>
                <w:rFonts w:ascii="Arial" w:cs="Arial" w:eastAsia="Arial" w:hAnsi="Arial"/>
                <w:sz w:val="18"/>
                <w:szCs w:val="18"/>
                <w:color w:val="auto"/>
              </w:rPr>
              <w:t>no par value, outstanding, on a pro forma basis)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174,809,975</w:t>
            </w:r>
          </w:p>
        </w:tc>
        <w:tc>
          <w:tcPr>
            <w:tcW w:w="20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233,196,507</w:t>
            </w:r>
          </w:p>
        </w:tc>
        <w:tc>
          <w:tcPr>
            <w:tcW w:w="20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330,835,819</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441,334,982</w:t>
            </w:r>
          </w:p>
        </w:tc>
        <w:tc>
          <w:tcPr>
            <w:tcW w:w="80" w:type="dxa"/>
            <w:vAlign w:val="bottom"/>
          </w:tcPr>
          <w:p>
            <w:pPr>
              <w:spacing w:after="0"/>
              <w:rPr>
                <w:sz w:val="18"/>
                <w:szCs w:val="18"/>
                <w:color w:val="auto"/>
              </w:rPr>
            </w:pPr>
          </w:p>
        </w:tc>
      </w:tr>
      <w:tr>
        <w:trPr>
          <w:trHeight w:val="61"/>
        </w:trPr>
        <w:tc>
          <w:tcPr>
            <w:tcW w:w="4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(61,419,236)</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(81,933,261)</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(61,419,236)</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(81,933,261)</w:t>
            </w:r>
          </w:p>
        </w:tc>
      </w:tr>
      <w:tr>
        <w:trPr>
          <w:trHeight w:val="257"/>
        </w:trPr>
        <w:tc>
          <w:tcPr>
            <w:tcW w:w="4120" w:type="dxa"/>
            <w:vAlign w:val="bottom"/>
          </w:tcPr>
          <w:p>
            <w:pPr>
              <w:ind w:left="360"/>
              <w:spacing w:after="0"/>
              <w:rPr>
                <w:sz w:val="20"/>
                <w:szCs w:val="20"/>
                <w:color w:val="auto"/>
              </w:rPr>
            </w:pPr>
            <w:r>
              <w:rPr>
                <w:rFonts w:ascii="Arial" w:cs="Arial" w:eastAsia="Arial" w:hAnsi="Arial"/>
                <w:sz w:val="18"/>
                <w:szCs w:val="18"/>
                <w:color w:val="auto"/>
              </w:rPr>
              <w:t>Reserves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24,836,999</w:t>
            </w:r>
          </w:p>
        </w:tc>
        <w:tc>
          <w:tcPr>
            <w:tcW w:w="2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33,132,556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24,836,999</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33,132,556</w:t>
            </w:r>
          </w:p>
        </w:tc>
        <w:tc>
          <w:tcPr>
            <w:tcW w:w="80" w:type="dxa"/>
            <w:vAlign w:val="bottom"/>
          </w:tcPr>
          <w:p>
            <w:pPr>
              <w:spacing w:after="0"/>
              <w:rPr>
                <w:sz w:val="22"/>
                <w:szCs w:val="22"/>
                <w:color w:val="auto"/>
              </w:rPr>
            </w:pPr>
          </w:p>
        </w:tc>
      </w:tr>
      <w:tr>
        <w:trPr>
          <w:trHeight w:val="61"/>
        </w:trPr>
        <w:tc>
          <w:tcPr>
            <w:tcW w:w="4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138,227,738</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184,395,802</w:t>
            </w: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294,253,581</w:t>
            </w: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392,534,277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Total Capitalization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142,923,109</w:t>
            </w:r>
          </w:p>
        </w:tc>
        <w:tc>
          <w:tcPr>
            <w:tcW w:w="200" w:type="dxa"/>
            <w:vAlign w:val="bottom"/>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190,659,427</w:t>
            </w:r>
          </w:p>
        </w:tc>
        <w:tc>
          <w:tcPr>
            <w:tcW w:w="20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330,071,540</w:t>
            </w:r>
          </w:p>
        </w:tc>
        <w:tc>
          <w:tcPr>
            <w:tcW w:w="2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440,315,343</w:t>
            </w: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419" w:hanging="348"/>
        <w:spacing w:after="0" w:line="253" w:lineRule="auto"/>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Translation of Australian dollar-denominated amounts into U.S. dollars has been made at the noon buying rate on June 30, 2021 (US$1.00 = A$1.3340).</w:t>
      </w:r>
    </w:p>
    <w:p>
      <w:pPr>
        <w:spacing w:after="0" w:line="11" w:lineRule="exact"/>
        <w:rPr>
          <w:rFonts w:ascii="Arial" w:cs="Arial" w:eastAsia="Arial" w:hAnsi="Arial"/>
          <w:sz w:val="14"/>
          <w:szCs w:val="14"/>
          <w:color w:val="auto"/>
        </w:rPr>
      </w:pPr>
    </w:p>
    <w:p>
      <w:pPr>
        <w:jc w:val="both"/>
        <w:ind w:left="640" w:right="739" w:hanging="348"/>
        <w:spacing w:after="0" w:line="281" w:lineRule="auto"/>
        <w:tabs>
          <w:tab w:leader="none" w:pos="64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Pro-forma adjustment represents Phillips 66 capital raise of 77,962,578 fully paid ordinary shares for US$150 million translated into Australian dollar at the XE.com at exchange rate as of 30 September 2021 (A$1.00 = US$0.7207), the date the funds were received.</w:t>
      </w:r>
    </w:p>
    <w:p>
      <w:pPr>
        <w:ind w:left="640" w:right="579" w:hanging="348"/>
        <w:spacing w:after="0" w:line="253" w:lineRule="auto"/>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Pro-forma adjustment represents long-term borrowings of U$30.1 million secured against Riverside property, translated into Australian dollar at the XE.com at exchange rate as of 25 August 2021 (A$1.00 = US$0.7250).</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September 30, 2021, we had cash and cash equivalents of A$290,971,003.</w:t>
      </w:r>
    </w:p>
    <w:p>
      <w:pPr>
        <w:spacing w:after="0" w:line="100"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outstanding ordinary share information in the table above is based on 404,601,384 ordinary shares outstanding as of June 30, 2021, and excludes 33,703,334 ordinary shares issuable upon the exercise of outstanding options and performance rights as of June 30, 2021.</w:t>
      </w:r>
    </w:p>
    <w:p>
      <w:pPr>
        <w:spacing w:after="0" w:line="180" w:lineRule="exact"/>
        <w:rPr>
          <w:sz w:val="20"/>
          <w:szCs w:val="20"/>
          <w:color w:val="auto"/>
        </w:rPr>
      </w:pPr>
    </w:p>
    <w:p>
      <w:pPr>
        <w:ind w:left="660" w:right="5139" w:hanging="368"/>
        <w:spacing w:after="0" w:line="438" w:lineRule="auto"/>
        <w:tabs>
          <w:tab w:leader="none" w:pos="65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300" w:right="639" w:firstLine="360"/>
        <w:spacing w:after="0" w:line="263"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76" w:lineRule="exact"/>
        <w:rPr>
          <w:sz w:val="20"/>
          <w:szCs w:val="20"/>
          <w:color w:val="auto"/>
        </w:rPr>
      </w:pPr>
    </w:p>
    <w:p>
      <w:pPr>
        <w:ind w:left="1000" w:right="37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energy storage market continues to evolve, is highly competitive, and we may not be successful in competing in this industry or establishing and maintaining confidence in our long-term business prospects among current and future partners and customers.</w:t>
      </w:r>
    </w:p>
    <w:p>
      <w:pPr>
        <w:spacing w:after="0" w:line="75"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financial losses and expect to incur significant expenses and continuing losses in the near future.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growth and success will depend on our ability to sell effectively to large customers.</w:t>
      </w:r>
    </w:p>
    <w:p>
      <w:pPr>
        <w:spacing w:after="0" w:line="117" w:lineRule="exact"/>
        <w:rPr>
          <w:rFonts w:ascii="Arial" w:cs="Arial" w:eastAsia="Arial" w:hAnsi="Arial"/>
          <w:sz w:val="18"/>
          <w:szCs w:val="18"/>
          <w:color w:val="auto"/>
        </w:rPr>
      </w:pPr>
    </w:p>
    <w:p>
      <w:pPr>
        <w:ind w:left="1000" w:right="10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and expect to continue to depend, on a limited number of customers for a significant percentage of our revenue.</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engage target customers successfully and to convert such contacts into meaningful orders in the future.</w:t>
      </w:r>
    </w:p>
    <w:p>
      <w:pPr>
        <w:spacing w:after="0" w:line="62" w:lineRule="exact"/>
        <w:rPr>
          <w:rFonts w:ascii="Arial" w:cs="Arial" w:eastAsia="Arial" w:hAnsi="Arial"/>
          <w:sz w:val="18"/>
          <w:szCs w:val="18"/>
          <w:color w:val="auto"/>
        </w:rPr>
      </w:pPr>
    </w:p>
    <w:p>
      <w:pPr>
        <w:ind w:left="1000" w:right="87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concentration of ownership among Phillips 66 and our executive officers, non-executive directors and their affiliates that may prevent new investors from influencing significant corporate decisions.</w:t>
      </w:r>
    </w:p>
    <w:p>
      <w:pPr>
        <w:spacing w:after="0" w:line="75"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 relationships are subject to various risks which could adversely affect our business and future prospects.</w:t>
      </w:r>
    </w:p>
    <w:p>
      <w:pPr>
        <w:spacing w:after="0" w:line="62" w:lineRule="exact"/>
        <w:rPr>
          <w:rFonts w:ascii="Arial" w:cs="Arial" w:eastAsia="Arial" w:hAnsi="Arial"/>
          <w:sz w:val="18"/>
          <w:szCs w:val="18"/>
          <w:color w:val="auto"/>
        </w:rPr>
      </w:pPr>
    </w:p>
    <w:p>
      <w:pPr>
        <w:ind w:left="1000" w:right="81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benefit from our collaborative research agreement with Dalhousie University to support the development of current and future technology. Termination of this agreement would likely harm our business, and even if it continues, it may not be successful.</w:t>
      </w:r>
    </w:p>
    <w:p>
      <w:pPr>
        <w:spacing w:after="0" w:line="75" w:lineRule="exact"/>
        <w:rPr>
          <w:rFonts w:ascii="Arial" w:cs="Arial" w:eastAsia="Arial" w:hAnsi="Arial"/>
          <w:sz w:val="18"/>
          <w:szCs w:val="18"/>
          <w:color w:val="auto"/>
        </w:rPr>
      </w:pPr>
    </w:p>
    <w:p>
      <w:pPr>
        <w:ind w:left="1000" w:right="379" w:hanging="348"/>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significant challenges in our attempt to develop our anode and cathode materials and produce them at high volumes with acceptable performance, yields and costs. The pace of development in materials science is often not predictable. We may encounter substantial delays or operational problems in the scale-up of our anode or cathode materials.</w:t>
      </w:r>
    </w:p>
    <w:p>
      <w:pPr>
        <w:spacing w:after="0" w:line="78" w:lineRule="exact"/>
        <w:rPr>
          <w:rFonts w:ascii="Arial" w:cs="Arial" w:eastAsia="Arial" w:hAnsi="Arial"/>
          <w:sz w:val="18"/>
          <w:szCs w:val="18"/>
          <w:color w:val="auto"/>
        </w:rPr>
      </w:pPr>
    </w:p>
    <w:p>
      <w:pPr>
        <w:ind w:left="1000" w:right="379" w:hanging="348"/>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manufacture of our materials and equipment is complex and we are subject to many manufacturing risks, any of which could substantially increase our costs and limit supply of our materials and equipment.</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choose not to, or may not be able to, fully develop our Mount Dromedary Graphite Project.</w:t>
      </w:r>
    </w:p>
    <w:p>
      <w:pPr>
        <w:spacing w:after="0" w:line="128" w:lineRule="exact"/>
        <w:rPr>
          <w:rFonts w:ascii="Arial" w:cs="Arial" w:eastAsia="Arial" w:hAnsi="Arial"/>
          <w:sz w:val="17"/>
          <w:szCs w:val="17"/>
          <w:color w:val="auto"/>
        </w:rPr>
      </w:pPr>
    </w:p>
    <w:p>
      <w:pPr>
        <w:ind w:left="1020" w:right="779"/>
        <w:spacing w:after="0" w:line="277" w:lineRule="auto"/>
        <w:rPr>
          <w:rFonts w:ascii="Arial" w:cs="Arial" w:eastAsia="Arial" w:hAnsi="Arial"/>
          <w:sz w:val="17"/>
          <w:szCs w:val="17"/>
          <w:color w:val="auto"/>
        </w:rPr>
      </w:pPr>
      <w:r>
        <w:rPr>
          <w:rFonts w:ascii="Arial" w:cs="Arial" w:eastAsia="Arial" w:hAnsi="Arial"/>
          <w:sz w:val="18"/>
          <w:szCs w:val="18"/>
          <w:color w:val="auto"/>
        </w:rPr>
        <w:t>If our materials or equipment fail to perform as expected, our ability to develop, market, and sell our materials or equipment could be harmed.</w:t>
      </w:r>
    </w:p>
    <w:p>
      <w:pPr>
        <w:spacing w:after="0" w:line="62" w:lineRule="exact"/>
        <w:rPr>
          <w:rFonts w:ascii="Arial" w:cs="Arial" w:eastAsia="Arial" w:hAnsi="Arial"/>
          <w:sz w:val="17"/>
          <w:szCs w:val="17"/>
          <w:color w:val="auto"/>
        </w:rPr>
      </w:pPr>
    </w:p>
    <w:p>
      <w:pPr>
        <w:ind w:left="1000" w:right="319" w:hanging="348"/>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accurately estimate the future supply and demand for our materials and equipment, which could result in a variety of inefficiencies in our business and hinder our ability to generate revenue. If we fail to accurately predict our manufacturing requirements or prices of components increase, we could incur additional costs or experience delays.</w:t>
      </w:r>
    </w:p>
    <w:p>
      <w:pPr>
        <w:spacing w:after="0" w:line="78" w:lineRule="exact"/>
        <w:rPr>
          <w:rFonts w:ascii="Arial" w:cs="Arial" w:eastAsia="Arial" w:hAnsi="Arial"/>
          <w:sz w:val="18"/>
          <w:szCs w:val="18"/>
          <w:color w:val="auto"/>
        </w:rPr>
      </w:pPr>
    </w:p>
    <w:p>
      <w:pPr>
        <w:jc w:val="both"/>
        <w:ind w:left="1000" w:right="43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establish supply relationships for necessary components or may be required to pay costs for components that are more expensive than anticipated, which could delay the introduction of our equipment and negatively impact our business.</w:t>
      </w:r>
    </w:p>
    <w:p>
      <w:pPr>
        <w:spacing w:after="0" w:line="75"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attract and retain key employees and qualified personnel, our ability to compete could be harmed.</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identify qualified individuals for our workforce could adversely impact our ability to scale-up manufacturing of our cathode and anode materials.</w:t>
      </w:r>
    </w:p>
    <w:p>
      <w:pPr>
        <w:spacing w:after="0" w:line="62" w:lineRule="exact"/>
        <w:rPr>
          <w:rFonts w:ascii="Arial" w:cs="Arial" w:eastAsia="Arial" w:hAnsi="Arial"/>
          <w:sz w:val="18"/>
          <w:szCs w:val="18"/>
          <w:color w:val="auto"/>
        </w:rPr>
      </w:pPr>
    </w:p>
    <w:p>
      <w:pPr>
        <w:jc w:val="both"/>
        <w:ind w:left="1000" w:right="359" w:hanging="348"/>
        <w:spacing w:after="0" w:line="31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need to obtain funding from time to time to finance our growth and operations, which may not be available on acceptable terms, or at all. If we are unable to raise capital when needed, we may be forced to delay, reduce or eliminate certain operations, and we may be unable to adequately control their costs.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and future growth depend substantially on the growth in demand for electric vehicles and batteries for grid energy storage.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been, and may in the future be, adversely affected by the global COVID-19 pandemic.</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projected operating and financial results relies in large part upon assumptions and analyses developed by us. If these assumptions or analyses prove to be incorrect, our actual operating results may be materially different from our projected results.</w:t>
      </w:r>
    </w:p>
    <w:p>
      <w:pPr>
        <w:spacing w:after="0" w:line="75"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become subject to product liability claims, which could harm our financial condition and liquidity if we are not able to successfully defend or insure against such claims.</w:t>
      </w:r>
    </w:p>
    <w:p>
      <w:pPr>
        <w:spacing w:after="0" w:line="62" w:lineRule="exact"/>
        <w:rPr>
          <w:rFonts w:ascii="Arial" w:cs="Arial" w:eastAsia="Arial" w:hAnsi="Arial"/>
          <w:sz w:val="18"/>
          <w:szCs w:val="18"/>
          <w:color w:val="auto"/>
        </w:rPr>
      </w:pPr>
    </w:p>
    <w:p>
      <w:pPr>
        <w:ind w:left="1000" w:right="55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systems and data may be subject to intentional disruption, other security incidents, or alleged violations of laws, regulations, or other obligations relating to data handling that could result in liability and adversely impact our reputation and future sales.</w:t>
      </w:r>
    </w:p>
    <w:p>
      <w:pPr>
        <w:spacing w:after="0" w:line="75"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facilities or operations could be damaged or adversely affected as a result of natural disasters and other catastrophic events.</w:t>
      </w:r>
    </w:p>
    <w:p>
      <w:pPr>
        <w:spacing w:after="0" w:line="62" w:lineRule="exact"/>
        <w:rPr>
          <w:rFonts w:ascii="Arial" w:cs="Arial" w:eastAsia="Arial" w:hAnsi="Arial"/>
          <w:sz w:val="18"/>
          <w:szCs w:val="18"/>
          <w:color w:val="auto"/>
        </w:rPr>
      </w:pPr>
    </w:p>
    <w:p>
      <w:pPr>
        <w:ind w:left="1000" w:right="919" w:hanging="348"/>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global systemic political, economic and financial crisis (as well as the indirect effects flowing therefrom) could negatively affect our business, results of operations, and financial condition.</w:t>
      </w:r>
    </w:p>
    <w:p>
      <w:pPr>
        <w:spacing w:after="0" w:line="15" w:lineRule="exact"/>
        <w:rPr>
          <w:rFonts w:ascii="Arial" w:cs="Arial" w:eastAsia="Arial" w:hAnsi="Arial"/>
          <w:sz w:val="16"/>
          <w:szCs w:val="16"/>
          <w:color w:val="auto"/>
        </w:rPr>
      </w:pPr>
    </w:p>
    <w:p>
      <w:pPr>
        <w:ind w:left="1000" w:right="459" w:hanging="348"/>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From time to time, we may be involved in litigation, regulatory actions or government investigations and inquiries, which could have an adverse impact on our profitability and consolidated financial position.</w:t>
      </w:r>
    </w:p>
    <w:p>
      <w:pPr>
        <w:spacing w:after="0" w:line="15" w:lineRule="exact"/>
        <w:rPr>
          <w:rFonts w:ascii="Arial" w:cs="Arial" w:eastAsia="Arial" w:hAnsi="Arial"/>
          <w:sz w:val="16"/>
          <w:szCs w:val="16"/>
          <w:color w:val="auto"/>
        </w:rPr>
      </w:pPr>
    </w:p>
    <w:p>
      <w:pPr>
        <w:ind w:left="1000" w:right="35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any leasehold interests in our tenements could limit our ability to mine these properties or result in significant unanticipated costs.</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substantial regulation and unfavorable changes to, or failure by us to comply with, these regulations could substantially harm our business and operating results.</w:t>
      </w:r>
    </w:p>
    <w:p>
      <w:pPr>
        <w:spacing w:after="0" w:line="62" w:lineRule="exact"/>
        <w:rPr>
          <w:rFonts w:ascii="Arial" w:cs="Arial" w:eastAsia="Arial" w:hAnsi="Arial"/>
          <w:sz w:val="18"/>
          <w:szCs w:val="18"/>
          <w:color w:val="auto"/>
        </w:rPr>
      </w:pPr>
    </w:p>
    <w:p>
      <w:pPr>
        <w:ind w:left="1000" w:right="499" w:hanging="348"/>
        <w:spacing w:after="0" w:line="30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49" w:lineRule="exact"/>
        <w:rPr>
          <w:rFonts w:ascii="Arial" w:cs="Arial" w:eastAsia="Arial" w:hAnsi="Arial"/>
          <w:sz w:val="16"/>
          <w:szCs w:val="16"/>
          <w:color w:val="auto"/>
        </w:rPr>
      </w:pPr>
    </w:p>
    <w:p>
      <w:pPr>
        <w:ind w:left="1000" w:right="9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environmental, health and safety requirements which could adversely affect our business, results of operation and reputation.</w:t>
      </w:r>
    </w:p>
    <w:p>
      <w:pPr>
        <w:spacing w:after="0" w:line="62"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depends upon our ability to obtain and maintain intellectual property protection for our materials and technologies.</w:t>
      </w:r>
    </w:p>
    <w:p>
      <w:pPr>
        <w:spacing w:after="0" w:line="62"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protect our confidential information and trade secrets would harm our business and competitive position.</w:t>
      </w:r>
    </w:p>
    <w:p>
      <w:pPr>
        <w:spacing w:after="0" w:line="62" w:lineRule="exact"/>
        <w:rPr>
          <w:rFonts w:ascii="Arial" w:cs="Arial" w:eastAsia="Arial" w:hAnsi="Arial"/>
          <w:sz w:val="18"/>
          <w:szCs w:val="18"/>
          <w:color w:val="auto"/>
        </w:rPr>
      </w:pPr>
    </w:p>
    <w:p>
      <w:pPr>
        <w:ind w:left="1000" w:right="579" w:hanging="348"/>
        <w:spacing w:after="0" w:line="286"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spacing w:after="0" w:line="57" w:lineRule="exact"/>
        <w:rPr>
          <w:rFonts w:ascii="Arial" w:cs="Arial" w:eastAsia="Arial" w:hAnsi="Arial"/>
          <w:sz w:val="17"/>
          <w:szCs w:val="17"/>
          <w:color w:val="auto"/>
        </w:rPr>
      </w:pPr>
    </w:p>
    <w:p>
      <w:pPr>
        <w:ind w:left="1000" w:right="73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patent law could diminish the value of patents in general, thereby impairing our ability to protect our technologies and processes.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lack of registered trademarks and trade names could potentially harm our business.</w:t>
      </w:r>
    </w:p>
    <w:p>
      <w:pPr>
        <w:spacing w:after="0" w:line="117" w:lineRule="exact"/>
        <w:rPr>
          <w:rFonts w:ascii="Arial" w:cs="Arial" w:eastAsia="Arial" w:hAnsi="Arial"/>
          <w:sz w:val="18"/>
          <w:szCs w:val="18"/>
          <w:color w:val="auto"/>
        </w:rPr>
      </w:pPr>
    </w:p>
    <w:p>
      <w:pPr>
        <w:ind w:left="1000" w:right="115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obtain intellectual property rights or technology necessary to develop and commercialize our materials and equipment.</w:t>
      </w:r>
    </w:p>
    <w:p>
      <w:pPr>
        <w:spacing w:after="0" w:line="62" w:lineRule="exact"/>
        <w:rPr>
          <w:rFonts w:ascii="Arial" w:cs="Arial" w:eastAsia="Arial" w:hAnsi="Arial"/>
          <w:sz w:val="18"/>
          <w:szCs w:val="18"/>
          <w:color w:val="auto"/>
        </w:rPr>
      </w:pPr>
    </w:p>
    <w:p>
      <w:pPr>
        <w:jc w:val="both"/>
        <w:ind w:left="1000" w:right="43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become involved in lawsuits or other proceedings to protect or enforce our intellectual property, which could be expensive, time-consuming and unsuccessful and have a negative effect on the success of our business.</w:t>
      </w:r>
    </w:p>
    <w:p>
      <w:pPr>
        <w:spacing w:after="0" w:line="75"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claims by third parties asserting misappropriation of intellectual property, or claiming ownership of what we regard as our own intellectual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Intellectual property rights do not necessarily address all potential threats.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active U.S. trading market may not develop.</w:t>
      </w:r>
    </w:p>
    <w:p>
      <w:pPr>
        <w:spacing w:after="0" w:line="117" w:lineRule="exact"/>
        <w:rPr>
          <w:rFonts w:ascii="Arial" w:cs="Arial" w:eastAsia="Arial" w:hAnsi="Arial"/>
          <w:sz w:val="18"/>
          <w:szCs w:val="18"/>
          <w:color w:val="auto"/>
        </w:rPr>
      </w:pPr>
    </w:p>
    <w:p>
      <w:pPr>
        <w:ind w:left="1000" w:right="83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trading price and volume of the ADSs may be volatile, and purchasers of the ADSs could incur substantial losses.</w:t>
      </w:r>
    </w:p>
    <w:p>
      <w:pPr>
        <w:spacing w:after="0" w:line="62"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sales of our ordinary shares or ADSs or the anticipation of future sales could reduce the market price of our ordinary shares or ADSs.</w:t>
      </w:r>
    </w:p>
    <w:p>
      <w:pPr>
        <w:spacing w:after="0" w:line="62"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publish inaccurate or unfavorable reports about our business, the price of the ADSs and their trading volume could decline.</w:t>
      </w:r>
    </w:p>
    <w:p>
      <w:pPr>
        <w:spacing w:after="0" w:line="75"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currently intend to pay dividends on our securities and, consequently, your ability to achieve a return on your investment will depend on appreciation in the price of the ADSs.</w:t>
      </w:r>
    </w:p>
    <w:p>
      <w:pPr>
        <w:spacing w:after="0" w:line="62"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dual listing of our ordinary shares and the ADSs may negatively impact the liquidity and value of the ADSs.</w:t>
      </w:r>
    </w:p>
    <w:p>
      <w:pPr>
        <w:spacing w:after="0" w:line="62" w:lineRule="exact"/>
        <w:rPr>
          <w:rFonts w:ascii="Arial" w:cs="Arial" w:eastAsia="Arial" w:hAnsi="Arial"/>
          <w:sz w:val="18"/>
          <w:szCs w:val="18"/>
          <w:color w:val="auto"/>
        </w:rPr>
      </w:pPr>
    </w:p>
    <w:p>
      <w:pPr>
        <w:ind w:left="1000" w:right="999" w:hanging="348"/>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U.S. investors may have difficulty enforcing civil liabilities against our company, our directors or members of senior management and the experts named in this registration statement.</w:t>
      </w:r>
    </w:p>
    <w:p>
      <w:pPr>
        <w:spacing w:after="0" w:line="38" w:lineRule="exact"/>
        <w:rPr>
          <w:rFonts w:ascii="Arial" w:cs="Arial" w:eastAsia="Arial" w:hAnsi="Arial"/>
          <w:sz w:val="17"/>
          <w:szCs w:val="17"/>
          <w:color w:val="auto"/>
        </w:rPr>
      </w:pPr>
    </w:p>
    <w:p>
      <w:pPr>
        <w:ind w:left="1000" w:right="93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Australian takeover laws may discourage takeover offers being made for us or may discourage the acquisition of a significant position in our ordinary shares or ADSs.</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Constitution and Australian laws and regulations applicable to us may differ from those which apply to a U.S. corporation.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Holders of ADSs will not be directly holding our ordinary shares.</w:t>
      </w:r>
    </w:p>
    <w:p>
      <w:pPr>
        <w:spacing w:after="0" w:line="117" w:lineRule="exact"/>
        <w:rPr>
          <w:rFonts w:ascii="Arial" w:cs="Arial" w:eastAsia="Arial" w:hAnsi="Arial"/>
          <w:sz w:val="18"/>
          <w:szCs w:val="18"/>
          <w:color w:val="auto"/>
        </w:rPr>
      </w:pPr>
    </w:p>
    <w:p>
      <w:pPr>
        <w:jc w:val="both"/>
        <w:ind w:left="1000" w:right="519" w:hanging="348"/>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Your right as a holder of ADSs to participate in any future preferential subscription rights offering or to elect to receive dividends in ordinary shares may be limited, which may cause dilution to your holdings.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not be able to exercise your right to vote the ordinary shares underlying your ADSs.</w:t>
      </w:r>
    </w:p>
    <w:p>
      <w:pPr>
        <w:spacing w:after="0" w:line="117"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be subject to limitations on the transfer of your ADSs and the withdrawal of the underlying ordinary shares.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ADS holders’ rights to pursue claims is limited by the terms of the deposit agreement.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and the depositary are entitled to amend the deposit agreement and to change the rights of</w:t>
      </w:r>
    </w:p>
    <w:p>
      <w:pPr>
        <w:spacing w:after="0" w:line="23" w:lineRule="exact"/>
        <w:rPr>
          <w:rFonts w:ascii="Arial" w:cs="Arial" w:eastAsia="Arial" w:hAnsi="Arial"/>
          <w:sz w:val="18"/>
          <w:szCs w:val="18"/>
          <w:color w:val="auto"/>
        </w:rPr>
      </w:pPr>
    </w:p>
    <w:p>
      <w:pPr>
        <w:ind w:left="1000" w:right="379"/>
        <w:spacing w:after="0" w:line="260" w:lineRule="auto"/>
        <w:rPr>
          <w:rFonts w:ascii="Arial" w:cs="Arial" w:eastAsia="Arial" w:hAnsi="Arial"/>
          <w:sz w:val="18"/>
          <w:szCs w:val="18"/>
          <w:color w:val="auto"/>
        </w:rPr>
      </w:pPr>
      <w:r>
        <w:rPr>
          <w:rFonts w:ascii="Arial" w:cs="Arial" w:eastAsia="Arial" w:hAnsi="Arial"/>
          <w:sz w:val="18"/>
          <w:szCs w:val="18"/>
          <w:color w:val="auto"/>
        </w:rPr>
        <w:t>ADS holders under the terms of such agreement and we may terminate the deposit agreement, without the prior consent of the ADS holders.</w:t>
      </w:r>
    </w:p>
    <w:p>
      <w:pPr>
        <w:spacing w:after="0" w:line="7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ADS holders have limited recourse if we or the depositary fail to meet our respective obligations under the deposit agreement.</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foreign private issuer, we are exempt from a number of rules under the U.S. securities laws that apply to public companies that are not foreign private issuers.</w:t>
      </w:r>
    </w:p>
    <w:p>
      <w:pPr>
        <w:spacing w:after="0" w:line="62"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foreign private issuer we are permitted to adopt certain home country practices in relation to corporate governance matters that differ significantly from Nasdaq corporate governance listing standards and these practices may afford less protection to shareholders than they would enjoy if we complied fully with Nasdaq corporate governance listing standards.</w:t>
      </w:r>
    </w:p>
    <w:p>
      <w:pPr>
        <w:spacing w:after="0" w:line="78"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lose our foreign private issuer status in the future, which could result in significant additional cost and expense.</w:t>
      </w:r>
    </w:p>
    <w:p>
      <w:pPr>
        <w:spacing w:after="0" w:line="62" w:lineRule="exact"/>
        <w:rPr>
          <w:rFonts w:ascii="Arial" w:cs="Arial" w:eastAsia="Arial" w:hAnsi="Arial"/>
          <w:sz w:val="18"/>
          <w:szCs w:val="18"/>
          <w:color w:val="auto"/>
        </w:rPr>
      </w:pPr>
    </w:p>
    <w:p>
      <w:pPr>
        <w:jc w:val="both"/>
        <w:ind w:left="1000" w:right="37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an “emerging growth company” under the JOBS Act and will be able to avail ourselves of reduced disclosure requirements applicable to emerging growth companies, which could make our ordinary shares and ADSs less attractive to investors.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3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incur significant increased costs as a result of operating as a company with ADSs that are publicly traded in the United States, and our management will be required to devote substantial time to new compliance initiatives.</w:t>
      </w:r>
    </w:p>
    <w:p>
      <w:pPr>
        <w:spacing w:after="0" w:line="75" w:lineRule="exact"/>
        <w:rPr>
          <w:rFonts w:ascii="Arial" w:cs="Arial" w:eastAsia="Arial" w:hAnsi="Arial"/>
          <w:sz w:val="18"/>
          <w:szCs w:val="18"/>
          <w:color w:val="auto"/>
        </w:rPr>
      </w:pPr>
    </w:p>
    <w:p>
      <w:pPr>
        <w:ind w:left="1000" w:right="459" w:hanging="348"/>
        <w:spacing w:after="0" w:line="254"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identified material weaknesses in our internal control over financial reporting in connection with the preparation of our financial statements for the fiscal year ended June 30, 2021, and we may identify additional material weaknesses in the future that may cause us to fail to meet our reporting obligations or result in material misstatements of our financial statements. 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negatively impacted.</w:t>
      </w:r>
    </w:p>
    <w:p>
      <w:pPr>
        <w:spacing w:after="0" w:line="83"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currently report our financial results under IFRS, which differs in certain significant respect from U.S. generally accepted accounting principles, or U.S. GAAP.</w:t>
      </w:r>
    </w:p>
    <w:p>
      <w:pPr>
        <w:spacing w:after="0" w:line="62"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risks associated with currency fluctuations, and changes in foreign currency exchange rates could impact our results of operations.</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utilize our net operating losses to offset future taxable income may be prohibited or subject to certain limitations.</w:t>
      </w:r>
    </w:p>
    <w:p>
      <w:pPr>
        <w:spacing w:after="0" w:line="62" w:lineRule="exact"/>
        <w:rPr>
          <w:rFonts w:ascii="Arial" w:cs="Arial" w:eastAsia="Arial" w:hAnsi="Arial"/>
          <w:sz w:val="18"/>
          <w:szCs w:val="18"/>
          <w:color w:val="auto"/>
        </w:rPr>
      </w:pPr>
    </w:p>
    <w:p>
      <w:pPr>
        <w:ind w:left="1000" w:right="113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a passive foreign investment company, there could be adverse U.S. federal income tax consequences to U.S. holders.</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U.S. person is treated as owning at least 10% of our ordinary shares, such holder may be subject to adverse U.S. federal income tax consequences.</w:t>
      </w:r>
    </w:p>
    <w:p>
      <w:pPr>
        <w:spacing w:after="0" w:line="62"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changes to tax laws could materially adversely affect our company and reduce net returns to our shareholders.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b w:val="1"/>
          <w:bCs w:val="1"/>
          <w:i w:val="1"/>
          <w:iCs w:val="1"/>
          <w:color w:val="auto"/>
        </w:rPr>
        <w:t>The energy storage market continues to evolve, is highly competitive, and we may not be successful in competing in this industry or establishing and maintaining confidence in our long-term business prospects among current and future partners and customers.</w:t>
      </w:r>
    </w:p>
    <w:p>
      <w:pPr>
        <w:spacing w:after="0" w:line="76" w:lineRule="exact"/>
        <w:rPr>
          <w:sz w:val="20"/>
          <w:szCs w:val="20"/>
          <w:color w:val="auto"/>
        </w:rPr>
      </w:pPr>
    </w:p>
    <w:p>
      <w:pPr>
        <w:ind w:left="300" w:right="379" w:firstLine="360"/>
        <w:spacing w:after="0" w:line="290" w:lineRule="auto"/>
        <w:rPr>
          <w:sz w:val="20"/>
          <w:szCs w:val="20"/>
          <w:color w:val="auto"/>
        </w:rPr>
      </w:pPr>
      <w:r>
        <w:rPr>
          <w:rFonts w:ascii="Arial" w:cs="Arial" w:eastAsia="Arial" w:hAnsi="Arial"/>
          <w:sz w:val="16"/>
          <w:szCs w:val="16"/>
          <w:color w:val="auto"/>
        </w:rPr>
        <w:t>The energy storage market in which we compete continues to evolve and is highly competitive. Certain energy storage technologies, such as lithium-ion battery technology have been widely adopted and our current competitors, and future competitors may, have greater resources than we do and may also be able to devote greater resources to the development of their current and future technologies. These competitors also may have greater access to customers and may be able to establish cooperative or strategic relationships among themselves or with third parties that may further enhance their resources and competitive positioning. In addition, lithium-ion battery manufacturers may continue to reduce cost and expand supply of conventional batteries and therefore negatively impact the ability for us to sell our materials, equipment and services at market-competitive prices and yet at sufficient margins.</w:t>
      </w:r>
    </w:p>
    <w:p>
      <w:pPr>
        <w:spacing w:after="0" w:line="57" w:lineRule="exact"/>
        <w:rPr>
          <w:sz w:val="20"/>
          <w:szCs w:val="20"/>
          <w:color w:val="auto"/>
        </w:rPr>
      </w:pPr>
    </w:p>
    <w:p>
      <w:pPr>
        <w:ind w:left="300" w:right="439" w:firstLine="360"/>
        <w:spacing w:after="0" w:line="289" w:lineRule="auto"/>
        <w:rPr>
          <w:sz w:val="20"/>
          <w:szCs w:val="20"/>
          <w:color w:val="auto"/>
        </w:rPr>
      </w:pPr>
      <w:r>
        <w:rPr>
          <w:rFonts w:ascii="Arial" w:cs="Arial" w:eastAsia="Arial" w:hAnsi="Arial"/>
          <w:sz w:val="16"/>
          <w:szCs w:val="16"/>
          <w:color w:val="auto"/>
        </w:rPr>
        <w:t>Automotive original equipment manufacturers (“OEMs”) are researching and investing in energy storage development and production. We expect competition in energy storage technology and EVs to intensify due to increased demand for these vehicles and a regulatory push for EVs, continuing globalization, and consolidation in the worldwide automotive industry. Developments in alternative technologies or improvements in energy storage technology made by competitors may materially adversely affect the sales, pricing and gross margins of our business. If a competing technology is developed that has superior operational or price performance, our business will be harmed. Similarly, if we fail to accurately predict and ensure that our technology can address customers’ changing needs or emerging technological trends, or if our customers fail to achieve the benefits expected from our materials, equipment and services, our business will be harmed.</w:t>
      </w:r>
    </w:p>
    <w:p>
      <w:pPr>
        <w:spacing w:after="0" w:line="58"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We must continue to commit significant resources to develop our technologies in order to establish a competitive position, and these commitments will be made without knowing whether such investments will result in materials, equipment and services potential customers will accept. There is no assurance we will successfully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311" w:lineRule="auto"/>
        <w:rPr>
          <w:sz w:val="20"/>
          <w:szCs w:val="20"/>
          <w:color w:val="auto"/>
        </w:rPr>
      </w:pPr>
      <w:r>
        <w:rPr>
          <w:rFonts w:ascii="Arial" w:cs="Arial" w:eastAsia="Arial" w:hAnsi="Arial"/>
          <w:sz w:val="16"/>
          <w:szCs w:val="16"/>
          <w:color w:val="auto"/>
        </w:rPr>
        <w:t>identify new customer requirements, develop and bring our materials, equipment and services to market on a timely basis, or that products and technologies developed by others will not render our materials, equipment and services obsolete or noncompetitive, any of which would adversely affect our business and operating results.</w:t>
      </w:r>
    </w:p>
    <w:p>
      <w:pPr>
        <w:spacing w:after="0" w:line="4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Customers will be less likely to purchase our materials, equipment and services if they are not convinced that our business will succeed in the long term. Similarly, suppliers and other third parties will be less likely to invest time and resources in developing business relationships with us if they are not convinced that our business will succeed in the long term. Accordingly, in order to build and maintain our business, we must maintain confidence among current and future partners, customers, suppliers, analysts, ratings agencies and other parties in our long-term financial viability and business prospects. Maintaining such confidence may be particularly complicated by certain factors including those that are largely outside of our control, such as our limited operating history, size and financial resources relative to our competitors, market unfamiliarity with our materials, equipment and services, any delays in scaling manufacturing, delivery and service operations to meet demand, competition and uncertainty regarding the future of energy storage technologies and our eventual production and sales performance compared with market expectations.</w:t>
      </w:r>
    </w:p>
    <w:p>
      <w:pPr>
        <w:spacing w:after="0" w:line="344"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b w:val="1"/>
          <w:bCs w:val="1"/>
          <w:i w:val="1"/>
          <w:iCs w:val="1"/>
          <w:color w:val="auto"/>
        </w:rPr>
        <w:t>We have a history of financial losses and expect to incur significant expenses and continuing losses in the near future.</w:t>
      </w:r>
    </w:p>
    <w:p>
      <w:pPr>
        <w:spacing w:after="0" w:line="62"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We incurred net losses of A$20.2 million, A$19.5 million and A$25.3 million for the year ended June 30, 2021, June 30, 2020, and June 30, 2019 respectively. We believe that we will continue to incur operating and net losses in each year until at least the time we begin significant production of our anode materials, which is not expected to occur earlier than 2023, and may occur later or not at all.</w:t>
      </w:r>
    </w:p>
    <w:p>
      <w:pPr>
        <w:spacing w:after="0" w:line="79" w:lineRule="exact"/>
        <w:rPr>
          <w:sz w:val="20"/>
          <w:szCs w:val="20"/>
          <w:color w:val="auto"/>
        </w:rPr>
      </w:pPr>
    </w:p>
    <w:p>
      <w:pPr>
        <w:ind w:left="300" w:right="359" w:firstLine="360"/>
        <w:spacing w:after="0" w:line="285"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to acquire additional real property and purchase additional production equipment associated with the manufacture of synthetic graphite. For example, in May 2021, we purchased commercial land and buildings in Nova Scotia, Canada for C$3,550,000 from which the cathode business will operate. We entered into a C$4,375,000 loan facility to purchase and upgrade the land and buildings, of which C$3,169,216 has been drawn down as of the date of this registration statement. The full facility is repayable in monthly installments, commencing May 2022 and ending in April 2047. In addition, we expect to incur significant commercialization expenses related to sales, marketing, and distribution to the extent that such sales, marketing and distribution are not the responsibility of any future customers. Further, we expect to incur additional costs associated with operating as a public company in the United States. We may find that these efforts are more expensive than we currently anticipate or that these efforts may not result in revenues, which would further increase our losses, impact our ability to repay our debt and require future capital raises to maintain the business. Accordingly, we will need to obtain substantial additional funding in connection with our continuing operations. There can be no assurance that such financing would be available to us on favorable terms or at all. These conditions give rise to substantial doubt over our ability to continue as a going concern. If we were not able to continue as a going concern, or if there were continued doubt about our ability to do so, the value of your investment would be materially and adversely affected.</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future growth and success will depend on our ability to sell effectively to large customers.</w:t>
      </w:r>
    </w:p>
    <w:p>
      <w:pPr>
        <w:spacing w:after="0" w:line="117"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Our current and potential customers are primarily battery manufacturers and automotive OEMs that tend to be large enterprises. Therefore, our future success will depend on our ability to effectively sell our materials, equipment and services to such large customers. Sales to these end-customers involve risks that may not be present (or that are present to a lesser extent) with sales to smaller customers. These risks include, but are not limited to, (i) increased purchasing power, pricing power, and leverage held by large customers in negotiating contractual arrangements with us and (ii) higher minimum volume requirements that we may be unable to meet and (iii) longer sales cycles and the associated risk that substantial time and resources may be spent on a potential customer that elects not to purchase our materials, equipment or services.</w:t>
      </w:r>
    </w:p>
    <w:p>
      <w:pPr>
        <w:spacing w:after="0" w:line="70" w:lineRule="exact"/>
        <w:rPr>
          <w:sz w:val="20"/>
          <w:szCs w:val="20"/>
          <w:color w:val="auto"/>
        </w:rPr>
      </w:pPr>
    </w:p>
    <w:p>
      <w:pPr>
        <w:ind w:left="300" w:right="679" w:firstLine="360"/>
        <w:spacing w:after="0" w:line="311" w:lineRule="auto"/>
        <w:rPr>
          <w:sz w:val="20"/>
          <w:szCs w:val="20"/>
          <w:color w:val="auto"/>
        </w:rPr>
      </w:pPr>
      <w:r>
        <w:rPr>
          <w:rFonts w:ascii="Arial" w:cs="Arial" w:eastAsia="Arial" w:hAnsi="Arial"/>
          <w:sz w:val="16"/>
          <w:szCs w:val="16"/>
          <w:color w:val="auto"/>
        </w:rPr>
        <w:t>Large organizations often undertake a significant evaluation process that results in a lengthy sales cycle. In addition, purchases by large organizations are frequently subject to budget constraints, multiple approvals and unanticipated administrative, processing and other delays. Finally, large organizations typically have longer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w:t>
      </w:r>
    </w:p>
    <w:p>
      <w:pPr>
        <w:spacing w:after="0" w:line="349"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b w:val="1"/>
          <w:bCs w:val="1"/>
          <w:i w:val="1"/>
          <w:iCs w:val="1"/>
          <w:color w:val="auto"/>
        </w:rPr>
        <w:t>We depend, and expect to continue to depend, on a limited number of customers for a significant percentage of our revenue.</w:t>
      </w:r>
    </w:p>
    <w:p>
      <w:pPr>
        <w:spacing w:after="0" w:line="62" w:lineRule="exact"/>
        <w:rPr>
          <w:sz w:val="20"/>
          <w:szCs w:val="20"/>
          <w:color w:val="auto"/>
        </w:rPr>
      </w:pPr>
    </w:p>
    <w:p>
      <w:pPr>
        <w:jc w:val="both"/>
        <w:ind w:left="300" w:right="439" w:firstLine="360"/>
        <w:spacing w:after="0" w:line="287" w:lineRule="auto"/>
        <w:rPr>
          <w:sz w:val="20"/>
          <w:szCs w:val="20"/>
          <w:color w:val="auto"/>
        </w:rPr>
      </w:pPr>
      <w:r>
        <w:rPr>
          <w:rFonts w:ascii="Arial" w:cs="Arial" w:eastAsia="Arial" w:hAnsi="Arial"/>
          <w:sz w:val="16"/>
          <w:szCs w:val="16"/>
          <w:color w:val="auto"/>
        </w:rPr>
        <w:t>Our BTS business is currently our only business that is generating revenue, and BTS has generated most of its revenue from a limited number of customers. For example, sales to our top five BTS customers accounted for 41% and 57% of our total revenue for the year ended June 30, 2020, and the year ended June 30, 2021, respectively.</w:t>
      </w:r>
    </w:p>
    <w:p>
      <w:pPr>
        <w:spacing w:after="0" w:line="2" w:lineRule="exact"/>
        <w:rPr>
          <w:sz w:val="20"/>
          <w:szCs w:val="20"/>
          <w:color w:val="auto"/>
        </w:rPr>
      </w:pPr>
    </w:p>
    <w:p>
      <w:pPr>
        <w:ind w:left="300" w:right="319"/>
        <w:spacing w:after="0" w:line="252" w:lineRule="auto"/>
        <w:rPr>
          <w:sz w:val="20"/>
          <w:szCs w:val="20"/>
          <w:color w:val="auto"/>
        </w:rPr>
      </w:pPr>
      <w:r>
        <w:rPr>
          <w:rFonts w:ascii="Arial" w:cs="Arial" w:eastAsia="Arial" w:hAnsi="Arial"/>
          <w:sz w:val="18"/>
          <w:szCs w:val="18"/>
          <w:color w:val="auto"/>
        </w:rPr>
        <w:t>Although our NOVONIX Anode Materials business is not yet generating revenue, our plans to scale the business are dependent upon our collaborations with Samsung SDI and SANYO Electric (a Panasonic company) (“SANYO Electric”) resulting in sales of our anode materials to those parties. Because we rely, and will continue to rely, on a limited number of customers for significant percentages of our revenue, a decrease in demand or significant pricing pressure from any of our major customers for any reason could have a materially adverse impact on our business, financial condition and results of operations.</w:t>
      </w:r>
    </w:p>
    <w:p>
      <w:pPr>
        <w:spacing w:after="0" w:line="86"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In addition, a number of factors not within our control could cause the loss of, or reduction in, business or revenues from any customer, and these factors are not predictable. These factors include, among others, pricing pressure from competitors, a change in a customer’s business strategy or financial condition, or change in market conditions. Our customers may also choose to pursue alternative technologies and develop alternative products in addition to, or in lieu of, our materials and equipment, either on their own or in collaboration with others, including our competitors. The loss of any major customer or key project, or a significant decrease in the volume of customer demand or the price at which we sell our materials and equipment to customers, could materially adversely affect our financial condition and results of operations.</w:t>
      </w:r>
    </w:p>
    <w:p>
      <w:pPr>
        <w:spacing w:after="0" w:line="327"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b w:val="1"/>
          <w:bCs w:val="1"/>
          <w:i w:val="1"/>
          <w:iCs w:val="1"/>
          <w:color w:val="auto"/>
        </w:rPr>
        <w:t>We may not be able to engage target customers successfully and to convert such contacts into meaningful orders in the future.</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Our success, and our ability to increase revenue and operate profitably, depends in part on our ability to identify target customers and convert such contacts into meaningful orders or expand on current customer relationships. In addition to new customers, our future success depends on whether our current customers are willing to continue using our materials and equipment as well as whether their product lines continue to incorporate our materials and equipment.</w:t>
      </w:r>
    </w:p>
    <w:p>
      <w:pPr>
        <w:spacing w:after="0" w:line="80" w:lineRule="exact"/>
        <w:rPr>
          <w:sz w:val="20"/>
          <w:szCs w:val="20"/>
          <w:color w:val="auto"/>
        </w:rPr>
      </w:pPr>
    </w:p>
    <w:p>
      <w:pPr>
        <w:ind w:left="300" w:right="359" w:firstLine="360"/>
        <w:spacing w:after="0" w:line="288" w:lineRule="auto"/>
        <w:rPr>
          <w:sz w:val="20"/>
          <w:szCs w:val="20"/>
          <w:color w:val="auto"/>
        </w:rPr>
      </w:pPr>
      <w:r>
        <w:rPr>
          <w:rFonts w:ascii="Arial" w:cs="Arial" w:eastAsia="Arial" w:hAnsi="Arial"/>
          <w:sz w:val="16"/>
          <w:szCs w:val="16"/>
          <w:color w:val="auto"/>
        </w:rPr>
        <w:t>For example, although our NOVONIX Anode Materials business has signed a separate non-binding memorandum of understanding with two of the world’s leading EV battery manufacturers, Samsung SDI and SANYO Electric, these agreements are non-binding, do not guarantee long-term agreements will be entered into, and require the satisfaction of quality standards and milestones of delivering mass production volume samples from the Generation 2 furnace systems for final qualification. There is no assurance that these conditions will ultimately be satisfied. As of July 2021, the first mass production materials from the Generation 2 furnace system have been shipped to SANYO Electric for qualification. However, if future production requirements, or similar production requirements with other potential customers, are not met, or the materials produced are not of acceptable quality, we may lose these customers and lose credibility with other domestic and international battery manufacturers and automotive OEMs, any of which could materially adversely affect our financial condition and results of operations.</w:t>
      </w:r>
    </w:p>
    <w:p>
      <w:pPr>
        <w:spacing w:after="0" w:line="60" w:lineRule="exact"/>
        <w:rPr>
          <w:sz w:val="20"/>
          <w:szCs w:val="20"/>
          <w:color w:val="auto"/>
        </w:rPr>
      </w:pPr>
    </w:p>
    <w:p>
      <w:pPr>
        <w:ind w:left="300" w:right="519" w:firstLine="360"/>
        <w:spacing w:after="0" w:line="273" w:lineRule="auto"/>
        <w:rPr>
          <w:sz w:val="20"/>
          <w:szCs w:val="20"/>
          <w:color w:val="auto"/>
        </w:rPr>
      </w:pPr>
      <w:r>
        <w:rPr>
          <w:rFonts w:ascii="Arial" w:cs="Arial" w:eastAsia="Arial" w:hAnsi="Arial"/>
          <w:sz w:val="17"/>
          <w:szCs w:val="17"/>
          <w:color w:val="auto"/>
        </w:rPr>
        <w:t>Our R&amp;D efforts strive to create materials and equipment that are on the cutting edge of technology, but competition in our industry is high. To secure acceptance of our materials and equipment, we must constantly develop and introduce materials and equipment that are cost-effective and with enhanced functionality and performance to meet evolving industry standards. If we are unable to meet our customers’ performance or volume requirements or industry specifications, retain or convert target customers, our business, prospects, financial condition and operating results could be materially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342" w:lineRule="auto"/>
        <w:rPr>
          <w:sz w:val="20"/>
          <w:szCs w:val="20"/>
          <w:color w:val="auto"/>
        </w:rPr>
      </w:pPr>
      <w:r>
        <w:rPr>
          <w:rFonts w:ascii="Arial" w:cs="Arial" w:eastAsia="Arial" w:hAnsi="Arial"/>
          <w:sz w:val="16"/>
          <w:szCs w:val="16"/>
          <w:b w:val="1"/>
          <w:bCs w:val="1"/>
          <w:i w:val="1"/>
          <w:iCs w:val="1"/>
          <w:color w:val="auto"/>
        </w:rPr>
        <w:t>We have a concentration of ownership among Phillips 66 and our executive officers, non-executive directors and their affiliates that may prevent new investors from influencing significant corporate decisions.</w:t>
      </w:r>
    </w:p>
    <w:p>
      <w:pPr>
        <w:spacing w:after="0" w:line="16" w:lineRule="exact"/>
        <w:rPr>
          <w:sz w:val="20"/>
          <w:szCs w:val="20"/>
          <w:color w:val="auto"/>
        </w:rPr>
      </w:pPr>
    </w:p>
    <w:p>
      <w:pPr>
        <w:ind w:left="300" w:right="579" w:firstLine="360"/>
        <w:spacing w:after="0" w:line="263" w:lineRule="auto"/>
        <w:rPr>
          <w:sz w:val="20"/>
          <w:szCs w:val="20"/>
          <w:color w:val="auto"/>
        </w:rPr>
      </w:pPr>
      <w:r>
        <w:rPr>
          <w:rFonts w:ascii="Arial" w:cs="Arial" w:eastAsia="Arial" w:hAnsi="Arial"/>
          <w:sz w:val="18"/>
          <w:szCs w:val="18"/>
          <w:color w:val="auto"/>
        </w:rPr>
        <w:t>In September 2021, we consummated a transaction with Phillips 66 pursuant to which Phillips 66 purchased 77,962,578 ordinary shares of NOVONIX for a total purchase price of US$150 million (the “Phillips 66 Transaction”).</w:t>
      </w:r>
    </w:p>
    <w:p>
      <w:pPr>
        <w:spacing w:after="0" w:line="76" w:lineRule="exact"/>
        <w:rPr>
          <w:sz w:val="20"/>
          <w:szCs w:val="20"/>
          <w:color w:val="auto"/>
        </w:rPr>
      </w:pPr>
    </w:p>
    <w:p>
      <w:pPr>
        <w:ind w:left="300" w:right="439" w:firstLine="360"/>
        <w:spacing w:after="0" w:line="269" w:lineRule="auto"/>
        <w:rPr>
          <w:sz w:val="20"/>
          <w:szCs w:val="20"/>
          <w:color w:val="auto"/>
        </w:rPr>
      </w:pPr>
      <w:r>
        <w:rPr>
          <w:rFonts w:ascii="Arial" w:cs="Arial" w:eastAsia="Arial" w:hAnsi="Arial"/>
          <w:sz w:val="17"/>
          <w:szCs w:val="17"/>
          <w:color w:val="auto"/>
        </w:rPr>
        <w:t>As a result of the Phillips 66 Transaction, Phillips 66 beneficially owns approximately 16.2% of our ordinary shares (based on the number of our outstanding shares as of September 30, 2021), and, as of September 30, 2021, our executive officers, non-executive directors and their affiliates as a group beneficially owned approximately 23.3% as a group will be able to exercise a significant level of control over all matters requiring shareholder approval. This control could have the effect of delaying or preventing a change of control or changes in our management and will make the approval of certain transactions difficult or impossible without the support of these shareholders and of their votes. In addition, pursuant to the terms of the Phillips 66 Transaction, Phillips 66 has the right to nominate one director to our Board of Directors and certain rights to be notified of, and/or participate in, issuances of shares by the Company (other than distributions of shares to the Company’s shareholders on a pro rata basis). The interests of Phillips 66 and these shareholders may differ from our interests or those of our other shareholders, and these shareholders may not exercise their voting power in a manner favorable to our other shareholders.</w:t>
      </w:r>
    </w:p>
    <w:p>
      <w:pPr>
        <w:spacing w:after="0" w:line="179"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b w:val="1"/>
          <w:bCs w:val="1"/>
          <w:i w:val="1"/>
          <w:iCs w:val="1"/>
          <w:color w:val="auto"/>
        </w:rPr>
        <w:t>Our commercial relationships are subject to various risks which could adversely affect our business and future prospects.</w:t>
      </w:r>
    </w:p>
    <w:p>
      <w:pPr>
        <w:spacing w:after="0" w:line="62"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Many of our commercial relationships are conditional, subject to supply performance, market conditions, quality assurance processes and audits of supplier processes fulfillments. There can be no assurance that we will be able to satisfy the conditions set forth by any of our current or future business partners. If we are unsuccessful in meeting the demand for high-quality materials and equipment, our business and prospects will be materially adversely affected.</w:t>
      </w:r>
    </w:p>
    <w:p>
      <w:pPr>
        <w:spacing w:after="0" w:line="80"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In addition, our business partners may have economic, business or legal interests or goals that are inconsistent with our goals. Any disagreements with our business partners may impede our ability to maximize the benefits of any partnerships and slow the commercialization of materials and equipment. Our arrangements may require us, among other things, to pay certain costs or to make certain capital investments, for which we may not have the resources. In addition, if our business partners are unable or unwilling to meet their economic or other obligations under any business arrangements, our business and prospects will be materially adversely affected.</w:t>
      </w:r>
    </w:p>
    <w:p>
      <w:pPr>
        <w:spacing w:after="0" w:line="164" w:lineRule="exact"/>
        <w:rPr>
          <w:sz w:val="20"/>
          <w:szCs w:val="20"/>
          <w:color w:val="auto"/>
        </w:rPr>
      </w:pPr>
    </w:p>
    <w:p>
      <w:pPr>
        <w:jc w:val="both"/>
        <w:ind w:left="300" w:right="439"/>
        <w:spacing w:after="0" w:line="263" w:lineRule="auto"/>
        <w:rPr>
          <w:sz w:val="20"/>
          <w:szCs w:val="20"/>
          <w:color w:val="auto"/>
        </w:rPr>
      </w:pPr>
      <w:r>
        <w:rPr>
          <w:rFonts w:ascii="Arial" w:cs="Arial" w:eastAsia="Arial" w:hAnsi="Arial"/>
          <w:sz w:val="18"/>
          <w:szCs w:val="18"/>
          <w:b w:val="1"/>
          <w:bCs w:val="1"/>
          <w:i w:val="1"/>
          <w:iCs w:val="1"/>
          <w:color w:val="auto"/>
        </w:rPr>
        <w:t>We benefit from our collaborative research agreement with Dalhousie University to support the development of our current and future technology. Termination of this agreement would likely harm our business, and even if it continues, it may not be successful.</w:t>
      </w:r>
    </w:p>
    <w:p>
      <w:pPr>
        <w:spacing w:after="0" w:line="76"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In October 2018, we entered into a five-year sponsorship agreement with the Research Group of Dr. Mark Obrovac at Dalhousie University (“Dalhousie”) to develop new battery technologies. In February 2021, a new, collaborative research agreement was established and will last for a term of five years. However, the agreement may be terminated at will by either party upon 90 days’ notice, including without cause. If Dalhousie elects to terminate the agreement with us, our ability to continue to develop our technologies could be adversely impacted.</w:t>
      </w:r>
    </w:p>
    <w:p>
      <w:pPr>
        <w:spacing w:after="0" w:line="53"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In addition, as of the date of this registration statement, most of our patents have been developed through this sponsorship or include technology developed through this sponsorship. Although this sponsorship has been historically successful in new intellectual property generation, there can be no assurance that it will be successful in future efforts to develop any new intellectual property. Moreover, while we have the first right to file patent applications based on intellectual property generated under our agreement with Dalhousie, and we would be the sole owner of any such patent and the intellectual property incorporated therein, there can be no guarantee that any such commercialization will be successful. Disputes may arise between us and the other parties to the sponsorship agreement regarding intellectual property subject to the sponsorship or other matters, including with respect to: the scope of rights granted under, and ownership of the intellectual property resulting from, the agreement and other interpretation-related issues; the amount and timing of payments; the rights and obligations of the parties under the agreement; and the ownership of inventions and know-how resulting from the joint creation or use of intellectual property by each of the parties.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Any disputes with Dalhousie may prevent or impair our ability to maintain our current arrangement. We benefit from the intellectual property development assistance from Dalhousie to develop, manufacture, expand, and accelerate our materials and technology. We cannot assure you that we will be able to continue to comply with the terms of the sponsorship. Termination of the sponsorship of Dr. Obrovac’s Research Group at Dalhousie could result in the loss of important rights and would likely harm our ability to further develop our technology.</w:t>
      </w:r>
    </w:p>
    <w:p>
      <w:pPr>
        <w:spacing w:after="0" w:line="161"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b w:val="1"/>
          <w:bCs w:val="1"/>
          <w:i w:val="1"/>
          <w:iCs w:val="1"/>
          <w:color w:val="auto"/>
        </w:rPr>
        <w:t>We face significant challenges in our attempt to develop our anode and cathode materials and produce them at high volumes with acceptable performance, yields and costs. The pace of development in materials science is often not predictable. We may encounter substantial delays or operational problems in the scale-up of our anode or cathode materials.</w:t>
      </w:r>
    </w:p>
    <w:p>
      <w:pPr>
        <w:spacing w:after="0" w:line="79" w:lineRule="exact"/>
        <w:rPr>
          <w:sz w:val="20"/>
          <w:szCs w:val="20"/>
          <w:color w:val="auto"/>
        </w:rPr>
      </w:pPr>
    </w:p>
    <w:p>
      <w:pPr>
        <w:ind w:left="300" w:right="399" w:firstLine="360"/>
        <w:spacing w:after="0" w:line="287" w:lineRule="auto"/>
        <w:rPr>
          <w:sz w:val="20"/>
          <w:szCs w:val="20"/>
          <w:color w:val="auto"/>
        </w:rPr>
      </w:pPr>
      <w:r>
        <w:rPr>
          <w:rFonts w:ascii="Arial" w:cs="Arial" w:eastAsia="Arial" w:hAnsi="Arial"/>
          <w:sz w:val="16"/>
          <w:szCs w:val="16"/>
          <w:color w:val="auto"/>
        </w:rPr>
        <w:t>Developing anode and cathode materials that meet the requirements for wide adoption by our potential customers is a difficult undertaking. We are still in the development stage for certain of our materials and face significant challenges and in producing our materials in commercial volumes. Some of the development challenges that could prevent our ability to scale up production of our materials include changes in product performance from small to large scale production, challenges in deployment of mass production equipment, and inability to produce materials cost effectively at large volumes. If we are unable to cost efficiently design, manufacture, market, sell and distribute our materials and equipment, our margins, profitability and prospects would be materially and adversely affected. We have only recently begun production of materials with our Generation 2 furnace systems and we have yet to produce cathode materials beyond lab and small pilot volumes. Our forecasted cost advantage for the production of these materials at scale will require us to achieve rates of yield that we have not yet achieved. If we are unable to achieve these targeted rates, our business will be adversely impacted.</w:t>
      </w:r>
    </w:p>
    <w:p>
      <w:pPr>
        <w:spacing w:after="0" w:line="64"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Any delay in the manufacturing scale-up of our anode materials or the progression of our cathode materials from lab to commercial scale manufacturing would negatively impact our business as it will delay time to revenue and negatively impact our customer relationships.</w:t>
      </w:r>
    </w:p>
    <w:p>
      <w:pPr>
        <w:spacing w:after="0" w:line="76"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We currently have plans to increase our facility’s target capacity of anode materials utilizing new proprietary furnace technology developed in collaboration with Harper International Corporation. In April 2021, we completed the installation of the first Generation 2 furnace developed through this collaboration and have recently begun production of materials in that Generation 2 system for internal testing and to support customer qualification requirements. We have not yet completed the installation of any Generation 3 furnace systems. Our ability to produce at increased capacity is largely dependent upon Harper manufacturing and supplying, and our successful implementation of, either Generation 2 or Generation 3 furnace systems, as well as an increase in staffing focused on plant design and engineering. The targeted production capacity scale of our anode materials to 10,000 tonnes per year in 2023, and our hopes to expand our annual production capacity to 40,000 tonnes in 2025 and 150,000 tonnes in 2030, are also contingent on the successful satisfaction of a number of other factors, some of which are beyond our control, including, among others, that we obtain funding on attractive terms to enable further expansion of our current production facilities and could require that we expand our production capacity through acquisitions, joint ventures or other inorganic means. Acquisitions, if pursued,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 If we are unable to execute on those expansion efforts for any reason, we may experience a delay in the manufacturing scale-up or the scale-up may not occur at all, which would result in the loss of customers and materially damage our business, prospects, financial condition, operating results and brand.</w:t>
      </w:r>
    </w:p>
    <w:p>
      <w:pPr>
        <w:spacing w:after="0" w:line="279" w:lineRule="exact"/>
        <w:rPr>
          <w:sz w:val="20"/>
          <w:szCs w:val="20"/>
          <w:color w:val="auto"/>
        </w:rPr>
      </w:pPr>
    </w:p>
    <w:p>
      <w:pPr>
        <w:ind w:left="300" w:right="419" w:firstLine="360"/>
        <w:spacing w:after="0" w:line="279" w:lineRule="auto"/>
        <w:rPr>
          <w:sz w:val="20"/>
          <w:szCs w:val="20"/>
          <w:color w:val="auto"/>
        </w:rPr>
      </w:pPr>
      <w:r>
        <w:rPr>
          <w:rFonts w:ascii="Arial" w:cs="Arial" w:eastAsia="Arial" w:hAnsi="Arial"/>
          <w:sz w:val="17"/>
          <w:szCs w:val="17"/>
          <w:color w:val="auto"/>
        </w:rPr>
        <w:t>The progression of our cathode materials from lab to commercial scale manufacturing is contingent upon the success of our DPMG and single crystal cathode methodology and expansion of our production scale. If production of cathode materials using this methodology, either on pilot or commercial scale, is not successful, our business, prospects, financial condition, operating results and brand may be materially adversely affected.</w:t>
      </w:r>
    </w:p>
    <w:p>
      <w:pPr>
        <w:spacing w:after="0" w:line="63"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Operational problems with our manufacturing and related equipment could also result in the personal injury or death of workers, safety or environmental incidents, the loss of production equipment, damage to manufacturing facilities, monetary losses, delays and unanticipated fluctuations in production. In addition, operational problems may result in environmental damage, administrative fines, increased insurance costs and potential legal liabilities. All of these operational problems could have a material adverse effect on our business, results of operations, cash flows, financial condition or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79"/>
        <w:spacing w:after="0" w:line="259" w:lineRule="auto"/>
        <w:rPr>
          <w:sz w:val="20"/>
          <w:szCs w:val="20"/>
          <w:color w:val="auto"/>
        </w:rPr>
      </w:pPr>
      <w:r>
        <w:rPr>
          <w:rFonts w:ascii="Arial" w:cs="Arial" w:eastAsia="Arial" w:hAnsi="Arial"/>
          <w:sz w:val="18"/>
          <w:szCs w:val="18"/>
          <w:b w:val="1"/>
          <w:bCs w:val="1"/>
          <w:i w:val="1"/>
          <w:iCs w:val="1"/>
          <w:color w:val="auto"/>
        </w:rPr>
        <w:t>We may not be able to accurately estimate the future supply and demand for our materials and equipment, which could result in a variety of inefficiencies in our business and hinder our ability to generate revenue. If we fail to accurately predict our manufacturing requirements or prices of components increase, we could incur additional costs or experience delays.</w:t>
      </w:r>
    </w:p>
    <w:p>
      <w:pPr>
        <w:spacing w:after="0" w:line="79"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It is difficult to predict our future revenues and appropriately budget for our expenses, and our views as to industry trends that may emerge may prove false, which could affect our business. Currently, there is limited historical basis for making judgments on the demand for our materials or equipment, or our ability to develop, manufacture, and deliver our materials or equipment, or our profitability in the future. If we overestimate our requirements, our suppliers may have excess inventory, which indirectly would increase our costs. If we underestimate our requirements, our suppliers may have inadequate inventory, which could interrupt manufacturing of our materials or equipment and result in delays in shipments and revenues. In addition, lead times for materials that our suppliers order may vary significantly and depend on factors such as the specific supplier, contract terms and demand for each material at a given time. If we fail to order sufficient quantities of materials in a timely manner, the delivery of materials or equipment to our potential customers could be delayed, which would harm our business, financial condition and operating results.</w:t>
      </w:r>
    </w:p>
    <w:p>
      <w:pPr>
        <w:spacing w:after="0" w:line="74"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Additionally, agreements for the purchase of certain components used in the manufacture of our materials and equipment may contain pricing provisions that are subject to adjustment based on changes in market prices of key components. Substantial increases in the prices for such components would increase our operating costs and could reduce our margins if we cannot recoup the increased costs. Any attempts to increase the announced or expected prices of our materials and equipment in response to increased costs of components could be viewed negatively by our potential customers and could adversely affect our business, prospects, financial condition or operating results.</w:t>
      </w:r>
    </w:p>
    <w:p>
      <w:pPr>
        <w:spacing w:after="0" w:line="164" w:lineRule="exact"/>
        <w:rPr>
          <w:sz w:val="20"/>
          <w:szCs w:val="20"/>
          <w:color w:val="auto"/>
        </w:rPr>
      </w:pPr>
    </w:p>
    <w:p>
      <w:pPr>
        <w:ind w:left="300" w:right="299"/>
        <w:spacing w:after="0" w:line="263" w:lineRule="auto"/>
        <w:rPr>
          <w:sz w:val="20"/>
          <w:szCs w:val="20"/>
          <w:color w:val="auto"/>
        </w:rPr>
      </w:pPr>
      <w:r>
        <w:rPr>
          <w:rFonts w:ascii="Arial" w:cs="Arial" w:eastAsia="Arial" w:hAnsi="Arial"/>
          <w:sz w:val="18"/>
          <w:szCs w:val="18"/>
          <w:b w:val="1"/>
          <w:bCs w:val="1"/>
          <w:i w:val="1"/>
          <w:iCs w:val="1"/>
          <w:color w:val="auto"/>
        </w:rPr>
        <w:t>We may not be able to establish supply relationships for necessary components or may be required to pay costs for components that are more expensive than anticipated, which could delay the introduction of our equipment and negatively impact our business.</w:t>
      </w:r>
    </w:p>
    <w:p>
      <w:pPr>
        <w:spacing w:after="0" w:line="76"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As we expand our anode materials manufacturing capabilities, we will begin to rely on third-party suppliers for components and materials. Any disruption or delay in the supply of components or materials by our key third-party suppliers or pricing volatility of such components or materials could temporarily disrupt production of our anode materials until an alternative supplier is able to supply the required material. In such circumstances, we may experience prolonged delays, which may materially and adversely affect our results of operations, financial condition and prospects.</w:t>
      </w:r>
    </w:p>
    <w:p>
      <w:pPr>
        <w:spacing w:after="0" w:line="84"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We may not be able to control fluctuation in the prices for these materials or negotiate agreement with suppliers on terms that are beneficial to us. Our business depends on the continued supply of certain proprietary materials for our materials and equipment. We are exposed to multiple risks relating to the availability and pricing of such materials and components. Substantial increases in the prices for our raw materials or components would increase our operating costs and materially impact our financial condition.</w:t>
      </w:r>
    </w:p>
    <w:p>
      <w:pPr>
        <w:spacing w:after="0" w:line="80" w:lineRule="exact"/>
        <w:rPr>
          <w:sz w:val="20"/>
          <w:szCs w:val="20"/>
          <w:color w:val="auto"/>
        </w:rPr>
      </w:pPr>
    </w:p>
    <w:p>
      <w:pPr>
        <w:ind w:left="300" w:right="839" w:firstLine="360"/>
        <w:spacing w:after="0" w:line="257" w:lineRule="auto"/>
        <w:rPr>
          <w:sz w:val="20"/>
          <w:szCs w:val="20"/>
          <w:color w:val="auto"/>
        </w:rPr>
      </w:pPr>
      <w:r>
        <w:rPr>
          <w:rFonts w:ascii="Arial" w:cs="Arial" w:eastAsia="Arial" w:hAnsi="Arial"/>
          <w:sz w:val="18"/>
          <w:szCs w:val="18"/>
          <w:color w:val="auto"/>
        </w:rPr>
        <w:t>Currency fluctuations, trade barriers, extreme weather, pandemics, tariffs or shortages and other general economic or political conditions may limit our ability to obtain key components for our battery cell testing equipment or significantly increase freight charges, raw material costs and other expenses associated with our business, which could further materially and adversely affect its results of operations, financial condition and prospects.</w:t>
      </w:r>
    </w:p>
    <w:p>
      <w:pPr>
        <w:spacing w:after="0" w:line="188"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key employees and qualified personnel, our ability to compete could be harmed.</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Our success depends on our ability to attract and retain our executive officers, key employees and other qualified personnel, and our operations may be severely disrupted if we lost their services. As we build our brand and become better known, there is increased risk that competitors or other companies will seek to hire our personnel. The failure to attract, integrate, train, motivate and retain such key personnel could seriously harm our business and prospects.</w:t>
      </w:r>
    </w:p>
    <w:p>
      <w:pPr>
        <w:spacing w:after="0" w:line="80"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In addition, we are highly dependent on the services of Dr. Chris Burns, our Chief Executive Officer, and other senior technical and management personnel, including our executive officers, who would be difficult to replace. If Dr. Burns or other key personnel were to depart, we may not be able to successfully attract and retain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spacing w:after="0" w:line="263" w:lineRule="auto"/>
        <w:rPr>
          <w:sz w:val="20"/>
          <w:szCs w:val="20"/>
          <w:color w:val="auto"/>
        </w:rPr>
      </w:pPr>
      <w:r>
        <w:rPr>
          <w:rFonts w:ascii="Arial" w:cs="Arial" w:eastAsia="Arial" w:hAnsi="Arial"/>
          <w:sz w:val="18"/>
          <w:szCs w:val="18"/>
          <w:color w:val="auto"/>
        </w:rPr>
        <w:t>senior leadership necessary to grow our business. We do not currently maintain “key person” life insurance on the lives of our executives or any of our employees. This lack of insurance means that we may not receive adequate compensation for the loss of the services of these individuals.</w:t>
      </w:r>
    </w:p>
    <w:p>
      <w:pPr>
        <w:spacing w:after="0" w:line="346"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b w:val="1"/>
          <w:bCs w:val="1"/>
          <w:i w:val="1"/>
          <w:iCs w:val="1"/>
          <w:color w:val="auto"/>
        </w:rPr>
        <w:t>Labor shortages, turnover, and labor cost increases could adversely impact our ability to scale-up manufacturing of our cathode and anode materials.</w:t>
      </w:r>
    </w:p>
    <w:p>
      <w:pPr>
        <w:spacing w:after="0" w:line="62"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The COVID-19 pandemic has resulted in aggressive competition for talent, wage inflation and pressure to improve benefits and workplace conditions to remain competitive. Challenging conditions due to the COVID-19 pandemic and the highly competitive wage pressure resulting from the labor shortage make it difficult to attract and retain the best talent.</w:t>
      </w:r>
    </w:p>
    <w:p>
      <w:pPr>
        <w:spacing w:after="0" w:line="79"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A sustained labor shortage or increased turnover rates within our employee base, caused by COVID-19 or as a result of general macroeconomic factors, could lead to increased costs, such as increased overtime or financial incentives to meet demand and increased wage rates to attract and retain employees, and could negatively affect our ability to scale-up manufacturing for our anode and cathode materials.</w:t>
      </w:r>
    </w:p>
    <w:p>
      <w:pPr>
        <w:spacing w:after="0" w:line="320" w:lineRule="exact"/>
        <w:rPr>
          <w:sz w:val="20"/>
          <w:szCs w:val="20"/>
          <w:color w:val="auto"/>
        </w:rPr>
      </w:pPr>
    </w:p>
    <w:p>
      <w:pPr>
        <w:ind w:left="300" w:right="399"/>
        <w:spacing w:after="0" w:line="311" w:lineRule="auto"/>
        <w:rPr>
          <w:sz w:val="20"/>
          <w:szCs w:val="20"/>
          <w:color w:val="auto"/>
        </w:rPr>
      </w:pPr>
      <w:r>
        <w:rPr>
          <w:rFonts w:ascii="Arial" w:cs="Arial" w:eastAsia="Arial" w:hAnsi="Arial"/>
          <w:sz w:val="16"/>
          <w:szCs w:val="16"/>
          <w:b w:val="1"/>
          <w:bCs w:val="1"/>
          <w:i w:val="1"/>
          <w:iCs w:val="1"/>
          <w:color w:val="auto"/>
        </w:rPr>
        <w:t>We may need to obtain funding from time to time to finance our growth and operations, which may not be available on acceptable terms, or at all. If we are unable to raise capital when needed, we may be forced to delay, reduce or eliminate certain operations, and we may be unable to adequately control their costs.</w:t>
      </w:r>
    </w:p>
    <w:p>
      <w:pPr>
        <w:spacing w:after="0" w:line="41"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We require significant capital to develop and grow our business and expect to incur significant expenses, including those relating to research and development, leases, regulatory compliance, sales and distribution as we build our brand and market our materials, equipment and services, and general and administrative costs as we scale our operations. Our ability to become profitable in the future will not only depend on our ability to successfully market our materials, equipment and services, but also to control their costs and may require us to obtain additional funding.</w:t>
      </w:r>
    </w:p>
    <w:p>
      <w:pPr>
        <w:spacing w:after="0" w:line="84"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We anticipate that we will need to increase our product development, scientific and administrative headcount. In particular, we will require additional key staff for development as well as additional key financial and administrative personnel. Such an evolution may impact our strategic focus and our deployment and allocation of resources.</w:t>
      </w:r>
    </w:p>
    <w:p>
      <w:pPr>
        <w:spacing w:after="0" w:line="79" w:lineRule="exact"/>
        <w:rPr>
          <w:sz w:val="20"/>
          <w:szCs w:val="20"/>
          <w:color w:val="auto"/>
        </w:rPr>
      </w:pPr>
    </w:p>
    <w:p>
      <w:pPr>
        <w:ind w:left="300" w:right="479" w:firstLine="360"/>
        <w:spacing w:after="0" w:line="296" w:lineRule="auto"/>
        <w:rPr>
          <w:sz w:val="20"/>
          <w:szCs w:val="20"/>
          <w:color w:val="auto"/>
        </w:rPr>
      </w:pPr>
      <w:r>
        <w:rPr>
          <w:rFonts w:ascii="Arial" w:cs="Arial" w:eastAsia="Arial" w:hAnsi="Arial"/>
          <w:sz w:val="16"/>
          <w:szCs w:val="16"/>
          <w:color w:val="auto"/>
        </w:rPr>
        <w:t>Our ability to manage our operations and growth effectively depends upon the continual improvement of our procedures, reporting systems and operational, financial and management controls. We may not be able to implement administrative and operational improvements in an efficient or timely manner and may discover deficiencies in existing systems and controls. If we do not meet these challenges, we may be unable to execute our business strategies and may be forced to expend more resources than anticipated addressing these issues.</w:t>
      </w:r>
    </w:p>
    <w:p>
      <w:pPr>
        <w:spacing w:after="0" w:line="53"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While not currently part of our growth strategy, we may acquire additional technology and complementary businesses in the future. If we are unable to successfully manage our growth, the increased complexity of our operations, and the obtain and appropriately allocate and deploy resources, our business, financial position, results of operations and prospects may be harmed.</w:t>
      </w:r>
    </w:p>
    <w:p>
      <w:pPr>
        <w:spacing w:after="0" w:line="79"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As of September 30, 2021, we had A$290,971,003 (US$218,119,193) in cash, cash equivalents and short-term investments. This number is unaudited and does not present all information necessary for an understanding of our financial condition as of September 30, 2021 and our results of operations for the three months ended September 30, 2021. PwC has not audited, reviewed, compiled or performed any procedures with respect to these results and does not express an opinion or any other form of assurance with respect thereto.</w:t>
      </w:r>
    </w:p>
    <w:p>
      <w:pPr>
        <w:spacing w:after="0" w:line="53" w:lineRule="exact"/>
        <w:rPr>
          <w:sz w:val="20"/>
          <w:szCs w:val="20"/>
          <w:color w:val="auto"/>
        </w:rPr>
      </w:pPr>
    </w:p>
    <w:p>
      <w:pPr>
        <w:ind w:left="300" w:right="779" w:firstLine="360"/>
        <w:spacing w:after="0" w:line="291" w:lineRule="auto"/>
        <w:rPr>
          <w:sz w:val="20"/>
          <w:szCs w:val="20"/>
          <w:color w:val="auto"/>
        </w:rPr>
      </w:pPr>
      <w:r>
        <w:rPr>
          <w:rFonts w:ascii="Arial" w:cs="Arial" w:eastAsia="Arial" w:hAnsi="Arial"/>
          <w:sz w:val="16"/>
          <w:szCs w:val="16"/>
          <w:color w:val="auto"/>
        </w:rPr>
        <w:t>We believe that our existing cash and cash equivalents are sufficient to allow us to expand our production capacity to an expected 10,000 tonnes per year by 2023. We believe our recently consummated Phillips</w:t>
      </w:r>
    </w:p>
    <w:p>
      <w:pPr>
        <w:ind w:left="300" w:right="319"/>
        <w:spacing w:after="0" w:line="290" w:lineRule="auto"/>
        <w:rPr>
          <w:sz w:val="20"/>
          <w:szCs w:val="20"/>
          <w:color w:val="auto"/>
        </w:rPr>
      </w:pPr>
      <w:r>
        <w:rPr>
          <w:rFonts w:ascii="Arial" w:cs="Arial" w:eastAsia="Arial" w:hAnsi="Arial"/>
          <w:sz w:val="16"/>
          <w:szCs w:val="16"/>
          <w:color w:val="auto"/>
        </w:rPr>
        <w:t>66 Transaction will help support a capacity expansion of an additional 30,000 tonnes per year, which is expected to be completed by 2025. However, we may need to raise additional capital to further expand the production scale of our anode materials and to accelerate the scale-up of our cathode technology. Adequate additional financing may not be available to us on acceptable terms, or at all. If we raise additional funds through collaboration and licensing arrangements with third parties, we may have to relinquish some rights to our technologies or our product candidates on terms that may not be favorable to us. Any additional capital-raising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efforts may divert our management from their day-to-day activities, which may adversely affect our ability to develop and commercialize our current and future product candidates, if approved. If we are unable to raise capital when needed or on acceptable terms, we may be forced to delay, reduce or altogether cease certain operations or future commercialization efforts.</w:t>
      </w:r>
    </w:p>
    <w:p>
      <w:pPr>
        <w:spacing w:after="0" w:line="349"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b w:val="1"/>
          <w:bCs w:val="1"/>
          <w:i w:val="1"/>
          <w:iCs w:val="1"/>
          <w:color w:val="auto"/>
        </w:rPr>
        <w:t>Our business and future growth depend substantially on the growth in demand for electric vehicles and batteries for grid energy storage.</w:t>
      </w:r>
    </w:p>
    <w:p>
      <w:pPr>
        <w:spacing w:after="0" w:line="62"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The demand for our materials and equipment is directly related to the market demand for electric vehicles and batteries for grid energy storage. In anticipation of an expected increase in the demand in these markets in the next few years, we are expanding our manufacturing capacity and seeking long-term strategic partnerships. However, the markets we have targeted may not achieve the level of growth we expect during the time frame projected. If markets fail to achieve our expected level of growth, we may have excess production capacity and may not be able to generate enough revenue to obtain profitability. If the market for electric vehicles or batteries for grid energy storage does not develop at the rate or in the manner or to the extent that we expect, or if critical assumptions that we have made regarding the efficiency of our energy solutions are incorrect or incomplete, our business, prospects, financial condition and operating results could be harmed.</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have been, and may in the future be, adversely affected by the global COVID-19 pandemic.</w:t>
      </w:r>
    </w:p>
    <w:p>
      <w:pPr>
        <w:spacing w:after="0" w:line="117"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We face various risks related to epidemics, pandemics, and other outbreaks, including the recent COVID-19 pandemic. The impact of COVID-19, including changes in consumer and business behavior, pandemic fears and market downturns, and restrictions on business and individual activities, has created significant volatility in the global economy and led to reduced economic activity. The spread of COVID-19 has also impacted our potential and existing customers and suppliers by disrupting the manufacturing, delivery and overall supply chain and has led to a global decrease in battery sales in markets around the world. An extended period of supply chain disruption caused by the response to Covid-19 could impact our ability to order sufficient quantities of materials necessary for manufacturing our materials and may impact our ability to deliver customer orders in a timely manner.</w:t>
      </w:r>
    </w:p>
    <w:p>
      <w:pPr>
        <w:spacing w:after="0" w:line="57" w:lineRule="exact"/>
        <w:rPr>
          <w:sz w:val="20"/>
          <w:szCs w:val="20"/>
          <w:color w:val="auto"/>
        </w:rPr>
      </w:pPr>
    </w:p>
    <w:p>
      <w:pPr>
        <w:ind w:left="300" w:right="399" w:firstLine="360"/>
        <w:spacing w:after="0" w:line="288" w:lineRule="auto"/>
        <w:rPr>
          <w:sz w:val="20"/>
          <w:szCs w:val="20"/>
          <w:color w:val="auto"/>
        </w:rPr>
      </w:pPr>
      <w:r>
        <w:rPr>
          <w:rFonts w:ascii="Arial" w:cs="Arial" w:eastAsia="Arial" w:hAnsi="Arial"/>
          <w:sz w:val="16"/>
          <w:szCs w:val="16"/>
          <w:color w:val="auto"/>
        </w:rPr>
        <w:t>COVID-19 has resulted in government authorities implementing numerous measures to try to contain the spread of the virus, such as travel bans and restrictions, quarantines, stay-at-home or shelter-in-place orders, and business shutdowns. For example, the NOVONIX Anode Materials production plant was temporarily shut down in April and May of 2020, and personnel operating restrictions and movements have been in place since that time. In addition, various aspects of our business cannot be conducted remotely, including many aspects of the development and manufacturing of our materials and equipment and the provision of our battery technology services. Measures required or recommended by government authorities may remain in place for a significant period of time and they are likely to continue to adversely affect our manufacturing plans, sales and marketing activities, business and results of operations. We may take further actions as may be required by government authorities or that we determine are in the best interests of our employees, suppliers, vendors and business partners.</w:t>
      </w:r>
    </w:p>
    <w:p>
      <w:pPr>
        <w:spacing w:after="0" w:line="60"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The extent to which the COVID-19 pandemic continues to impact our business, prospects and results of operations will depend on future developments, which are highly uncertain and cannot be predicted, including the duration and spread of the pandemic, its severity, the actions to contain the virus or treat its impact, and how quickly and to what extent normal economic and operating activities can resume. If the COVID-19 pandemic subsides, we may continue to experience an adverse impact to our business as a result of the global economic impact, including any recession that has occurred or may occur in the future.</w:t>
      </w:r>
    </w:p>
    <w:p>
      <w:pPr>
        <w:spacing w:after="0" w:line="70" w:lineRule="exact"/>
        <w:rPr>
          <w:sz w:val="20"/>
          <w:szCs w:val="20"/>
          <w:color w:val="auto"/>
        </w:rPr>
      </w:pPr>
    </w:p>
    <w:p>
      <w:pPr>
        <w:ind w:left="300" w:right="419" w:firstLine="360"/>
        <w:spacing w:after="0" w:line="342" w:lineRule="auto"/>
        <w:rPr>
          <w:sz w:val="20"/>
          <w:szCs w:val="20"/>
          <w:color w:val="auto"/>
        </w:rPr>
      </w:pPr>
      <w:r>
        <w:rPr>
          <w:rFonts w:ascii="Arial" w:cs="Arial" w:eastAsia="Arial" w:hAnsi="Arial"/>
          <w:sz w:val="16"/>
          <w:szCs w:val="16"/>
          <w:color w:val="auto"/>
        </w:rPr>
        <w:t>There are no comparable recent events that may provide guidance as to the effect of the COVID-19 pandemic, and, as a result, the ultimate impact of the COVID-19 pandemic or any other health epidemic is highly uncertain.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b w:val="1"/>
          <w:bCs w:val="1"/>
          <w:i w:val="1"/>
          <w:iCs w:val="1"/>
          <w:color w:val="auto"/>
        </w:rPr>
        <w:t>Our projected operating and financial results relies in large part upon assumptions and analyses developed by us. If these assumptions or analyses prove to be incorrect, our actual operating results may be materially different from our projected results.</w:t>
      </w:r>
    </w:p>
    <w:p>
      <w:pPr>
        <w:spacing w:after="0" w:line="76" w:lineRule="exact"/>
        <w:rPr>
          <w:sz w:val="20"/>
          <w:szCs w:val="20"/>
          <w:color w:val="auto"/>
        </w:rPr>
      </w:pPr>
    </w:p>
    <w:p>
      <w:pPr>
        <w:ind w:left="300" w:right="479" w:firstLine="360"/>
        <w:spacing w:after="0" w:line="279" w:lineRule="auto"/>
        <w:rPr>
          <w:sz w:val="20"/>
          <w:szCs w:val="20"/>
          <w:color w:val="auto"/>
        </w:rPr>
      </w:pPr>
      <w:r>
        <w:rPr>
          <w:rFonts w:ascii="Arial" w:cs="Arial" w:eastAsia="Arial" w:hAnsi="Arial"/>
          <w:sz w:val="17"/>
          <w:szCs w:val="17"/>
          <w:color w:val="auto"/>
        </w:rPr>
        <w:t>The projected financial and operating information appearing elsewhere in this registration statement reflect current estimates of future performance. Whether actual operating and financial results and business developments will be consistent with our expectations and assumptions as reflected in our projections depends on a number of factors, many of which are outside our control, including, but not limited to:</w:t>
      </w:r>
    </w:p>
    <w:p>
      <w:pPr>
        <w:spacing w:after="0" w:line="63"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 and timing of facility expansion activities;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acceptance of our materials, equipment and services;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including from established and future competitors;</w:t>
      </w:r>
    </w:p>
    <w:p>
      <w:pPr>
        <w:spacing w:after="0" w:line="117"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we can obtain sufficient capital to expand our manufacturing capabilities and sustain and grow our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we can manage relationships with key suppliers, customers and partners;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and availability of electricity to meet operational needs;</w:t>
      </w:r>
    </w:p>
    <w:p>
      <w:pPr>
        <w:spacing w:after="0" w:line="117"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existing key management, integrate recent hires and attract, retain and motivate qualified personnel;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overall strength and stability of domestic and international economies.</w:t>
      </w:r>
    </w:p>
    <w:p>
      <w:pPr>
        <w:spacing w:after="0" w:line="117"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Unfavorable changes in any of these or other factors, most of which are beyond our control, could materially and adversely affect our business, results of operations and financial results.</w:t>
      </w:r>
    </w:p>
    <w:p>
      <w:pPr>
        <w:spacing w:after="0" w:line="170"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6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We may become subject to product liability claims, even those without merit, which could harm our business, prospects, operating results, and financial condition. We face inherent risk of exposure to claims in the event our materials and equipment do not perform as expected or malfunction resulting in personal injury or death. A successful product liability claim against us could require us to pay a substantial monetary award. Moreover, a product liability claim could generate substantial negative publicity about our materials, equipment and business and inhibit or prevent commercialization of other future materials or equipment, which would have a material adverse effect on our brand, business, prospects and operating results. Any insurance coverage might not be sufficient to cover all potential product liability claims. Any claim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materials and equipment, and are forced to make a claim under our policy.</w:t>
      </w:r>
    </w:p>
    <w:p>
      <w:pPr>
        <w:spacing w:after="0" w:line="179"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b w:val="1"/>
          <w:bCs w:val="1"/>
          <w:i w:val="1"/>
          <w:iCs w:val="1"/>
          <w:color w:val="auto"/>
        </w:rPr>
        <w:t>Our systems and data may be subject to intentional disruption, other security incidents, or alleged violations of laws, regulations, or other obligations relating to data handling that could result in liability and adversely impact our reputation and future sales.</w:t>
      </w:r>
    </w:p>
    <w:p>
      <w:pPr>
        <w:spacing w:after="0" w:line="76"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We expect to face significant challenges with respect to information security and maintaining the security and integrity of our systems and other systems used in our business, as well as with respect to the data stored on or processed by these systems. We are also at risk for interruptions, outages and breaches of: (a) operational systems, including business, financial, accounting, product development, data processing or production processes, owned by us or our third-party vendors or suppliers and (b) facility security systems, owned by us or our third-party vendors or suppliers.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Advances in technology, an increased level of sophistication, and an increased level of expertise of hackers, new discoveries in the field of cryptography or others can result in a compromise or breach of the systems used in our business or of security measures used in our business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93" w:lineRule="auto"/>
        <w:rPr>
          <w:sz w:val="20"/>
          <w:szCs w:val="20"/>
          <w:color w:val="auto"/>
        </w:rPr>
      </w:pPr>
      <w:r>
        <w:rPr>
          <w:rFonts w:ascii="Arial" w:cs="Arial" w:eastAsia="Arial" w:hAnsi="Arial"/>
          <w:sz w:val="16"/>
          <w:szCs w:val="16"/>
          <w:color w:val="auto"/>
        </w:rPr>
        <w:t>protect confidential information, personal information, and other data. The techniques used by cyber attackers change frequently and may be difficult to detect for long periods of time. Although we maintain information technology measures designed to protect ourselves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w:t>
      </w:r>
    </w:p>
    <w:p>
      <w:pPr>
        <w:spacing w:after="0" w:line="56"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Our ability to conduct our business and operations depends on the continued operation of information technology and communications systems. Systems used in our business, including data centers and other information technology systems, are vulnerable to damage or interruption. Such systems could also be subject to break-ins, cyberattacks, sabotage and intentional acts of vandalism, as well as disruptions and security incidents as a result of non-technical issues, including intentional or inadvertent acts or omissions by employees, service providers, or others. Such cyber incidents could: materially disrupt operational systems; result in loss of trade secrets or other proprietary or competitively sensitive information; or compromise certain information of customers, employees, suppliers, or others; jeopardize the security of our facilities.</w:t>
      </w:r>
    </w:p>
    <w:p>
      <w:pPr>
        <w:spacing w:after="0" w:line="70"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materials and equipment,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66"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We anticipate using outsourced service providers to help provide certain services, and any such outsourced service providers face similar security and system disruption risks as us.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88"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damaged or adversely affected as a result of natural disasters and other catastrophic events.</w:t>
      </w:r>
    </w:p>
    <w:p>
      <w:pPr>
        <w:spacing w:after="0" w:line="62"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Our facilities or operations could be adversely affected by events, conditions and circumstances outside of our control, such as natural disasters, wars, health epidemics such as the ongoing COVID-19 pandemic, and other calamities. We cannot assure you that our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or manufacture materials or equipment.</w:t>
      </w:r>
    </w:p>
    <w:p>
      <w:pPr>
        <w:spacing w:after="0" w:line="58"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Moreover, our facilities located in Chattanooga, Tennessee, currently account for 100% of the production of our anode materials, and our facility in Bedford, Nova Scotia, currently accounts for 100% of the production of our battery testing equipment. As a result, any issues, whether within or beyond our control, at those facilities or in the surrounding area could have a particularly significant impact on our business performance and financial results.</w:t>
      </w:r>
    </w:p>
    <w:p>
      <w:pPr>
        <w:spacing w:after="0" w:line="157" w:lineRule="exact"/>
        <w:rPr>
          <w:sz w:val="20"/>
          <w:szCs w:val="20"/>
          <w:color w:val="auto"/>
        </w:rPr>
      </w:pPr>
    </w:p>
    <w:p>
      <w:pPr>
        <w:ind w:left="300" w:right="659"/>
        <w:spacing w:after="0" w:line="308" w:lineRule="auto"/>
        <w:rPr>
          <w:sz w:val="20"/>
          <w:szCs w:val="20"/>
          <w:color w:val="auto"/>
        </w:rPr>
      </w:pPr>
      <w:r>
        <w:rPr>
          <w:rFonts w:ascii="Arial" w:cs="Arial" w:eastAsia="Arial" w:hAnsi="Arial"/>
          <w:sz w:val="17"/>
          <w:szCs w:val="17"/>
          <w:b w:val="1"/>
          <w:bCs w:val="1"/>
          <w:i w:val="1"/>
          <w:iCs w:val="1"/>
          <w:color w:val="auto"/>
        </w:rPr>
        <w:t>Any global systemic political, economic and financial crisis (as well as the indirect effects flowing therefrom) could negatively affect our business, results of operations, and financial condition.</w:t>
      </w:r>
    </w:p>
    <w:p>
      <w:pPr>
        <w:spacing w:after="0" w:line="38"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In recent times, several major systemic political, economic and financial crises negatively affected global business across a range of industries, including the energy storage industry. In addition, there have been political and trade tensions among a number of the world’s major economies in recent years, which have resulted in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90" w:lineRule="auto"/>
        <w:rPr>
          <w:sz w:val="20"/>
          <w:szCs w:val="20"/>
          <w:color w:val="auto"/>
        </w:rPr>
      </w:pPr>
      <w:r>
        <w:rPr>
          <w:rFonts w:ascii="Arial" w:cs="Arial" w:eastAsia="Arial" w:hAnsi="Arial"/>
          <w:sz w:val="16"/>
          <w:szCs w:val="16"/>
          <w:color w:val="auto"/>
        </w:rPr>
        <w:t>implementation of tariff and non-tariff trade barriers, including the use of export control restrictions against certain countries and individual companies. Prolongation or expansion of such trade barriers may result in a decrease in the growth of the global economy and the battery industry, and could cause turmoil in global markets that may result in declines in sales from which we generate our income through our materials, technologies and services. Also, any increase in the use of export control restrictions to target certain countries and companies, any expansion of the extraterritorial jurisdiction of export control laws in the jurisdiction in which we operate, or a complete or partial ban on products sales to certain companies could impact not only our ability to supply our materials, technologies and services to such customers, but also customers’ demand for our materials, technologies and services.</w:t>
      </w:r>
    </w:p>
    <w:p>
      <w:pPr>
        <w:spacing w:after="0" w:line="5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Any future systemic political, economic or financial crisis or market volatility, including but not limited to, interest rate fluctuation, inflation or deflation and changes in economic, fiscal and monetary policies in major economies, could cause revenue or profits for the battery industry as a whole to decline dramatically, and if the economic conditions or financial conditions of our current or target customers were to deteriorate, the demand for our materials, technologies and services may decrease. Further, in times of market instability, sufficient external financing may not be available to us on a timely basis, on commercially reasonable terms to us, or at all. If sufficient external financing is not available when we need such financing to meet our capital requirements, we may be forced to curtail our expansion, modify plans or delay the deployment of new or expanded materials, technologies and services until we obtain such financing. Thus, further escalation of trade tensions, the use of export control restrictions as a non-tariff trade barrier or any future global systemic crisis could materially and adversely affect our results of operations.</w:t>
      </w:r>
    </w:p>
    <w:p>
      <w:pPr>
        <w:spacing w:after="0" w:line="344" w:lineRule="exact"/>
        <w:rPr>
          <w:sz w:val="20"/>
          <w:szCs w:val="20"/>
          <w:color w:val="auto"/>
        </w:rPr>
      </w:pPr>
    </w:p>
    <w:p>
      <w:pPr>
        <w:ind w:left="300" w:right="999"/>
        <w:spacing w:after="0" w:line="375" w:lineRule="auto"/>
        <w:rPr>
          <w:sz w:val="20"/>
          <w:szCs w:val="20"/>
          <w:color w:val="auto"/>
        </w:rPr>
      </w:pPr>
      <w:r>
        <w:rPr>
          <w:rFonts w:ascii="Arial" w:cs="Arial" w:eastAsia="Arial" w:hAnsi="Arial"/>
          <w:sz w:val="15"/>
          <w:szCs w:val="15"/>
          <w:b w:val="1"/>
          <w:bCs w:val="1"/>
          <w:i w:val="1"/>
          <w:iCs w:val="1"/>
          <w:color w:val="auto"/>
        </w:rPr>
        <w:t>From time to time, we may be involved in litigation, regulatory actions or government investigations and inquiries, which could have an adverse impact on our profitability and consolidated financial position.</w:t>
      </w:r>
    </w:p>
    <w:p>
      <w:pPr>
        <w:spacing w:after="0" w:line="1" w:lineRule="exact"/>
        <w:rPr>
          <w:sz w:val="20"/>
          <w:szCs w:val="20"/>
          <w:color w:val="auto"/>
        </w:rPr>
      </w:pPr>
    </w:p>
    <w:p>
      <w:pPr>
        <w:ind w:left="300" w:right="399" w:firstLine="360"/>
        <w:spacing w:after="0" w:line="287" w:lineRule="auto"/>
        <w:rPr>
          <w:sz w:val="20"/>
          <w:szCs w:val="20"/>
          <w:color w:val="auto"/>
        </w:rPr>
      </w:pPr>
      <w:r>
        <w:rPr>
          <w:rFonts w:ascii="Arial" w:cs="Arial" w:eastAsia="Arial" w:hAnsi="Arial"/>
          <w:sz w:val="16"/>
          <w:szCs w:val="16"/>
          <w:color w:val="auto"/>
        </w:rPr>
        <w:t>We may be involved in a variety of litigation, other claims, suits, regulatory actions or government investigations and inquiries and commercial or contractual disputes that, from time to time, are significant. In addition, from time to time, we may also be involved in legal proceedings arising in the normal course of business including commercial or contractual disputes, warranty claims and other disputes with potential customers and suppliers; intellectual property matters; personal injury claims; environmental, health and safety issues; tax matters; and employment matters. From time to time, such legal proceedings may be commenced by a significant customer which may damage our relationship with such customer. Our significant customers generally are larger enterprises and may be able to or choose to devote greater resources to such legal proceedings. It is difficult to predict the outcome or ultimate financial exposure, if any, represented by these matters, and there can be no assurance that any such exposure will not be material. Such claims may also negatively affect our reputation. See also “—</w:t>
      </w:r>
      <w:r>
        <w:rPr>
          <w:rFonts w:ascii="Arial" w:cs="Arial" w:eastAsia="Arial" w:hAnsi="Arial"/>
          <w:sz w:val="16"/>
          <w:szCs w:val="16"/>
          <w:b w:val="1"/>
          <w:bCs w:val="1"/>
          <w:i w:val="1"/>
          <w:iCs w:val="1"/>
          <w:color w:val="auto"/>
        </w:rPr>
        <w:t>We may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become involved in lawsuits or other proceedings to protect or enforce our intellectual property, which could be expensive, time-consuming and unsuccessful and have a negative effect on the success of our business.”</w:t>
      </w:r>
    </w:p>
    <w:p>
      <w:pPr>
        <w:spacing w:after="0" w:line="316" w:lineRule="exact"/>
        <w:rPr>
          <w:sz w:val="20"/>
          <w:szCs w:val="20"/>
          <w:color w:val="auto"/>
        </w:rPr>
      </w:pPr>
    </w:p>
    <w:p>
      <w:pPr>
        <w:ind w:left="300" w:right="859"/>
        <w:spacing w:after="0" w:line="277" w:lineRule="auto"/>
        <w:rPr>
          <w:sz w:val="20"/>
          <w:szCs w:val="20"/>
          <w:color w:val="auto"/>
        </w:rPr>
      </w:pPr>
      <w:r>
        <w:rPr>
          <w:rFonts w:ascii="Arial" w:cs="Arial" w:eastAsia="Arial" w:hAnsi="Arial"/>
          <w:sz w:val="18"/>
          <w:szCs w:val="18"/>
          <w:b w:val="1"/>
          <w:bCs w:val="1"/>
          <w:i w:val="1"/>
          <w:iCs w:val="1"/>
          <w:color w:val="auto"/>
        </w:rPr>
        <w:t>Loss of any leasehold interests in our tenements could limit our ability to mine these properties or result in significant unanticipated costs.</w:t>
      </w:r>
    </w:p>
    <w:p>
      <w:pPr>
        <w:spacing w:after="0" w:line="62"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In Queensland, where our MDG Project is located, exploring or mining for graphite is unlawful without a tenement granted by the Queensland government. The grant and renewal of tenements are subject to a regulatory regime and each tenement is subject to certain conditions. We currently maintain three tenements in connection with the MDG Project. There is no certainty that an application for the grant of a new tenement or renewal of one or more of the existing tenements will be granted at all or on satisfactory terms or within expected timeframes. Further, the conditions attached to the tenements may change at the time they are renewed. There is a risk that we may lose title to any of our granted tenements if we are unable to comply with conditions or if the land that is subject to the tenements is required for public purposes. Our existing tenements have expirations ranging from October 19, 2022, to December 13, 2025, and, where renewal is required, there is a risk that the Queensland government may change the terms and conditions of such tenement upon renewal or refuse to grant the renewal of the tenement.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Regulatory Matters</w:t>
      </w:r>
    </w:p>
    <w:p>
      <w:pPr>
        <w:spacing w:after="0" w:line="121" w:lineRule="exact"/>
        <w:rPr>
          <w:sz w:val="20"/>
          <w:szCs w:val="20"/>
          <w:color w:val="auto"/>
        </w:rPr>
      </w:pPr>
    </w:p>
    <w:p>
      <w:pPr>
        <w:ind w:left="300" w:right="859"/>
        <w:spacing w:after="0" w:line="308" w:lineRule="auto"/>
        <w:rPr>
          <w:sz w:val="20"/>
          <w:szCs w:val="20"/>
          <w:color w:val="auto"/>
        </w:rPr>
      </w:pPr>
      <w:r>
        <w:rPr>
          <w:rFonts w:ascii="Arial" w:cs="Arial" w:eastAsia="Arial" w:hAnsi="Arial"/>
          <w:sz w:val="17"/>
          <w:szCs w:val="17"/>
          <w:b w:val="1"/>
          <w:bCs w:val="1"/>
          <w:i w:val="1"/>
          <w:iCs w:val="1"/>
          <w:color w:val="auto"/>
        </w:rPr>
        <w:t>We are subject to substantial regulation and unfavorable changes to, or failure by us to comply with, these regulations could substantially harm our business and operating results.</w:t>
      </w:r>
    </w:p>
    <w:p>
      <w:pPr>
        <w:spacing w:after="0" w:line="38"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Our materials, and the purchasers of our materials, are subject to regulation under international, federal, state and local laws, including export control laws. We expect to incur significant costs in complying with these regulations. Regulations related to the battery and EV industry and alternative energy are currently evolving and we face risks associated with changes to these regulations.</w:t>
      </w:r>
    </w:p>
    <w:p>
      <w:pPr>
        <w:spacing w:after="0" w:line="79"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To the extent the laws change, our materials and equipment may not comply with applicable international, federal, state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49" w:lineRule="exact"/>
        <w:rPr>
          <w:sz w:val="20"/>
          <w:szCs w:val="20"/>
          <w:color w:val="auto"/>
        </w:rPr>
      </w:pPr>
    </w:p>
    <w:p>
      <w:pPr>
        <w:ind w:left="300" w:right="479" w:firstLine="360"/>
        <w:spacing w:after="0" w:line="275" w:lineRule="auto"/>
        <w:rPr>
          <w:sz w:val="20"/>
          <w:szCs w:val="20"/>
          <w:color w:val="auto"/>
        </w:rPr>
      </w:pPr>
      <w:r>
        <w:rPr>
          <w:rFonts w:ascii="Arial" w:cs="Arial" w:eastAsia="Arial" w:hAnsi="Arial"/>
          <w:sz w:val="17"/>
          <w:szCs w:val="17"/>
          <w:color w:val="auto"/>
        </w:rPr>
        <w:t>Internationally, there may be laws in jurisdictions we have not yet entered or laws we are unaware of in jurisdictions we have entered that may restrict our sales or other business practices. The laws in this area can be complex, difficult to interpret and may change over time. Continued regulatory limitations and other obstacles that may interfere with our ability to commercialize our materials and equipment could have a negative and material impact on our business, prospects, financial condition and results of operations.</w:t>
      </w:r>
    </w:p>
    <w:p>
      <w:pPr>
        <w:spacing w:after="0" w:line="176"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anti-corruption, anti-bribery, anti-money laundering, financial and economic sanctions and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similar laws and regulations in various jurisdictions in which we conduct or in the future may conduct activities,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including the U.S. Foreign Corrupt Practices Act (“FCPA”), the U.K. Bribery Act 2010, the Australian Criminal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Code Act 1995 (“Criminal Code”), the Australian Anti-Money Laundering and Counter Terrorism Financing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Act 2006, and other anti-corruption laws and regulations. The FCPA, the U.K. Bribery Act 2010, and the Criminal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Code prohibit us and our officers, directors, employees and business partners acting on our behalf, including agents,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from corruptly offering, promising, authorizing or providing anything of value, or providing benefit to a “foreign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official”, or (under the Criminal Code) another person with the intention this will benefit a “foreign public official”,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the purposes of influencing official decisions or obtaining or retaining business or otherwise obtaining favorable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treatment. The FCPA also requires companies to make and keep books, records and accounts that accurately reflect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transactions and dispositions of assets and to maintain a system of adequate internal accounting controls. The U.K.</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Bribery Act also prohibits non-governmental “commercial” bribery and soliciting or accepting bribes. A violation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these laws or regulations could adversely affect our business, results of operations, financial condition and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reputation. Our policies and procedures that are designed to comply with these regulations may not be sufficient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directors, officers, employees, representatives, consultants, agents, and business partners could engage in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improper conduct for which we may be held responsible.</w:t>
      </w:r>
    </w:p>
    <w:p>
      <w:pPr>
        <w:spacing w:after="0" w:line="103"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See “—</w:t>
      </w:r>
      <w:r>
        <w:rPr>
          <w:rFonts w:ascii="Arial" w:cs="Arial" w:eastAsia="Arial" w:hAnsi="Arial"/>
          <w:sz w:val="16"/>
          <w:szCs w:val="16"/>
          <w:b w:val="1"/>
          <w:bCs w:val="1"/>
          <w:i w:val="1"/>
          <w:iCs w:val="1"/>
          <w:color w:val="auto"/>
        </w:rPr>
        <w:t>Any global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systemic political, economic and financial crisis (as well as the indirect effects flowing therefrom) could negatively affect our business, results of operations, and financial condition.” </w:t>
      </w:r>
      <w:r>
        <w:rPr>
          <w:rFonts w:ascii="Arial" w:cs="Arial" w:eastAsia="Arial" w:hAnsi="Arial"/>
          <w:sz w:val="16"/>
          <w:szCs w:val="16"/>
          <w:color w:val="auto"/>
        </w:rPr>
        <w:t>for more information.</w:t>
      </w:r>
    </w:p>
    <w:p>
      <w:pPr>
        <w:spacing w:after="0" w:line="166" w:lineRule="exact"/>
        <w:rPr>
          <w:sz w:val="20"/>
          <w:szCs w:val="20"/>
          <w:color w:val="auto"/>
        </w:rPr>
      </w:pPr>
    </w:p>
    <w:p>
      <w:pPr>
        <w:ind w:left="300" w:right="779"/>
        <w:spacing w:after="0" w:line="277" w:lineRule="auto"/>
        <w:rPr>
          <w:sz w:val="20"/>
          <w:szCs w:val="20"/>
          <w:color w:val="auto"/>
        </w:rPr>
      </w:pPr>
      <w:r>
        <w:rPr>
          <w:rFonts w:ascii="Arial" w:cs="Arial" w:eastAsia="Arial" w:hAnsi="Arial"/>
          <w:sz w:val="18"/>
          <w:szCs w:val="18"/>
          <w:b w:val="1"/>
          <w:bCs w:val="1"/>
          <w:i w:val="1"/>
          <w:iCs w:val="1"/>
          <w:color w:val="auto"/>
        </w:rPr>
        <w:t>We are subject to environmental, health and safety requirements which could adversely affect our business, results of operation and reputation.</w:t>
      </w:r>
    </w:p>
    <w:p>
      <w:pPr>
        <w:spacing w:after="0" w:line="62" w:lineRule="exact"/>
        <w:rPr>
          <w:sz w:val="20"/>
          <w:szCs w:val="20"/>
          <w:color w:val="auto"/>
        </w:rPr>
      </w:pPr>
    </w:p>
    <w:p>
      <w:pPr>
        <w:ind w:left="300" w:right="439" w:firstLine="360"/>
        <w:spacing w:after="0" w:line="293" w:lineRule="auto"/>
        <w:rPr>
          <w:sz w:val="20"/>
          <w:szCs w:val="20"/>
          <w:color w:val="auto"/>
        </w:rPr>
      </w:pPr>
      <w:r>
        <w:rPr>
          <w:rFonts w:ascii="Arial" w:cs="Arial" w:eastAsia="Arial" w:hAnsi="Arial"/>
          <w:sz w:val="16"/>
          <w:szCs w:val="16"/>
          <w:color w:val="auto"/>
        </w:rPr>
        <w:t>Our facilities and operations are subject to numerous environmental, health and safety (“EHS”) laws and regulations which require significant capital investment on an ongoing basis. These laws and regulations regulate, among other things, the discharge of materials into the environment, air emissions, the handling and disposal of wastes, remediation of contaminated sites and other matters relating to worker and consumer health, and safety and to the protection of the environment. Non-compliance with applicable EHS laws could give rise to liability, including the potential for civil or criminal fines or penalties, unforeseen capital expenditures or other legal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54" w:lineRule="auto"/>
        <w:rPr>
          <w:sz w:val="20"/>
          <w:szCs w:val="20"/>
          <w:color w:val="auto"/>
        </w:rPr>
      </w:pPr>
      <w:r>
        <w:rPr>
          <w:rFonts w:ascii="Arial" w:cs="Arial" w:eastAsia="Arial" w:hAnsi="Arial"/>
          <w:sz w:val="18"/>
          <w:szCs w:val="18"/>
          <w:color w:val="auto"/>
        </w:rPr>
        <w:t>liability. In addition, EHS laws or their enforcement may change or become more stringent over time which could increase our operating costs, subject us to additional liabilities and cause delays in our processes. We may also face liability for the remediation of contaminated sites, including at third-party contaminated sites where we or our predecessors in interest have sent waste for treatment or disposal. Remediation liability may be imposed without regard to whether we knew of, or caused, the release of such regulated substances. In addition, under environmental laws, we may be liable for the entire cost to remediate a contaminated site, even where multiple parties contributed to the contamination.</w:t>
      </w:r>
    </w:p>
    <w:p>
      <w:pPr>
        <w:spacing w:after="0" w:line="87"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color w:val="auto"/>
        </w:rPr>
        <w:t>Our operations pose a number of safety risks which could result in the personal injury or death of our workers, fire or explosion, damage to machinery or materials and equipment, or production delays. For example, our processes utilize furnaces and equipment heated to extremely high temperatures as part of our manufacturing operations. We have policies and procedures in place to protect against health and safety incidents or damage to our facility and equipment in the event of a fire or other incident. Consequences of safety incidents may include litigation, regulatory action, increased insurance premiums, mandates to halt production, workers’ compensation claims, or other liabilities, all of which may adversely impact our business, including harm to our reputation, finances or ability to operate.</w:t>
      </w:r>
    </w:p>
    <w:p>
      <w:pPr>
        <w:spacing w:after="0" w:line="84"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In addition, our supply-chain and manufacturing processes rely on the use of fossil fuels for product materials and energy consumption. Changes in rules and regulations (e.g., greenhouse gas regulations, changes in air emission compliance requirements) applicable to us or entities in our supply-chain or stricter scrutiny of our sustainability performance by various stakeholders could require us to make changes to our operations which could increase our operating costs, cause delays or otherwise have an adverse impact on our business.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21" w:lineRule="exact"/>
        <w:rPr>
          <w:sz w:val="20"/>
          <w:szCs w:val="20"/>
          <w:color w:val="auto"/>
        </w:rPr>
      </w:pPr>
    </w:p>
    <w:p>
      <w:pPr>
        <w:ind w:left="300" w:right="579"/>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materials and technologies.</w:t>
      </w:r>
    </w:p>
    <w:p>
      <w:pPr>
        <w:spacing w:after="0" w:line="62" w:lineRule="exact"/>
        <w:rPr>
          <w:sz w:val="20"/>
          <w:szCs w:val="20"/>
          <w:color w:val="auto"/>
        </w:rPr>
      </w:pPr>
    </w:p>
    <w:p>
      <w:pPr>
        <w:ind w:left="300" w:right="479" w:firstLine="360"/>
        <w:spacing w:after="0" w:line="269" w:lineRule="auto"/>
        <w:rPr>
          <w:sz w:val="20"/>
          <w:szCs w:val="20"/>
          <w:color w:val="auto"/>
        </w:rPr>
      </w:pPr>
      <w:r>
        <w:rPr>
          <w:rFonts w:ascii="Arial" w:cs="Arial" w:eastAsia="Arial" w:hAnsi="Arial"/>
          <w:sz w:val="17"/>
          <w:szCs w:val="17"/>
          <w:color w:val="auto"/>
        </w:rPr>
        <w:t>Our success will depend in significant part on our ability to establish and maintain adequate protection of our owned intellectual property, and the ability to commercialize materials and equipment resulting therefrom, without infringing the intellectual property rights of others. We may not be able to prevent unauthorized use of our intellectual property, which could harm our business and competitive position. We rely upon a combination of the intellectual property protections afforded by patent and trade secret laws in the United States, Canada,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misappropriation may not be sufficient.</w:t>
      </w:r>
    </w:p>
    <w:p>
      <w:pPr>
        <w:spacing w:after="0" w:line="7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6"/>
          <w:szCs w:val="16"/>
          <w:color w:val="auto"/>
        </w:rPr>
        <w:t>Furthermore, our owned and in-licensed intellectual property rights may be subject to a reservation of rights by one or more third parties. In some instances, when new technologies are developed with government funding (and in particular, the U.S. government), the government may obtain certain rights in any resulting patents, including a non-exclusive license authorizing the government to use the invention or to have others use the invention on its behalf.</w:t>
      </w:r>
    </w:p>
    <w:p>
      <w:pPr>
        <w:spacing w:after="0" w:line="1"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These rights may permit the government to disclose our confidential information to third parties and to exercise march-in rights to use or allow third parties to use our licensed technology. For example, the United States federal government retains such rights in inventions produced with its financial assistance under the Bayh-Dole Act.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We recently received a grant from the U.S. Department of Energy, which, once funds are received, we plan to use to develop certain products and technologies. As a result, such governmental authority may have certain rights, including march-in rights, to such patent rights and technology, under the Bayh-Dole Act or similar laws in other jurisdictions and our rights in such inventions may be subject to certain requirements to manufacture products embodying such inventions in the United States. Any exercise by the government of such rights or by any third party of its reserved rights could harm our competitive position,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62"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In addition to seeking patents for some of our technology and processes, we also rely substantially on trade secrets, including unpatented know-how, technology and other proprietary materials and information, to maintain our competitive position. We seek to protect these trade secrets, in part, by requiring employees to waive their intellectual property rights and to maintain confidentiality or non-disclosure obligations as set forth in our employee handbook or in our agreements with them. However, these steps may be inadequate, we may fail to enter into agreements with all such parties or any of these parties may breach the agreements and disclose our trade secrets and there may be no adequate remedy available for such breach of an agreement. We cannot assure you that our trade secrets will not be disclosed or that we can meaningfully protect our trade secrets. Enforcing a claim that a party illegally disclosed or misappropriated a trade secret is difficult, expensive and time consuming, and the outcome is unpredictable. In addition, some courts both within and outside the United States may be less willing, or unwilling, to protect trade secrets. If a competitor lawfully obtained or independently developed any technology or information that we protect as trade secret, we would have no right to prevent such competitor from using that technology or information to compete with us, which could harm our competitive position.</w:t>
      </w:r>
    </w:p>
    <w:p>
      <w:pPr>
        <w:spacing w:after="0" w:line="174"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b w:val="1"/>
          <w:bCs w:val="1"/>
          <w:i w:val="1"/>
          <w:iCs w:val="1"/>
          <w:color w:val="auto"/>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spacing w:after="0" w:line="76"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In addition to taking other steps to protect our intellectual property, we currently hold one issued patent, we have applied for seven further patents, and we intend to continue to apply for, patents with claims covering our technologies and processes when and where we deem it appropriate to do so. We have filed patent applications in the United States, Canada and in certain non-U.S. jurisdictions to obtain patent rights to inventions we have developed, with claims directed to compositions of matter, methods of use and other technologies relating to our programs, including battery applications. There can be no assurance that any of these applications will result in patents being issued. In addition, there can be no assurance that any of our current and future patents will effectively protect our technologies and processes and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collaborators were the first to make the inventions claimed in our owned patent or pending patent applications, or that we or our current or future collaborators were the first to file for patent protection of such inventions. For a description of our patent portfolio, see “Business—Intellectual Property.”</w:t>
      </w:r>
    </w:p>
    <w:p>
      <w:pPr>
        <w:spacing w:after="0" w:line="63"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Any changes we make to our technologies or processes to cause them to have what we view as more advantageous properties may not be covered by our existing patent and patent applications, and we may be required to file new applications and/or seek other forms of protection for any such altered technologies or processes. Numerous patents and pending patent applications owned by others exist in the fields in which we have developed and are developing our technology. The patent landscape surrounding the technology underlying our technology and processes is potentially crowded, and there can be no assurance that we would be able to secure patent protection that would adequately cover an alternative to our current technologies or processes.</w:t>
      </w:r>
    </w:p>
    <w:p>
      <w:pPr>
        <w:spacing w:after="0" w:line="58"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The patent prosecution process is expensive and time-consuming, and we and our current or future collaborators may not be able to prepare, file and prosecute all necessary or desirable patent applications at a reasonable cost or in a timely manner. It is also possible that we or our current or future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to third parties and may be reliant on our current or future collaborators to perform these activities, which means that these patent applications may not be prosecuted, and these patents enforced, in a manner consistent with the best interests of our business. If our current or future collaborators fail to establish, maintain, protect or enforce such patents and other intellectual property rights, such rights may be reduced or eliminated. If our current or future collaborators are not fully cooperative or disagree with us as to the prosecution, maintenance or enforcement of any patent rights, such patent rights could be compromised.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Further, the issuance of a patent is not conclusive as to its inventorship, scope, validity or enforceability, and our patents may be challenged in the courts or patent offices in the United States and abroad. In recent years, these areas have been the subject of much litigation. As a result, the issuance, scope, validity, enforceability and commercial value of our and our current or future collaborators’ patent rights are highly uncertain. 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 In many non-U.S.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60"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Filing, prosecuting, enforcing and defending patents in all countries throughout the world would be prohibitively expensive, and our intellectual property rights in some countries outside the United States may be less extensive than those in the United States. In addition, the laws of some non-U.S. countries do not protect intellectual property rights to the same extent as federal and certain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ours and our patents or other intellectual property rights may not be effective or sufficient to prevent them from competing.</w:t>
      </w:r>
    </w:p>
    <w:p>
      <w:pPr>
        <w:spacing w:after="0" w:line="60" w:lineRule="exact"/>
        <w:rPr>
          <w:sz w:val="20"/>
          <w:szCs w:val="20"/>
          <w:color w:val="auto"/>
        </w:rPr>
      </w:pPr>
    </w:p>
    <w:p>
      <w:pPr>
        <w:ind w:left="300" w:right="459" w:firstLine="360"/>
        <w:spacing w:after="0" w:line="289" w:lineRule="auto"/>
        <w:rPr>
          <w:sz w:val="20"/>
          <w:szCs w:val="20"/>
          <w:color w:val="auto"/>
        </w:rPr>
      </w:pPr>
      <w:r>
        <w:rPr>
          <w:rFonts w:ascii="Arial" w:cs="Arial" w:eastAsia="Arial" w:hAnsi="Arial"/>
          <w:sz w:val="16"/>
          <w:szCs w:val="16"/>
          <w:color w:val="auto"/>
        </w:rPr>
        <w:t>The requirements for patentability differ and certain countries have heightened requirements for patentability, requiring more disclosure in the patent application. In addition, certain countries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efforts to enforce intellectual property rights around the world may be inadequate to obtain a significant commercial advantage from the intellectual property that we own or license.</w:t>
      </w:r>
    </w:p>
    <w:p>
      <w:pPr>
        <w:spacing w:after="0" w:line="166"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technologies and processes.</w:t>
      </w:r>
    </w:p>
    <w:p>
      <w:pPr>
        <w:spacing w:after="0" w:line="62"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Our success is heavily dependent on intellectual property rights, particularly patents. Obtaining and enforcing patents involves technological and legal complexity, and obtaining and enforcing patents is costly, time-consuming and inherently uncertain. The U.S. Supreme Court in recent years has issued rulings either narrowing the scope of patent protection available in certain circumstances or weakening the rights of patent owners in certain situations or ruling that certain subject matter is not eligible for patent protection. In addition to increasing uncertainty with regard to our ability to obtain patents in the future, this combination of events has created uncertainty with respect to the value of patents, once obtained. Depending on decisions by Congress, the federal courts, the USPTO and equivalent bodies in non-U.S. jurisdictions, the laws and regulations governing patents could change in unpredictable ways that would weaken our ability to obtain new patents or to enforce our existing patent and patents we may obtain in the future.</w:t>
      </w:r>
    </w:p>
    <w:p>
      <w:pPr>
        <w:spacing w:after="0" w:line="77"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Patent reform laws, such as the Leahy-Smith America Invents Act, or the Leahy-Smith Act, as well as changes in how patent laws are interpreted, could increase the uncertainties and costs surrounding the prosecution of our patent applications and the enforcement or defense of our issued patents.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lack of registered trademarks and trade names could potentially harm our business.</w:t>
      </w:r>
    </w:p>
    <w:p>
      <w:pPr>
        <w:spacing w:after="0" w:line="117" w:lineRule="exact"/>
        <w:rPr>
          <w:sz w:val="20"/>
          <w:szCs w:val="20"/>
          <w:color w:val="auto"/>
        </w:rPr>
      </w:pPr>
    </w:p>
    <w:p>
      <w:pPr>
        <w:ind w:left="300" w:right="579" w:firstLine="360"/>
        <w:spacing w:after="0" w:line="308" w:lineRule="auto"/>
        <w:rPr>
          <w:sz w:val="20"/>
          <w:szCs w:val="20"/>
          <w:color w:val="auto"/>
        </w:rPr>
      </w:pPr>
      <w:r>
        <w:rPr>
          <w:rFonts w:ascii="Arial" w:cs="Arial" w:eastAsia="Arial" w:hAnsi="Arial"/>
          <w:sz w:val="17"/>
          <w:szCs w:val="17"/>
          <w:color w:val="auto"/>
        </w:rPr>
        <w:t>As of the date hereof, we do not have any registered trademarks owned by us, but we may pursue trademark registrations in the future. The unauthorized use or other violation of any of our trademarks 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tradenames could diminish the brand recognition or value of our business which would have a material adverse effect on our financial condition and results of operation.</w:t>
      </w:r>
    </w:p>
    <w:p>
      <w:pPr>
        <w:spacing w:after="0" w:line="62"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Trademarks and trade names distinguish our products and services from the products and services of others. If our potential future customers are unable to distinguish our products and services from those of other companies, we could lose sales and distributors to our competitors. We do not have any registered trademarks and trade names, so we must rely on common law rights in such trademarks or trade names, which are different in each jurisdiction, if any such rights exist. Many subtleties exist in product descriptions, offering and names that can easily confuse distributors and customers. This presents a risk of losing potential customers looking for our products and buying someone else’s because they cannot differentiate between them.</w:t>
      </w:r>
    </w:p>
    <w:p>
      <w:pPr>
        <w:spacing w:after="0" w:line="69" w:lineRule="exact"/>
        <w:rPr>
          <w:sz w:val="20"/>
          <w:szCs w:val="20"/>
          <w:color w:val="auto"/>
        </w:rPr>
      </w:pPr>
    </w:p>
    <w:p>
      <w:pPr>
        <w:ind w:left="300" w:right="479" w:firstLine="360"/>
        <w:spacing w:after="0" w:line="296" w:lineRule="auto"/>
        <w:rPr>
          <w:sz w:val="20"/>
          <w:szCs w:val="20"/>
          <w:color w:val="auto"/>
        </w:rPr>
      </w:pPr>
      <w:r>
        <w:rPr>
          <w:rFonts w:ascii="Arial" w:cs="Arial" w:eastAsia="Arial" w:hAnsi="Arial"/>
          <w:sz w:val="16"/>
          <w:szCs w:val="16"/>
          <w:color w:val="auto"/>
        </w:rPr>
        <w:t>If we do eventually file trademark applications,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there can be no assurance that competitors will not infringe our trademarks or that we will have adequate resources to enforce our trademarks.</w:t>
      </w:r>
    </w:p>
    <w:p>
      <w:pPr>
        <w:spacing w:after="0" w:line="296"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technology necessary to develop and commercialize our materials and equipment.</w:t>
      </w:r>
    </w:p>
    <w:p>
      <w:pPr>
        <w:spacing w:after="0" w:line="62"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The patent landscape around our programs is complex, and there may be one or more third-party patents and patent applications containing subject matter that might be relevant to our programs. Depending on what claims may ultimately issue from these patent applications, and how courts construe the issued patent claims, as well as depending on the ultimate method of use of our processes, we may need to obtain a license to practice the technology claimed in such patents. There can be no assurance that such licenses will be available to us on commercially reasonable terms, or at all. If a third party does not offer us a necessary license or offers a license only on terms that are unattractive or unacceptable to us, we might be unable to develop and commercialize one or more of our programs, which would harm our business, financial condition and results of operations. Moreover, even if we obtain licenses to such intellectual property, but subsequently fail to meet our obligations under the relevant license agreements, or such license agreements are terminated for any other reasons, we may lose our rights to the technologies licensed under those agreements.</w:t>
      </w:r>
    </w:p>
    <w:p>
      <w:pPr>
        <w:spacing w:after="0" w:line="74" w:lineRule="exact"/>
        <w:rPr>
          <w:sz w:val="20"/>
          <w:szCs w:val="20"/>
          <w:color w:val="auto"/>
        </w:rPr>
      </w:pPr>
    </w:p>
    <w:p>
      <w:pPr>
        <w:ind w:left="300" w:right="419" w:firstLine="360"/>
        <w:spacing w:after="0" w:line="288" w:lineRule="auto"/>
        <w:rPr>
          <w:sz w:val="20"/>
          <w:szCs w:val="20"/>
          <w:color w:val="auto"/>
        </w:rPr>
      </w:pPr>
      <w:r>
        <w:rPr>
          <w:rFonts w:ascii="Arial" w:cs="Arial" w:eastAsia="Arial" w:hAnsi="Arial"/>
          <w:sz w:val="16"/>
          <w:szCs w:val="16"/>
          <w:color w:val="auto"/>
        </w:rPr>
        <w:t>The licensing or acquisition of third-party intellectual property rights is an area in which many companies operate that have interests that are in conflict with ours,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programs, which could harm our business, financial condition, results of operations and prospects.</w:t>
      </w:r>
    </w:p>
    <w:p>
      <w:pPr>
        <w:spacing w:after="0" w:line="290" w:lineRule="exact"/>
        <w:rPr>
          <w:sz w:val="20"/>
          <w:szCs w:val="20"/>
          <w:color w:val="auto"/>
        </w:rPr>
      </w:pPr>
    </w:p>
    <w:p>
      <w:pPr>
        <w:ind w:left="300" w:right="419"/>
        <w:spacing w:after="0" w:line="375" w:lineRule="auto"/>
        <w:rPr>
          <w:sz w:val="20"/>
          <w:szCs w:val="20"/>
          <w:color w:val="auto"/>
        </w:rPr>
      </w:pPr>
      <w:r>
        <w:rPr>
          <w:rFonts w:ascii="Arial" w:cs="Arial" w:eastAsia="Arial" w:hAnsi="Arial"/>
          <w:sz w:val="15"/>
          <w:szCs w:val="15"/>
          <w:b w:val="1"/>
          <w:bCs w:val="1"/>
          <w:i w:val="1"/>
          <w:iCs w:val="1"/>
          <w:color w:val="auto"/>
        </w:rPr>
        <w:t>We may become involved in lawsuits or other proceedings to protect or enforce our intellectual property, which could be expensive, time-consuming and unsuccessful and have a negative effect on the success of our business.</w:t>
      </w:r>
    </w:p>
    <w:p>
      <w:pPr>
        <w:spacing w:after="0" w:line="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Third parties may infringe our patents or misappropriate or otherwise violate our intellectual property rights. In the future, we may initiate legal proceedings to enforce or defend our intellectual property rights, to protect our trade secrets or to determine the validity or scope of intellectual property rights we own or control. Also, third parties may initiate legal proceedings against us to challenge the validity or scope of intellectual property rights we own, control or to which we have rights. These proceedings can be expensive and time-consuming and many of our adversaries in these proceedings may have the ability to dedicate substantially greater resources to prosecuting these legal actions than we can. Accordingly, despite our efforts, we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initiated legal proceedings against a third party to enforce a patent,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311" w:lineRule="auto"/>
        <w:rPr>
          <w:sz w:val="20"/>
          <w:szCs w:val="20"/>
          <w:color w:val="auto"/>
        </w:rPr>
      </w:pPr>
      <w:r>
        <w:rPr>
          <w:rFonts w:ascii="Arial" w:cs="Arial" w:eastAsia="Arial" w:hAnsi="Arial"/>
          <w:sz w:val="16"/>
          <w:szCs w:val="16"/>
          <w:color w:val="auto"/>
        </w:rPr>
        <w:t>defendant could counterclaim that such patent is invalid or unenforceable. An adverse result in any litigation proceeding could put one or more of our patents at risk of being invalidated, narrowed, held unenforceable or interpreted in such a manner that would not preclude third parties from entering the market with competing products.</w:t>
      </w:r>
    </w:p>
    <w:p>
      <w:pPr>
        <w:spacing w:after="0" w:line="41"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Third-party pre-issuance submission to the USPTO, or opposition, derivation, revocation, reexamination, inter partes review or interference proceedings, or other pre-issuance or post-grant proceedings or other patent office proceedings or litigation in the United States or other jurisdictions provoked by third parties or brought by us, may be necessary to determine the inventorship, priority, patentability or validity of inventions with respect to our patents or patent applications. An unfavorable outcome could leave our technology or processes without patent protection, allow third parties to commercialize our technology and processes and compete directly with us, without payment to us, or could require us to obtain license rights from the prevailing party in order to be able to manufacture or commercialize our technologies or processes without infringing third-party patent rights. Our business could be harmed if the prevailing party in such a case does not offer us a license on commercially reasonable terms, or at all.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technologies.</w:t>
      </w:r>
    </w:p>
    <w:p>
      <w:pPr>
        <w:spacing w:after="0" w:line="78" w:lineRule="exact"/>
        <w:rPr>
          <w:sz w:val="20"/>
          <w:szCs w:val="20"/>
          <w:color w:val="auto"/>
        </w:rPr>
      </w:pPr>
    </w:p>
    <w:p>
      <w:pPr>
        <w:ind w:left="300" w:right="319" w:firstLine="360"/>
        <w:spacing w:after="0" w:line="267" w:lineRule="auto"/>
        <w:rPr>
          <w:sz w:val="20"/>
          <w:szCs w:val="20"/>
          <w:color w:val="auto"/>
        </w:rPr>
      </w:pPr>
      <w:r>
        <w:rPr>
          <w:rFonts w:ascii="Arial" w:cs="Arial" w:eastAsia="Arial" w:hAnsi="Arial"/>
          <w:sz w:val="17"/>
          <w:szCs w:val="17"/>
          <w:color w:val="auto"/>
        </w:rPr>
        <w:t>We may not be aware of all third-party intellectual property rights potentially relating to our technologies or processes, or future technologies or processes. We are not aware of any facts that would lead us to conclude that the valid and enforceable claims of any third-party patents would reasonably be interpreted to cover our technologies or processes.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negatively affect our ability to commercialize any materials and equipment and any other technologies covered by the asserted third-party patents. If any such third-party patents (including those that may issue from such applications) were successfully asserted against us or other commercialization partners and we were unable to successfully challenge the validity or enforceability of any such asserted patents, then we and other commercialization partners may be prevented from commercializing our materials and equipment,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harm our business, financial condition and operating results.</w:t>
      </w:r>
    </w:p>
    <w:p>
      <w:pPr>
        <w:spacing w:after="0" w:line="82"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Our existing patent and any future patents we obtain may not be sufficiently broad to prevent others from practicing our technologies or from developing or commercializing competing products. Furthermore, others may independently develop or commercialize similar or alternative technologies, or design around our patents. Our patents may be challenged, invalidated, circumvented or narrowed, or fail to provide us with any competitive advantages. In addition, we may not be aware of patents or pending or future patent applications that, if issued, would block us from commercializing our materials and equipment. Thus, we cannot guarantee that the technology and processes related to our materials and equipment, or our commercialization thereof, do not and will not infringe or otherwise violate any third party’s intellectual property.</w:t>
      </w:r>
    </w:p>
    <w:p>
      <w:pPr>
        <w:spacing w:after="0" w:line="327" w:lineRule="exact"/>
        <w:rPr>
          <w:sz w:val="20"/>
          <w:szCs w:val="20"/>
          <w:color w:val="auto"/>
        </w:rPr>
      </w:pPr>
    </w:p>
    <w:p>
      <w:pPr>
        <w:ind w:left="300" w:right="779"/>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misappropriation of intellectual property, or claiming ownership of what we regard as our own intellectual property.</w:t>
      </w:r>
    </w:p>
    <w:p>
      <w:pPr>
        <w:spacing w:after="0" w:line="62"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Companies, organizations or individuals, including our current and future competitors, may hold or obtain patents, trademarks or other proprietary rights that would prevent, limit or interfere with our ability to make, use, develop or sell our products or processes, which could make it more difficult for us to operate our business. From time to time, we may receive inquiries from holders of patents, trademarks or other intellectual property inquiring whether we are infringing or violating their proprietary rights and/or seek court declarations that they do not infringe upon, misappropriate or otherwise violate our intellectual property rights or challenging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86" w:lineRule="auto"/>
        <w:rPr>
          <w:sz w:val="20"/>
          <w:szCs w:val="20"/>
          <w:color w:val="auto"/>
        </w:rPr>
      </w:pPr>
      <w:r>
        <w:rPr>
          <w:rFonts w:ascii="Arial" w:cs="Arial" w:eastAsia="Arial" w:hAnsi="Arial"/>
          <w:sz w:val="17"/>
          <w:szCs w:val="17"/>
          <w:color w:val="auto"/>
        </w:rPr>
        <w:t>ownership or the validity or enforceability of our intellectual property rights. Companies holding patents or other intellectual property rights relating to batteries, electric motors or electronic power management systems may bring suits alleging infringement of such rights or otherwise asserting their rights and seeking licenses.</w:t>
      </w:r>
    </w:p>
    <w:p>
      <w:pPr>
        <w:spacing w:after="0" w:line="57"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In addition, if we are determined to have infringed upon or violated a third party’s intellectual property rights, we may be required to do one or more of the following:</w:t>
      </w:r>
    </w:p>
    <w:p>
      <w:pPr>
        <w:spacing w:after="0" w:line="62" w:lineRule="exact"/>
        <w:rPr>
          <w:sz w:val="20"/>
          <w:szCs w:val="20"/>
          <w:color w:val="auto"/>
        </w:rPr>
      </w:pPr>
    </w:p>
    <w:p>
      <w:pPr>
        <w:ind w:left="1000" w:right="107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selling, incorporating or using products or processes that incorporate or use the challenged intellectual property;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or other monetary compensation;</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 license from the holder of the infringed or violated intellectual property right, which license may not be available on reasonable terms if at all; or</w:t>
      </w:r>
    </w:p>
    <w:p>
      <w:pPr>
        <w:spacing w:after="0" w:line="62" w:lineRule="exact"/>
        <w:rPr>
          <w:rFonts w:ascii="Arial" w:cs="Arial" w:eastAsia="Arial" w:hAnsi="Arial"/>
          <w:sz w:val="18"/>
          <w:szCs w:val="18"/>
          <w:color w:val="auto"/>
        </w:rPr>
      </w:pPr>
    </w:p>
    <w:p>
      <w:pPr>
        <w:ind w:left="1000" w:right="125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redesign our batteries or other products or processes material to our business in order to avoid infringement or other violation.</w:t>
      </w:r>
    </w:p>
    <w:p>
      <w:pPr>
        <w:spacing w:after="0" w:line="62" w:lineRule="exact"/>
        <w:rPr>
          <w:sz w:val="20"/>
          <w:szCs w:val="20"/>
          <w:color w:val="auto"/>
        </w:rPr>
      </w:pPr>
    </w:p>
    <w:p>
      <w:pPr>
        <w:ind w:left="300" w:right="479" w:firstLine="360"/>
        <w:spacing w:after="0" w:line="279" w:lineRule="auto"/>
        <w:rPr>
          <w:sz w:val="20"/>
          <w:szCs w:val="20"/>
          <w:color w:val="auto"/>
        </w:rPr>
      </w:pPr>
      <w:r>
        <w:rPr>
          <w:rFonts w:ascii="Arial" w:cs="Arial" w:eastAsia="Arial" w:hAnsi="Arial"/>
          <w:sz w:val="17"/>
          <w:szCs w:val="17"/>
          <w:color w:val="auto"/>
        </w:rPr>
        <w:t>In the event of a successful claim of infringement or violation against us, or our failure or inability to obtain a license or other valid rights to the infringed technology, our business, prospects, operating results and financial condition could be materially adversely affected. In addition, any litigation or claims, whether or not valid, could result in substantial costs and diversion of resources and management’s attention.</w:t>
      </w:r>
    </w:p>
    <w:p>
      <w:pPr>
        <w:spacing w:after="0" w:line="63"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We also license patents and other intellectual property from third parties, and we may face claims that our use of this intellectual property infringes the rights of others. In such cases, we may seek indemnification from our licensors under our license contracts with them. However, our rights to indemnification may be unavailable or insufficient to cover our costs and losses or otherwise provide us with the continued rights to use such licensed intellectual property.</w:t>
      </w:r>
    </w:p>
    <w:p>
      <w:pPr>
        <w:spacing w:after="0" w:line="80" w:lineRule="exact"/>
        <w:rPr>
          <w:sz w:val="20"/>
          <w:szCs w:val="20"/>
          <w:color w:val="auto"/>
        </w:rPr>
      </w:pPr>
    </w:p>
    <w:p>
      <w:pPr>
        <w:ind w:left="300" w:right="359" w:firstLine="360"/>
        <w:spacing w:after="0" w:line="288" w:lineRule="auto"/>
        <w:rPr>
          <w:sz w:val="20"/>
          <w:szCs w:val="20"/>
          <w:color w:val="auto"/>
        </w:rPr>
      </w:pPr>
      <w:r>
        <w:rPr>
          <w:rFonts w:ascii="Arial" w:cs="Arial" w:eastAsia="Arial" w:hAnsi="Arial"/>
          <w:sz w:val="16"/>
          <w:szCs w:val="16"/>
          <w:color w:val="auto"/>
        </w:rPr>
        <w:t>Although we seek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the services of personnel or sustain other damages. Such intellectual property rights could be awarded to a third party, and we could be required to obtain a license from such a third party to commercialize our technology or materials. Such a license may not be available on commercially reasonable terms, or at all. Even if we successfully prosecute or defend against such claims, litigation could result in substantial costs and distract management.</w:t>
      </w:r>
    </w:p>
    <w:p>
      <w:pPr>
        <w:spacing w:after="0" w:line="60" w:lineRule="exact"/>
        <w:rPr>
          <w:sz w:val="20"/>
          <w:szCs w:val="20"/>
          <w:color w:val="auto"/>
        </w:rPr>
      </w:pPr>
    </w:p>
    <w:p>
      <w:pPr>
        <w:ind w:left="300" w:right="459" w:firstLine="360"/>
        <w:spacing w:after="0" w:line="29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waive or assign to us any intellectual property rights thereto,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results of operations and prospects.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left="300" w:right="659" w:firstLine="360"/>
        <w:spacing w:after="0" w:line="26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00" w:right="499" w:hanging="348"/>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ours or utilize similar technology but that are not covered by the claims of the patents that we exclusively license or may own in the future;</w:t>
      </w:r>
    </w:p>
    <w:p>
      <w:pPr>
        <w:spacing w:after="0" w:line="38" w:lineRule="exact"/>
        <w:rPr>
          <w:rFonts w:ascii="Arial" w:cs="Arial" w:eastAsia="Arial" w:hAnsi="Arial"/>
          <w:sz w:val="17"/>
          <w:szCs w:val="17"/>
          <w:color w:val="auto"/>
        </w:rPr>
      </w:pPr>
    </w:p>
    <w:p>
      <w:pPr>
        <w:ind w:left="1000" w:right="479" w:hanging="348"/>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or our future collaborators might not have been the first to make the inventions covered by the issued patents and pending patent applications that we exclusively license or may own in the future;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exclusively licensed intellectual property rights;</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file in the future, including those that we have licensed, will not result in issued patents;</w:t>
      </w:r>
    </w:p>
    <w:p>
      <w:pPr>
        <w:spacing w:after="0" w:line="62"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issued patents to which we hold rights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1000" w:right="359" w:hanging="348"/>
        <w:spacing w:after="0" w:line="311"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major commercial markets in which we do not have sufficient patent rights to stop such sales;</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patents of others may be asserted against our technologies in a manner that harms our business; and</w:t>
      </w:r>
    </w:p>
    <w:p>
      <w:pPr>
        <w:spacing w:after="0" w:line="140" w:lineRule="exact"/>
        <w:rPr>
          <w:rFonts w:ascii="Arial" w:cs="Arial" w:eastAsia="Arial" w:hAnsi="Arial"/>
          <w:sz w:val="16"/>
          <w:szCs w:val="16"/>
          <w:color w:val="auto"/>
        </w:rPr>
      </w:pPr>
    </w:p>
    <w:p>
      <w:pPr>
        <w:ind w:left="1000" w:right="419" w:hanging="348"/>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choose not to file a patent application in order to maintain certain trade secrets or know-how, and a third party may subsequently file a patent covering such trade secrets or know-how.</w:t>
      </w:r>
    </w:p>
    <w:p>
      <w:pPr>
        <w:spacing w:after="0" w:line="38"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ADSs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 active U.S. trading market may not develop.</w:t>
      </w:r>
    </w:p>
    <w:p>
      <w:pPr>
        <w:spacing w:after="0" w:line="117"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While our ordinary shares have been listed on the Australian Securities Exchange, or the ASX, since December 2015, and trading on the OTCQX Best Market since September 2020, there has been no public market on a U.S. national securities exchange for our ordinary shares and, prior to the anticipated listing of our ADSs on the Nasdaq Global Market, there was no public market for our ADSs. There can be no assurance that an active trading market for the ADSs will develop, or be sustained. In the absence of an active trading market for the ADSs, investors may not be able to sell their ADSs.</w:t>
      </w:r>
    </w:p>
    <w:p>
      <w:pPr>
        <w:spacing w:after="0" w:line="192"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b w:val="1"/>
          <w:bCs w:val="1"/>
          <w:i w:val="1"/>
          <w:iCs w:val="1"/>
          <w:color w:val="auto"/>
        </w:rPr>
        <w:t>The trading price and volume of the ADSs may be volatile, and purchasers of the ADSs could incur substantial losses.</w:t>
      </w:r>
    </w:p>
    <w:p>
      <w:pPr>
        <w:spacing w:after="0" w:line="62"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The price and trading volumes of our ordinary shares and ADSs may be significantly affected by many factors, including:</w:t>
      </w:r>
    </w:p>
    <w:p>
      <w:pPr>
        <w:spacing w:after="0" w:line="62"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actual or anticipated fluctuations in our or our competitors’ financial condition and operating results;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financial performance from the expectations of market analysts;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expansion plans, strategic partnerships, joint ventures, collaborations or capital commitments;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results or delays in our or any of our competitors’ products development;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termination of a strategic alliance or the inability to establish additional strategic alliances;</w:t>
      </w:r>
    </w:p>
    <w:p>
      <w:pPr>
        <w:spacing w:after="0" w:line="117"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ADS price and volume fluctuations attributable to inconsistent trading volume levels of the ADSs;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trading of our ordinary shares on the ASX;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or technology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in our supply or manufacturing arrangements;</w:t>
      </w:r>
    </w:p>
    <w:p>
      <w:pPr>
        <w:spacing w:after="0" w:line="117" w:lineRule="exact"/>
        <w:rPr>
          <w:rFonts w:ascii="Arial" w:cs="Arial" w:eastAsia="Arial" w:hAnsi="Arial"/>
          <w:sz w:val="18"/>
          <w:szCs w:val="18"/>
          <w:color w:val="auto"/>
        </w:rPr>
      </w:pPr>
    </w:p>
    <w:p>
      <w:pPr>
        <w:ind w:left="1000" w:right="519" w:hanging="348"/>
        <w:spacing w:after="0" w:line="308"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disputes or other developments related to proprietary rights, including patents, litigation matters and our ability to obtain patent and other intellectual property protection for our technologies;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involving our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or other calamities or disease outbreaks, such as the COVID-19 pandemic;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ordinary shares or the ADSs by us, our affiliates or our other shareholders;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17"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In addition, equity markets generally have experienced, and may in the future experience, extreme price and volume fluctuations, and often these movements do not reflect the operational and financial performance of the listed companies concerned. In particular, share prices of companies in the battery industry have been highly volatile in the past and may continue to be highly volatile in the future. Our operations currently focus on battery materials, technology and services. Therefore, we are especially vulnerable to these factors to the extent that they continue to affect the battery industry. Fluctuations in the share markets in Australia and the United States, as well as macroeconomic conditions, could significantly affect the price of the ADSs. As a result of this volatility, investors may not be able to sell their ADSs at or above the price originally paid for the security.</w:t>
      </w:r>
    </w:p>
    <w:p>
      <w:pPr>
        <w:spacing w:after="0" w:line="5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These and other market and industry factors may cause the market price and demand for the ADSs to fluctuate, regardless of our actual operating performance, which may limit or prevent investors from readily selling their ADSs and may otherwise negatively affect the liquidity of the trading market for the ADSs.</w:t>
      </w:r>
    </w:p>
    <w:p>
      <w:pPr>
        <w:spacing w:after="0" w:line="327"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b w:val="1"/>
          <w:bCs w:val="1"/>
          <w:i w:val="1"/>
          <w:iCs w:val="1"/>
          <w:color w:val="auto"/>
        </w:rPr>
        <w:t>Future sales of our ordinary shares or ADSs or the anticipation of future sales could reduce the market price of our ordinary shares or ADSs.</w:t>
      </w:r>
    </w:p>
    <w:p>
      <w:pPr>
        <w:spacing w:after="0" w:line="62"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Sales of a substantial number of shares or ADSs in the public market, or the perception that such sales could occur, could adversely affect the market price of our ordinary shares and ADSs and may make it more difficult for you to sell your ADSs at a time and price that you deem appropriate. We have recently raised funds through the sales of our ordinary shares. For instance, we raised A$115 million in March 2021 and A$16 million in May 2021 through placements of our ordinary shares. In addition, in September 2021, Phillips 66 acquired 77,962,578 ordinary shares for an aggregate purchase price of US$150 million.</w:t>
      </w:r>
    </w:p>
    <w:p>
      <w:pPr>
        <w:spacing w:after="0" w:line="70"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The ordinary shares subject to subscription under outstanding options and performance rights exercisable for ordinary shares will become eligible for sale in the public market in the future, subject to certain legal and contractual limitations. Sales of a large number of the ordinary shares in the public market could depress the market price of the ADSs. If these additional ordinary shares are sold, or if it is perceived that they will be sold, in the public market, the trading price of the ordinary shares and ADSs could decline substantially, which could impair our ability to raise additional capital through the issuance of ordinary shares, ADSs or other securities in the future, and may cause you to lose part or all of your investment.</w:t>
      </w:r>
    </w:p>
    <w:p>
      <w:pPr>
        <w:spacing w:after="0" w:line="326" w:lineRule="exact"/>
        <w:rPr>
          <w:sz w:val="20"/>
          <w:szCs w:val="20"/>
          <w:color w:val="auto"/>
        </w:rPr>
      </w:pPr>
    </w:p>
    <w:p>
      <w:pPr>
        <w:ind w:left="300" w:right="459"/>
        <w:spacing w:after="0" w:line="375"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publish inaccurate or unfavorable reports about our business, the price of the ADSs and their trading volume could decline.</w:t>
      </w:r>
    </w:p>
    <w:p>
      <w:pPr>
        <w:spacing w:after="0" w:line="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The trading market for the ADSs depends in part on the research and reports that securities or industry analysts publish about us or our business. If securities or industry analysts do not cover our company, the trading price for the ADSs could be negatively impacted. If one or more of the analysts who covers us downgrades our equity securities or publishes incorrect or unfavorable research about our business, the price of the ADSs would likely decline. If one or more of these analysts ceases coverage of our company or fails to publish reports on us regularly, or downgrades our securities, demand for the ADSs could decrease, which could cause the price of the ADSs or their trading volume to decline.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securities and, consequently, your ability to achieve a return on your investment will depend on appreciation in the price of the ADSs.</w:t>
      </w:r>
    </w:p>
    <w:p>
      <w:pPr>
        <w:spacing w:after="0" w:line="62"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We have not declared or paid any cash dividends on our ordinary shares since our listing on the ASX and do not currently intend to do so for the foreseeable future.</w:t>
      </w:r>
    </w:p>
    <w:p>
      <w:pPr>
        <w:spacing w:after="0" w:line="62"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We currently intend to invest our future earnings, if any, to fund our operations and growth. Therefore, you are not likely to receive any dividends on your ADSs for the foreseeable future and the success of an investment in the ADSs will depend upon any future appreciation in its value. Consequently, investors may need to sell all or part of their holdings of the ADSs after price appreciation, which may never occur, as the only way to realize any future gains on their investment. There is no guarantee that the ADSs will appreciate in value or even maintain the price at which you have purchased them. Investors seeking cash dividends should consider not purchasing the ADSs.</w:t>
      </w:r>
    </w:p>
    <w:p>
      <w:pPr>
        <w:spacing w:after="0" w:line="5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While we do not anticipate paying any cash dividends on our ordinary shares in the foreseeable future, if such a dividend is declared, the depositary for the ADSs has agreed to pay to you the cash dividends or other distributions it or the custodian receives on our ordinary shares or other deposited securities after deducting its fees and expenses.</w:t>
      </w:r>
    </w:p>
    <w:p>
      <w:pPr>
        <w:spacing w:after="0" w:line="2" w:lineRule="exact"/>
        <w:rPr>
          <w:sz w:val="20"/>
          <w:szCs w:val="20"/>
          <w:color w:val="auto"/>
        </w:rPr>
      </w:pPr>
    </w:p>
    <w:p>
      <w:pPr>
        <w:ind w:left="300" w:right="379"/>
        <w:spacing w:after="0" w:line="268" w:lineRule="auto"/>
        <w:rPr>
          <w:sz w:val="20"/>
          <w:szCs w:val="20"/>
          <w:color w:val="auto"/>
        </w:rPr>
      </w:pPr>
      <w:r>
        <w:rPr>
          <w:rFonts w:ascii="Arial" w:cs="Arial" w:eastAsia="Arial" w:hAnsi="Arial"/>
          <w:sz w:val="17"/>
          <w:szCs w:val="17"/>
          <w:color w:val="auto"/>
        </w:rPr>
        <w:t>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the ADSs, ordinary shares, rights or anything else to holders of the ADSs. This means that you may not receive the distributions we make on our ordinary shares or any value from them if it is unlawful or impractical to make them available to you. These restrictions may negatively impact the value of your ADSs. In addition, exchange rate fluctuations may affect the amount of Australian dollars that we are able to distribute, and the amount in U.S. dollars that our shareholders receive upon the payment of cash dividends or other distributions we declare and pay in Australian dollars, if any. These factors could harm the value of the ADSs, and, in turn, the U.S. dollar proceeds that holders receive from the sale of the ADSs.</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The dual listing of our ordinary shares and the ADSs may negatively impact the liquidity and value of the ADSs.</w:t>
      </w:r>
    </w:p>
    <w:p>
      <w:pPr>
        <w:spacing w:after="0" w:line="152" w:lineRule="exact"/>
        <w:rPr>
          <w:sz w:val="20"/>
          <w:szCs w:val="20"/>
          <w:color w:val="auto"/>
        </w:rPr>
      </w:pPr>
    </w:p>
    <w:p>
      <w:pPr>
        <w:jc w:val="both"/>
        <w:ind w:left="300" w:right="439" w:firstLine="360"/>
        <w:spacing w:after="0" w:line="296" w:lineRule="auto"/>
        <w:rPr>
          <w:sz w:val="20"/>
          <w:szCs w:val="20"/>
          <w:color w:val="auto"/>
        </w:rPr>
      </w:pPr>
      <w:r>
        <w:rPr>
          <w:rFonts w:ascii="Arial" w:cs="Arial" w:eastAsia="Arial" w:hAnsi="Arial"/>
          <w:sz w:val="16"/>
          <w:szCs w:val="16"/>
          <w:color w:val="auto"/>
        </w:rPr>
        <w:t>After the ADSs are listed on the Nasdaq Global Market, our ordinary shares will continue to be listed on the ASX. We cannot predict the effect of this dual listing on the value of our ordinary shares and ADSs. However, the dual listing of our ordinary shares and ADSs may dilute the liquidity of these securities in one or both markets and may negatively impact the development of an active trading market for the ADSs in the United States. The price of the ADSs could also be negatively impacted by trading in our ordinary shares on the ASX.</w:t>
      </w:r>
    </w:p>
    <w:p>
      <w:pPr>
        <w:spacing w:after="0" w:line="310" w:lineRule="exact"/>
        <w:rPr>
          <w:sz w:val="20"/>
          <w:szCs w:val="20"/>
          <w:color w:val="auto"/>
        </w:rPr>
      </w:pPr>
    </w:p>
    <w:p>
      <w:pPr>
        <w:ind w:left="300" w:right="639"/>
        <w:spacing w:after="0" w:line="277"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our directors or members of senior management and the experts named in this registration statement.</w:t>
      </w:r>
    </w:p>
    <w:p>
      <w:pPr>
        <w:spacing w:after="0" w:line="62"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Certain members of our senior management and board of directors named in this registration statement are non-residents of the United States, and a substantial portion of the assets of such persons are located outside the United States. As a result, it may be impracticable to serve process on such persons in the United States or to enforce judgments obtained in U.S. courts against them based on civil liability provisions of the securities laws of the United States.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United States or elsewhere may be unenforceable in Australia or elsewhere outside the United States. An award for monetary damages under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The United States and Australia do not currently have a treaty or statute providing for recognition and enforcement of the judgments of the other country (other than arbitration awards) in civil and commercial matters.</w:t>
      </w:r>
    </w:p>
    <w:p>
      <w:pPr>
        <w:spacing w:after="0" w:line="66" w:lineRule="exact"/>
        <w:rPr>
          <w:sz w:val="20"/>
          <w:szCs w:val="20"/>
          <w:color w:val="auto"/>
        </w:rPr>
      </w:pPr>
    </w:p>
    <w:p>
      <w:pPr>
        <w:ind w:left="300" w:right="819" w:firstLine="360"/>
        <w:spacing w:after="0" w:line="342" w:lineRule="auto"/>
        <w:rPr>
          <w:sz w:val="20"/>
          <w:szCs w:val="20"/>
          <w:color w:val="auto"/>
        </w:rPr>
      </w:pPr>
      <w:r>
        <w:rPr>
          <w:rFonts w:ascii="Arial" w:cs="Arial" w:eastAsia="Arial" w:hAnsi="Arial"/>
          <w:sz w:val="16"/>
          <w:szCs w:val="16"/>
          <w:color w:val="auto"/>
        </w:rPr>
        <w:t>As a result, our public shareholders may have more difficulty in protecting their interests through actions against us, our management or our directors than would shareholders of a corporation incorporated in 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spacing w:after="0" w:line="259" w:lineRule="auto"/>
        <w:rPr>
          <w:sz w:val="20"/>
          <w:szCs w:val="20"/>
          <w:color w:val="auto"/>
        </w:rPr>
      </w:pPr>
      <w:r>
        <w:rPr>
          <w:rFonts w:ascii="Arial" w:cs="Arial" w:eastAsia="Arial" w:hAnsi="Arial"/>
          <w:sz w:val="18"/>
          <w:szCs w:val="18"/>
          <w:color w:val="auto"/>
        </w:rPr>
        <w:t>jurisdiction in the United States. In addition, as a company incorporated in Australia, the provisions of the Corporations Act 2001 (Cth), or the Corporations Act, regulate the circumstances in which shareholder derivative actions may be commenced, which may be different, and in many ways less permissive, than for companies incorporated in the United States.</w:t>
      </w:r>
    </w:p>
    <w:p>
      <w:pPr>
        <w:spacing w:after="0" w:line="187" w:lineRule="exact"/>
        <w:rPr>
          <w:sz w:val="20"/>
          <w:szCs w:val="20"/>
          <w:color w:val="auto"/>
        </w:rPr>
      </w:pPr>
    </w:p>
    <w:p>
      <w:pPr>
        <w:ind w:left="300" w:right="399"/>
        <w:spacing w:after="0" w:line="277" w:lineRule="auto"/>
        <w:rPr>
          <w:sz w:val="20"/>
          <w:szCs w:val="20"/>
          <w:color w:val="auto"/>
        </w:rPr>
      </w:pPr>
      <w:r>
        <w:rPr>
          <w:rFonts w:ascii="Arial" w:cs="Arial" w:eastAsia="Arial" w:hAnsi="Arial"/>
          <w:sz w:val="18"/>
          <w:szCs w:val="18"/>
          <w:b w:val="1"/>
          <w:bCs w:val="1"/>
          <w:i w:val="1"/>
          <w:iCs w:val="1"/>
          <w:color w:val="auto"/>
        </w:rPr>
        <w:t>Australian takeover laws may discourage takeover offers being made for us or may discourage the acquisition of a significant position in our ordinary shares or ADSs.</w:t>
      </w:r>
    </w:p>
    <w:p>
      <w:pPr>
        <w:spacing w:after="0" w:line="62" w:lineRule="exact"/>
        <w:rPr>
          <w:sz w:val="20"/>
          <w:szCs w:val="20"/>
          <w:color w:val="auto"/>
        </w:rPr>
      </w:pPr>
    </w:p>
    <w:p>
      <w:pPr>
        <w:ind w:left="300" w:right="419" w:firstLine="360"/>
        <w:spacing w:after="0" w:line="290" w:lineRule="auto"/>
        <w:rPr>
          <w:sz w:val="20"/>
          <w:szCs w:val="20"/>
          <w:color w:val="auto"/>
        </w:rPr>
      </w:pPr>
      <w:r>
        <w:rPr>
          <w:rFonts w:ascii="Arial" w:cs="Arial" w:eastAsia="Arial" w:hAnsi="Arial"/>
          <w:sz w:val="16"/>
          <w:szCs w:val="16"/>
          <w:color w:val="auto"/>
        </w:rPr>
        <w:t>We are incorporated in Australia and are subject to the takeover laws of Australia. Among other things, we are subject to the Corporations Act 2001 (Cth), or the Corporation Act. Subject to a range of exceptions, the takeover provisions in the Corporations Act prohibit the acquisition of a direct or indirect interest in our issued voting shares if the acquisition of that interest will lead to a person’s voting power in us increasing from 20% or below to more than 20%, or increasing from a starting point that is above 20% and below 90%. Australian takeover laws may discourage takeover offers being made for us or may discourage the acquisition of a significant position in our ordinary shares. This may have the ancillary effect of entrenching our board of directors and may deprive or limit our shareholders’ opportunity to sell their ordinary shares. See “Description of Share Capital—Change of Control.”</w:t>
      </w:r>
    </w:p>
    <w:p>
      <w:pPr>
        <w:spacing w:after="0" w:line="165"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b w:val="1"/>
          <w:bCs w:val="1"/>
          <w:i w:val="1"/>
          <w:iCs w:val="1"/>
          <w:color w:val="auto"/>
        </w:rPr>
        <w:t>Our Constitution and Australian laws and regulations applicable to us may differ from those which apply to a U.S. corporation.</w:t>
      </w:r>
    </w:p>
    <w:p>
      <w:pPr>
        <w:spacing w:after="0" w:line="62"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As an Australian company we are subject to different corporate requirements than a corporation organized under the laws of the United States. Our Constitution, as well as the Corporations Act, sets forth various rights and obligations that apply to us as an Australian company and which may not apply to a U.S. corporation. These requirements may operate differently than those which apply to many U.S. companies. You should carefully review the summary of these matters set forth under “Description of Share Capital” as well as our Constitution, which is included as an exhibit to the registration statement of which this registration statement forms a part, prior to investing in our securities.</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Holders of ADSs will not be directly holding our ordinary shares.</w:t>
      </w:r>
    </w:p>
    <w:p>
      <w:pPr>
        <w:spacing w:after="0" w:line="117"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A holder of ADSs will not be treated as one of our shareholders and will not have direct shareholder rights, unless they surrender the ADSs to receive the ordinary shares underlying their ADSs in accordance with the deposit agreement and applicable laws and regulations. Our Constitution and Australian law govern our shareholder rights. The depositary, through the custodian or the custodian’s nominee, will be the holder of the ordinary shares underlying ADSs. The deposit agreement among us, the depositary and holders of ADSs, and all other persons directly and indirectly holding ADSs, sets out ADS holder rights, as well as the rights and obligations of us and the depositary. See “Description of American Depositary Shares.”</w:t>
      </w:r>
    </w:p>
    <w:p>
      <w:pPr>
        <w:spacing w:after="0" w:line="177" w:lineRule="exact"/>
        <w:rPr>
          <w:sz w:val="20"/>
          <w:szCs w:val="20"/>
          <w:color w:val="auto"/>
        </w:rPr>
      </w:pPr>
    </w:p>
    <w:p>
      <w:pPr>
        <w:ind w:left="300" w:right="459"/>
        <w:spacing w:after="0" w:line="342" w:lineRule="auto"/>
        <w:rPr>
          <w:sz w:val="20"/>
          <w:szCs w:val="20"/>
          <w:color w:val="auto"/>
        </w:rPr>
      </w:pPr>
      <w:r>
        <w:rPr>
          <w:rFonts w:ascii="Arial" w:cs="Arial" w:eastAsia="Arial" w:hAnsi="Arial"/>
          <w:sz w:val="16"/>
          <w:szCs w:val="16"/>
          <w:b w:val="1"/>
          <w:bCs w:val="1"/>
          <w:i w:val="1"/>
          <w:iCs w:val="1"/>
          <w:color w:val="auto"/>
        </w:rPr>
        <w:t>Your right as a holder of ADSs to participate in any future preferential subscription rights offering or to elect to receive dividends in ordinary shares may be limited, which may cause dilution to your holdings.</w:t>
      </w:r>
    </w:p>
    <w:p>
      <w:pPr>
        <w:spacing w:after="0" w:line="16"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6"/>
          <w:szCs w:val="16"/>
          <w:color w:val="auto"/>
        </w:rPr>
        <w:t>The deposit agreement provides that the depositary will not make rights available to you unless the distribution to ADS holders of both the rights and any related securities are either registered under the Securities Act or exempted from registration under the Securities Act.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 Under the terms of our subscription agreement with Phillips 66, Phillips 66 also has certain rights to be notified of, and/or participate in, issuance of shares by the Company, which opportunities may not be available to you or other holders of ADSs.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You may not be able to exercise your right to vote the ordinary shares underlying your ADSs.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w:t>
      </w:r>
    </w:p>
    <w:p>
      <w:pPr>
        <w:spacing w:after="0" w:line="87"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You may instruct the depositary to vote the ordinary shares underlying your ADSs. Otherwise, you will not be able to exercise your right to vote, unless you withdraw the ordinary shares underlying the ADSs you hold. However, you may not know about the meeting far enough in advance to withdraw those ordinary shares in time to vote them yourself. If we ask for your instructions, the depositary, upon timely notice from us, will notify you of the upcoming vote and arrange to deliver our voting materials to you and will try to vote ordinary shares as you instruct. We cannot guarantee you that you will receive the voting materials in time to ensure that you can instruct the depositary to vote your ordinary shares or to withdraw your ordinary shares so that you can vote them yourself.</w:t>
      </w:r>
    </w:p>
    <w:p>
      <w:pPr>
        <w:spacing w:after="0" w:line="58"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Under our Constitution, any resolution to be considered at a meeting of the shareholders shall be decided on a show of hands unless a poll is demanded in accordance with the terms of our Constitution. A poll may be demanded before a vote is taken, or, in the case of a vote taken on a show of hands, immediately before or immediately after, the declaration of the result of the show of hands. Under voting by a show of hands, the depositary will vote (or cause the custodian to vote) all ordinary shares held on deposit at that time in accordance with the voting instructions received from a majority of holders of ADSs who provide timely voting instructions.</w:t>
      </w:r>
    </w:p>
    <w:p>
      <w:pPr>
        <w:spacing w:after="0" w:line="164"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You may be subject to limitations on the transfer of your ADSs and the withdrawal of the underlying ordinary shares.</w:t>
      </w:r>
    </w:p>
    <w:p>
      <w:pPr>
        <w:spacing w:after="0" w:line="62" w:lineRule="exact"/>
        <w:rPr>
          <w:sz w:val="20"/>
          <w:szCs w:val="20"/>
          <w:color w:val="auto"/>
        </w:rPr>
      </w:pPr>
    </w:p>
    <w:p>
      <w:pPr>
        <w:ind w:left="300" w:right="359" w:firstLine="360"/>
        <w:spacing w:after="0" w:line="268"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expedient in connection with the performance of its duties. The depositary may refuse to deliver, transfer or register transfers of your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your right to surrender your ADSs and receive the underlying ordinary shares. Temporary delays in the surrendering of your ADSs and receipt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you may not be able to surrender your ADSs and receive the underlying ordinary shares when you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ADS holders’ rights to pursue claims is limited by the terms of the deposit agreement.</w:t>
      </w:r>
    </w:p>
    <w:p>
      <w:pPr>
        <w:spacing w:after="0" w:line="117"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The deposit agreement provides that the state and federal courts in The City of New York shall have exclusive jurisdiction over any suit, action or proceeding against or involving us or the depositary, arising out of or relating in any way to the deposit agreement or the transactions contemplated thereby or by virtue of owning the ADSs. The enforceability of similar federal court choice of forum provisions has been challenged in legal proceedings in the United States, and it is possible that a court could find this type of provision to be inapplicable or unenforceable. If a court were to find the federal choice of forum provision contained in the deposit agreement to be inapplicable or unenforceable in an action, we may incur additional costs associated with resolving such action in other jurisdictions. If upheld, the forum selection clause in the deposit agreement may limit a security-holder’s ability to bring a claim against us, our directors and officers, the depositary, and potentially others in his or her preferred judicial forum, and this limitation may discourage such lawsuits. Holders of our ordinary shares or the ADSs will not be deemed to have waived our compliance with the U.S. federal securities laws and the regulations promulgated thereunder pursuant to the exclusive forum provision in the deposit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In addition, the deposit agreement provides that holders and beneficial owners of ADSs, including those holders and owners who acquired ADSs in secondary transactions, irrevocably waive the right to a trial by jury in any legal proceeding arising out of or relating to the deposit agreement or the ADSs, including in respect of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U.S.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w:t>
      </w:r>
    </w:p>
    <w:p>
      <w:pPr>
        <w:spacing w:after="0" w:line="284"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No condition, stipulation or provision of the deposit agreement or ADSs serves as a waiver by any holder or beneficial owner of ADSs or by us or the depositary of compliance with any provision of the applicable U.S.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77"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As the jury trial waiver relates to claims arising out of or relating to the ADSs or the deposit agreement, we believe that the waiver would likely continue to apply to ADS holders or beneficial owners who withdraw the ordinary shares from the ADS facility with respect to claims arising before the cancellation of the ADSs and the withdrawal of the ordinary shares, and the waiver would likely not apply to ADS holders or beneficial owners who subsequently withdraw the ordinary shares represented by ADSs from the ADS facility with respect to claims arising after the withdrawal. However, to our knowledge, there has been no case law on the applicability of the jury trial waiver to ADS holders or beneficial owners who withdraw the ordinary shares represented by the ADSs from the ADS facility.</w:t>
      </w:r>
    </w:p>
    <w:p>
      <w:pPr>
        <w:spacing w:after="0" w:line="354" w:lineRule="exact"/>
        <w:rPr>
          <w:sz w:val="20"/>
          <w:szCs w:val="20"/>
          <w:color w:val="auto"/>
        </w:rPr>
      </w:pPr>
    </w:p>
    <w:p>
      <w:pPr>
        <w:ind w:left="300" w:right="299"/>
        <w:spacing w:after="0" w:line="263" w:lineRule="auto"/>
        <w:rPr>
          <w:sz w:val="20"/>
          <w:szCs w:val="20"/>
          <w:color w:val="auto"/>
        </w:rPr>
      </w:pPr>
      <w:r>
        <w:rPr>
          <w:rFonts w:ascii="Arial" w:cs="Arial" w:eastAsia="Arial" w:hAnsi="Arial"/>
          <w:sz w:val="18"/>
          <w:szCs w:val="18"/>
          <w:b w:val="1"/>
          <w:bCs w:val="1"/>
          <w:i w:val="1"/>
          <w:iCs w:val="1"/>
          <w:color w:val="auto"/>
        </w:rPr>
        <w:t>We and the depositary are entitled to amend the deposit agreement and to change the rights of ADS holders under the terms of such agreement, and we may terminate the deposit agreement, without the prior consent of the ADS holders.</w:t>
      </w:r>
    </w:p>
    <w:p>
      <w:pPr>
        <w:spacing w:after="0" w:line="76"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We and the depositary are entitled to amend the deposit agreement and to change the rights of the ADS holders under the terms of such agreement, without the prior consent of the ADS holders. In the event that the terms of an amendment are materially prejudicial to ADS holders’ substantial rights, ADS holders will only receive 30 days’ advance notice of the amendment, and no prior consent of the ADS holders is required under the deposit agreement. Furthermore, we may decide to terminate the ADS facility at any time for any reason, or the depositary agent may on its own initiative terminate the deposit agreement. If the ADS facility will terminate, ADS holders will receive at least 30 days’ prior notice, but no prior consent is required from them. Under the circumstances that we decide to make an amendment to the deposit agreement that is materially prejudicial to the substantial rights of the ADS holders or terminate the deposit agreement, the ADS holders may choose to sell their ADSs or surrender their ADSs and become direct holders of the underlying ordinary shares, but will have no right to any compensation whatsoever.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b w:val="1"/>
          <w:bCs w:val="1"/>
          <w:i w:val="1"/>
          <w:iCs w:val="1"/>
          <w:color w:val="auto"/>
        </w:rPr>
        <w:t>ADS holders have limited recourse if we or the depositary fail to meet our respective obligations under the deposit agreement.</w:t>
      </w:r>
    </w:p>
    <w:p>
      <w:pPr>
        <w:spacing w:after="0" w:line="62" w:lineRule="exact"/>
        <w:rPr>
          <w:sz w:val="20"/>
          <w:szCs w:val="20"/>
          <w:color w:val="auto"/>
        </w:rPr>
      </w:pPr>
    </w:p>
    <w:p>
      <w:pPr>
        <w:ind w:left="300" w:right="639" w:firstLine="360"/>
        <w:spacing w:after="0" w:line="277" w:lineRule="auto"/>
        <w:rPr>
          <w:sz w:val="20"/>
          <w:szCs w:val="20"/>
          <w:color w:val="auto"/>
        </w:rPr>
      </w:pPr>
      <w:r>
        <w:rPr>
          <w:rFonts w:ascii="Arial" w:cs="Arial" w:eastAsia="Arial" w:hAnsi="Arial"/>
          <w:sz w:val="18"/>
          <w:szCs w:val="18"/>
          <w:color w:val="auto"/>
        </w:rPr>
        <w:t>The deposit agreement expressly limits our obligations and liability and those of the depositary. We and the depositary:</w:t>
      </w:r>
    </w:p>
    <w:p>
      <w:pPr>
        <w:spacing w:after="0" w:line="62" w:lineRule="exact"/>
        <w:rPr>
          <w:sz w:val="20"/>
          <w:szCs w:val="20"/>
          <w:color w:val="auto"/>
        </w:rPr>
      </w:pPr>
    </w:p>
    <w:p>
      <w:pPr>
        <w:ind w:left="1000" w:right="43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circumstances beyond our or its control from performing our or its obligations under the deposit agreement;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 not liable if we exercise or it exercises discretion permitted under the deposit agreement;</w:t>
      </w:r>
    </w:p>
    <w:p>
      <w:pPr>
        <w:spacing w:after="0" w:line="117" w:lineRule="exact"/>
        <w:rPr>
          <w:rFonts w:ascii="Arial" w:cs="Arial" w:eastAsia="Arial" w:hAnsi="Arial"/>
          <w:sz w:val="18"/>
          <w:szCs w:val="18"/>
          <w:color w:val="auto"/>
        </w:rPr>
      </w:pPr>
    </w:p>
    <w:p>
      <w:pPr>
        <w:ind w:left="1000" w:right="519" w:hanging="348"/>
        <w:spacing w:after="0" w:line="311"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are not liable for the inability of any holder of our ADSs to benefit from any distribution on deposited securities that is not made available to holders of our ADSs under the terms of the deposit agreement, or for any consequential or punitive damages for any breach of the terms of the deposit agreement; and</w:t>
      </w:r>
    </w:p>
    <w:p>
      <w:pPr>
        <w:spacing w:after="0" w:line="40" w:lineRule="exact"/>
        <w:rPr>
          <w:rFonts w:ascii="Arial" w:cs="Arial" w:eastAsia="Arial" w:hAnsi="Arial"/>
          <w:sz w:val="16"/>
          <w:szCs w:val="16"/>
          <w:color w:val="auto"/>
        </w:rPr>
      </w:pPr>
    </w:p>
    <w:p>
      <w:pPr>
        <w:ind w:left="1000" w:right="81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62"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These provisions of the deposit agreement limit the ability of holders of the ADSs to obtain recourse if we or the depositary fail to meet our respective obligations under the deposit agreement.</w:t>
      </w:r>
    </w:p>
    <w:p>
      <w:pPr>
        <w:spacing w:after="0" w:line="170"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that apply to public companies that are not foreign private issuers.</w:t>
      </w:r>
    </w:p>
    <w:p>
      <w:pPr>
        <w:spacing w:after="0" w:line="62"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senior management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the ASX and expect to file financial reports on an annual and semi-annual basis, we will not be required to file annual and current reports and financial statements with the SEC as frequently or as promptly as U.S. domestic companies whose securities are registered under the Exchange Act and will not be required to file quarterly reports on Form 10-Q or current reports on Form 8-K under the Exchange Act. 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 company’s securities on the basis of the information. In addition, foreign private issuers are not required to file their annual report on Form 20-F until four months after the end of each fiscal year.</w:t>
      </w:r>
    </w:p>
    <w:p>
      <w:pPr>
        <w:spacing w:after="0" w:line="68"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These exemptions and leniencies will reduce the frequency and scope of information and protections to which you are entitled as an investor and there may be less publicly available information concerning our company than there would be if we were not a foreign private issuer.</w:t>
      </w:r>
    </w:p>
    <w:p>
      <w:pPr>
        <w:spacing w:after="0" w:line="184" w:lineRule="exact"/>
        <w:rPr>
          <w:sz w:val="20"/>
          <w:szCs w:val="20"/>
          <w:color w:val="auto"/>
        </w:rPr>
      </w:pPr>
    </w:p>
    <w:p>
      <w:pPr>
        <w:ind w:left="300" w:right="739"/>
        <w:spacing w:after="0" w:line="279" w:lineRule="auto"/>
        <w:rPr>
          <w:sz w:val="20"/>
          <w:szCs w:val="20"/>
          <w:color w:val="auto"/>
        </w:rPr>
      </w:pPr>
      <w:r>
        <w:rPr>
          <w:rFonts w:ascii="Arial" w:cs="Arial" w:eastAsia="Arial" w:hAnsi="Arial"/>
          <w:sz w:val="17"/>
          <w:szCs w:val="17"/>
          <w:b w:val="1"/>
          <w:bCs w:val="1"/>
          <w:i w:val="1"/>
          <w:iCs w:val="1"/>
          <w:color w:val="auto"/>
        </w:rPr>
        <w:t>As a foreign private issuer, we are permitted to adopt certain home country practices in relation to corporate governance matters that differ significantly from Nasdaq corporate governance listing standards and these practices may afford less protection to shareholders than they would enjoy if we complied fully with Nasdaq corporate governance listing standards.</w:t>
      </w:r>
    </w:p>
    <w:p>
      <w:pPr>
        <w:spacing w:after="0" w:line="63" w:lineRule="exact"/>
        <w:rPr>
          <w:sz w:val="20"/>
          <w:szCs w:val="20"/>
          <w:color w:val="auto"/>
        </w:rPr>
      </w:pPr>
    </w:p>
    <w:p>
      <w:pPr>
        <w:ind w:left="300" w:right="399" w:firstLine="360"/>
        <w:spacing w:after="0" w:line="291" w:lineRule="auto"/>
        <w:rPr>
          <w:sz w:val="20"/>
          <w:szCs w:val="20"/>
          <w:color w:val="auto"/>
        </w:rPr>
      </w:pPr>
      <w:r>
        <w:rPr>
          <w:rFonts w:ascii="Arial" w:cs="Arial" w:eastAsia="Arial" w:hAnsi="Arial"/>
          <w:sz w:val="16"/>
          <w:szCs w:val="16"/>
          <w:color w:val="auto"/>
        </w:rPr>
        <w:t>As a foreign private issuer and following the listing of our ADSs on the Nasdaq Global Market, we will be subject to their corporate governance listing standards. However, the governance rules of Nasdaq permit foreign private issuers to follow the corporate governance practices of their home country. Some corporate governance practices in Australia may differ from Nasdaq corporate governance listing standards. For example, we could include non-independent directors as members of our Remuneration Committee, and our independent directors may not necessarily hold regularly scheduled meetings at which only independent members of the board of directors are present. In addition, the corporate governance practice in our home country, Australia, does not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55" w:lineRule="auto"/>
        <w:rPr>
          <w:sz w:val="20"/>
          <w:szCs w:val="20"/>
          <w:color w:val="auto"/>
        </w:rPr>
      </w:pPr>
      <w:r>
        <w:rPr>
          <w:rFonts w:ascii="Arial" w:cs="Arial" w:eastAsia="Arial" w:hAnsi="Arial"/>
          <w:sz w:val="18"/>
          <w:szCs w:val="18"/>
          <w:color w:val="auto"/>
        </w:rPr>
        <w:t>require a majority of our board to consist of independent directors (although it is recommended) or the implementation of a nominating and corporate governance committee (although the establishment of a nominating committee is also recommended). Currently, we intend to follow home country practice to the maximum extent possible. Therefore, our shareholders may be afforded less protection than they otherwise would have under corporate governance listing standards applicable to U.S. domestic issuers. For an overview of our corporate governance practices, see “Board Practices.”</w:t>
      </w:r>
    </w:p>
    <w:p>
      <w:pPr>
        <w:spacing w:after="0" w:line="192"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62"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While we currently qualify as a foreign private issuer, the determination of foreign private issuer status is made annually based on the last business day of an issuer’s most recently completed second fiscal quarter and, accordingly, our next determination will be made based on information as of December 31, 2021. In the future, we would lose our foreign private issuer status if we to fail to meet the requirements necessary to maintain our foreign private issuer status as of the relevant determination date. For example, if 50% or more of our securities are held by U.S. residents and more than 50% of our senior management or directors are residents or citizens of the United States, we could lose our foreign private issuer status. As of September 30, 2021, approximately 15.3% of our outstanding ordinary shares are held by U.S. residents.</w:t>
      </w:r>
    </w:p>
    <w:p>
      <w:pPr>
        <w:spacing w:after="0" w:line="70"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The regulatory and compliance costs to us under U.S. securities laws as a U.S. domestic issuer may be significantly higher. If we cease to be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required of U.S. 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185" w:lineRule="exact"/>
        <w:rPr>
          <w:sz w:val="20"/>
          <w:szCs w:val="20"/>
          <w:color w:val="auto"/>
        </w:rPr>
      </w:pPr>
    </w:p>
    <w:p>
      <w:pPr>
        <w:ind w:left="300" w:right="53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the JOBS Act and will be able to avail ourselves of reduced disclosure requirements applicable to emerging growth companies, which could make our ordinary shares and ADSs less attractive to investors.</w:t>
      </w:r>
    </w:p>
    <w:p>
      <w:pPr>
        <w:spacing w:after="0" w:line="76"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and exemptions from the requirements of holding a nonbinding advisory vote on executive compensation and shareholder approval of any golden parachute payments not previously approved.</w:t>
      </w:r>
    </w:p>
    <w:p>
      <w:pPr>
        <w:spacing w:after="0" w:line="53"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We cannot predict if investors will find the ADSs less attractive because we may rely on these exemptions. If some investors find the ADSs less attractive as a result, there may be a less active trading market for the ADSs and the price of the ADSs may be more volatile. We may take advantage of these exemptions until such time that we are no longer an emerging growth company. We would cease to be an emerging growth company upon the earliest to occur of (i) the last day of the fiscal year in which we have more than US$1.07 billion in annual revenue; (ii) the last day of the fiscal year in which we qualify as a “large accelerated filer”; (iii) the date on which we have, during the previous three-year period, issued more than US$1.0 billion in non-convertible debt securities; and (iv) the last day of the fiscal year in which the fifth anniversary of our first sale of common equity securities pursuant to an effective registration statement under the Securities Act.</w:t>
      </w:r>
    </w:p>
    <w:p>
      <w:pPr>
        <w:spacing w:after="0" w:line="181"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company with ADSs that are publicly traded in the United States, and our management will be required to devote substantial time to new compliance initiatives.</w:t>
      </w:r>
    </w:p>
    <w:p>
      <w:pPr>
        <w:spacing w:after="0" w:line="76"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As a company with ADSs that will be publicly traded in the United States, we will incur significant legal, accounting, insurance, administrative and other expenses that we did not previously incur. In addition, the Sarbanes-Oxley Act, Dodd-Frank Wall Street Reform and Consumer Protection Act and related rules implemented by the SEC and Nasdaq have imposed various requirements on public companies listed in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99"/>
        <w:spacing w:after="0" w:line="263" w:lineRule="auto"/>
        <w:rPr>
          <w:sz w:val="20"/>
          <w:szCs w:val="20"/>
          <w:color w:val="auto"/>
        </w:rPr>
      </w:pPr>
      <w:r>
        <w:rPr>
          <w:rFonts w:ascii="Arial" w:cs="Arial" w:eastAsia="Arial" w:hAnsi="Arial"/>
          <w:sz w:val="18"/>
          <w:szCs w:val="18"/>
          <w:color w:val="auto"/>
        </w:rPr>
        <w:t>United States including requiring establishment and maintenance of effective disclosure and financial controls. We are currently evaluating and monitoring developments with respect to these rules, and we cannot predict or estimate the amount of additional costs we may incur or the timing of such costs.</w:t>
      </w:r>
    </w:p>
    <w:p>
      <w:pPr>
        <w:spacing w:after="0" w:line="76"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Our current management team has limited experience managing and operating a company that has publicly traded securities in the United States. Our management team may not successfully or effectively manage our transition to a public company listed in the United States that will be subject to significant regulatory oversight and reporting obligations under U.S. federal securities laws. It will need to divert attention from operational and other business matters to devote a substantial amount of time to these compliance initiatives, and we will need to add additional personnel and build our internal compliance infrastructure.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59" w:lineRule="exact"/>
        <w:rPr>
          <w:sz w:val="20"/>
          <w:szCs w:val="20"/>
          <w:color w:val="auto"/>
        </w:rPr>
      </w:pPr>
    </w:p>
    <w:p>
      <w:pPr>
        <w:ind w:left="300" w:right="339" w:firstLine="360"/>
        <w:spacing w:after="0" w:line="253" w:lineRule="auto"/>
        <w:rPr>
          <w:sz w:val="20"/>
          <w:szCs w:val="20"/>
          <w:color w:val="auto"/>
        </w:rPr>
      </w:pPr>
      <w:r>
        <w:rPr>
          <w:rFonts w:ascii="Arial" w:cs="Arial" w:eastAsia="Arial" w:hAnsi="Arial"/>
          <w:sz w:val="18"/>
          <w:szCs w:val="18"/>
          <w:color w:val="auto"/>
        </w:rPr>
        <w:t>Moreover, these rules and regulations will increase our legal and financial compliance costs and will make some activities more time-consuming and costly. These laws and regulations could also make it more difficult and expensive for us to attract and retain qualified persons to serve on our board of directors, our board committees or as our senior management. Furthermore, if we are unable to satisfy our obligations as a public company listed in the United States, we could be subject to delisting of the ADSs, fines, sanctions and other regulatory action and potentially civil litigation. Failure to comply or adequately comply with any laws, rules or regulations applicable to our business may result in fines or regulatory actions, which may adversely affect our business, results of operation or financial condition and could result in delays in achieving or maintaining an active and liquid trading market for the ADSs.</w:t>
      </w:r>
    </w:p>
    <w:p>
      <w:pPr>
        <w:spacing w:after="0" w:line="345" w:lineRule="exact"/>
        <w:rPr>
          <w:sz w:val="20"/>
          <w:szCs w:val="20"/>
          <w:color w:val="auto"/>
        </w:rPr>
      </w:pPr>
    </w:p>
    <w:p>
      <w:pPr>
        <w:ind w:left="300" w:right="379"/>
        <w:spacing w:after="0" w:line="291" w:lineRule="auto"/>
        <w:rPr>
          <w:sz w:val="20"/>
          <w:szCs w:val="20"/>
          <w:color w:val="auto"/>
        </w:rPr>
      </w:pPr>
      <w:r>
        <w:rPr>
          <w:rFonts w:ascii="Arial" w:cs="Arial" w:eastAsia="Arial" w:hAnsi="Arial"/>
          <w:sz w:val="16"/>
          <w:szCs w:val="16"/>
          <w:b w:val="1"/>
          <w:bCs w:val="1"/>
          <w:i w:val="1"/>
          <w:iCs w:val="1"/>
          <w:color w:val="auto"/>
        </w:rPr>
        <w:t>We identified material weaknesses in our internal control over financial reporting in connection with the preparation of our financial statements for the fiscal year ended June 30, 2021, and we may identify additional material weaknesses in the future that may cause us to fail to meet our reporting obligations or result in material misstatements of our financial statements. 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negatively impacted.</w:t>
      </w:r>
    </w:p>
    <w:p>
      <w:pPr>
        <w:spacing w:after="0" w:line="58" w:lineRule="exact"/>
        <w:rPr>
          <w:sz w:val="20"/>
          <w:szCs w:val="20"/>
          <w:color w:val="auto"/>
        </w:rPr>
      </w:pPr>
    </w:p>
    <w:p>
      <w:pPr>
        <w:ind w:left="300" w:right="379" w:firstLine="360"/>
        <w:spacing w:after="0" w:line="268" w:lineRule="auto"/>
        <w:rPr>
          <w:sz w:val="20"/>
          <w:szCs w:val="20"/>
          <w:color w:val="auto"/>
        </w:rPr>
      </w:pPr>
      <w:r>
        <w:rPr>
          <w:rFonts w:ascii="Arial" w:cs="Arial" w:eastAsia="Arial" w:hAnsi="Arial"/>
          <w:sz w:val="17"/>
          <w:szCs w:val="17"/>
          <w:color w:val="auto"/>
        </w:rPr>
        <w:t>We are not currently required to comply with the rules of the SEC implementing Section 404 of the Sarbanes-Oxley Act of 2002 the (“Sarbanes-Oxley Act”) and therefore we and our independent registered public accounting firm were not required to, and did not,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SEC reports and provide an annual management report on the effectiveness of control over financial reporting. We will not be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generally not be required to attest to the effectiveness of our internal control over financial reporting pursuant to Section 404 until we are no longer an emerging growth company (but in no case earlier than the year following our first annual report required to be filed with the SEC). If our internal control over financial reporting is not effective, management will be required to state that in its report on internal control over financial reporting and our independent registered public accounting firm will issue an adverse report with respect to the effectiveness of internal control over financial reporting.</w:t>
      </w:r>
    </w:p>
    <w:p>
      <w:pPr>
        <w:spacing w:after="0" w:line="74"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Our management has not completed an assessment of the effectiveness of our internal control over financial reporting, and our independent registered public accounting firm has not conducted an audit of our internal control over financial reporting. In connection with the preparation of our financial statements as of and for the years ended June 30, 2021 and 2020, we identified certain control deficiencies in the design and implementation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Control—Integrated Framework (2013).</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material weaknesses identified by management relate to the following:</w:t>
      </w:r>
    </w:p>
    <w:p>
      <w:pPr>
        <w:spacing w:after="0" w:line="117" w:lineRule="exact"/>
        <w:rPr>
          <w:sz w:val="20"/>
          <w:szCs w:val="20"/>
          <w:color w:val="auto"/>
        </w:rPr>
      </w:pPr>
    </w:p>
    <w:p>
      <w:pPr>
        <w:jc w:val="both"/>
        <w:ind w:left="1000" w:right="839" w:hanging="348"/>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Limited personnel in our accounting and finance functions have resulted in our inability to establish sufficient segregation of duties across the key business and financial processes of our organization;</w:t>
      </w:r>
    </w:p>
    <w:p>
      <w:pPr>
        <w:spacing w:after="0" w:line="15" w:lineRule="exact"/>
        <w:rPr>
          <w:rFonts w:ascii="Arial" w:cs="Arial" w:eastAsia="Arial" w:hAnsi="Arial"/>
          <w:sz w:val="16"/>
          <w:szCs w:val="16"/>
          <w:color w:val="auto"/>
        </w:rPr>
      </w:pPr>
    </w:p>
    <w:p>
      <w:pPr>
        <w:ind w:left="1000" w:right="439" w:hanging="348"/>
        <w:spacing w:after="0" w:line="25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appropriately designed, implemented and documented procedures and controls to allow us to achieve complete, accurate and timely financial reporting, including controls over the preparation and review of account reconciliations and journal entries, and controls over information technology including access and program change management to ensure access to financial data is adequately restricted to appropriate personnel; and</w:t>
      </w:r>
    </w:p>
    <w:p>
      <w:pPr>
        <w:spacing w:after="0" w:line="79"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personnel with the appropriate knowledge and experience related to SEC reporting requirements to enable us to design and maintain an effective financial reporting process.</w:t>
      </w:r>
    </w:p>
    <w:p>
      <w:pPr>
        <w:spacing w:after="0" w:line="62"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As of the date of this registration statement these remain material weaknesses. We cannot assure you that the measures that we have taken, and that will be taken, to remediate these material weaknesses will, in fact, remedy the material weaknesses or will be sufficient to prevent future material weaknesses from occurring. We also cannot assure you that we have identified all of our existing material weaknesses. Material weaknesses may still exist when we report on the effectiveness of our internal control over financial reporting as required under Section 404 of the Sarbanes-Oxley Act.</w:t>
      </w:r>
    </w:p>
    <w:p>
      <w:pPr>
        <w:spacing w:after="0" w:line="84"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As part of our plan to remediate these material weaknesses we intend to implement a number of measures to address the material weaknesses that have been identified including: (i) hiring additional accounting and financial reporting personnel with SEC reporting experience, (ii) expanding the capabilities of existing accounting and financial reporting personnel through training and education in SEC rules and regulations, (iii) establishing effective monitoring and oversight controls for non-recurring and complex transactions designed to ensure the accuracy and completeness of the Group’s consolidated financial statements and related disclosures, (iv) implementing formal processes and controls to identify, monitor and mitigate segregation of duties conflicts, and (v) improving our IT systems and monitoring of the IT function.</w:t>
      </w:r>
    </w:p>
    <w:p>
      <w:pPr>
        <w:spacing w:after="0" w:line="70"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presence of material weaknesses could result in financial statement errors which, in turn, could lead to errors in our financial reports or delays in our financial reporting, which could require us to restate our financial statements or result in our auditors issuing a qualified audit report. Remediating material weaknesses will absorb management time and will require us to incur additional expenses, which could have a negative effect on the trading price of our ordinary shares and the ADSs. In order to establish and maintain effective disclosure controls and procedures and internal controls over financial reporting, we will need to expend significant resources and provide significant management oversight. Developing, implementing and testing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74"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7"/>
          <w:szCs w:val="17"/>
          <w:color w:val="auto"/>
        </w:rPr>
        <w:t>It is possible that, had we and our independent registered public accounting firm performed a formal assessment of the effectiveness of our internal control over financial reporting in accordance with the provisions of the Sarbanes-Oxley Act, additional material weaknesses may have been identified.</w:t>
      </w:r>
    </w:p>
    <w:p>
      <w:pPr>
        <w:spacing w:after="0" w:line="57"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If either we are unable to conclude that we have effective internal controls over financial reporting or our independent registered public accounting firm are unable to provide us with an unqualified report on the effectiveness of our internal controls over financial reporting as required by Section 404(b) of the Sarbanes-Oxley Act, investors may lose confidence in our operating results, the price of our ordinary shares and the ADSs could decline and we may be subject to litigation or regulatory enforcement actions. In addition, if we are unable to meet the requirements of Section 404 of the Sarbanes-Oxley Act, we may not be able to remain listed on Nasdaq.</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1159"/>
        <w:spacing w:after="0" w:line="277" w:lineRule="auto"/>
        <w:rPr>
          <w:sz w:val="20"/>
          <w:szCs w:val="20"/>
          <w:color w:val="auto"/>
        </w:rPr>
      </w:pPr>
      <w:r>
        <w:rPr>
          <w:rFonts w:ascii="Arial" w:cs="Arial" w:eastAsia="Arial" w:hAnsi="Arial"/>
          <w:sz w:val="18"/>
          <w:szCs w:val="18"/>
          <w:b w:val="1"/>
          <w:bCs w:val="1"/>
          <w:i w:val="1"/>
          <w:iCs w:val="1"/>
          <w:color w:val="auto"/>
        </w:rPr>
        <w:t>We currently report our financial results under IFRS, which differs in certain significant respect from U.S. generally accepted accounting principles, or U.S. GAAP.</w:t>
      </w:r>
    </w:p>
    <w:p>
      <w:pPr>
        <w:spacing w:after="0" w:line="62"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color w:val="auto"/>
        </w:rPr>
        <w:t>Currently we report our financial statements under IFRS. There have been and there may in the future be certain significant differences between IFRS and U.S. GAAP, and those difference may be material.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195"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currency fluctuations, and changes in foreign currency exchange rates could impact our results of operations.</w:t>
      </w:r>
    </w:p>
    <w:p>
      <w:pPr>
        <w:spacing w:after="0" w:line="6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Our ordinary shares are quoted in Australian dollars on the ASX and the ADSs will be quoted in U.S. dollars. In the past year, the Australian dollar has generally strengthened against the U.S. dollar; however, this trend may not continue and may be reversed. Any significant change in the value of the Australian dollar may have a negative effect on the value of the ADSs in U.S. dollars. In particular, if the Australian dollar weakens against the U.S. dollar, then, if we decide to convert our Australian dollars into U.S. dollars for any business purpose, appreciation of the U.S. dollar against the Australian dollar would have a negative effect on the U.S. dollar amount available to us. Consequently, appreciation or depreciation in the value of the Australian dollar relative to the U.S. dollar would affect our financial results reported in U.S. dollar terms without giving effect to any underlying change in our business or results of operations. As a result of such foreign currency fluctuations, it could be more difficult to detect underlying trends in our business and results of operations.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Tax Matters</w:t>
      </w:r>
    </w:p>
    <w:p>
      <w:pPr>
        <w:spacing w:after="0" w:line="121" w:lineRule="exact"/>
        <w:rPr>
          <w:sz w:val="20"/>
          <w:szCs w:val="20"/>
          <w:color w:val="auto"/>
        </w:rPr>
      </w:pPr>
    </w:p>
    <w:p>
      <w:pPr>
        <w:ind w:left="300" w:right="799"/>
        <w:spacing w:after="0" w:line="277" w:lineRule="auto"/>
        <w:rPr>
          <w:sz w:val="20"/>
          <w:szCs w:val="20"/>
          <w:color w:val="auto"/>
        </w:rPr>
      </w:pPr>
      <w:r>
        <w:rPr>
          <w:rFonts w:ascii="Arial" w:cs="Arial" w:eastAsia="Arial" w:hAnsi="Arial"/>
          <w:sz w:val="18"/>
          <w:szCs w:val="18"/>
          <w:b w:val="1"/>
          <w:bCs w:val="1"/>
          <w:i w:val="1"/>
          <w:iCs w:val="1"/>
          <w:color w:val="auto"/>
        </w:rPr>
        <w:t>Our ability to utilize our net operating losses to offset future taxable income may be prohibited or subject to certain limitations.</w:t>
      </w:r>
    </w:p>
    <w:p>
      <w:pPr>
        <w:spacing w:after="0" w:line="62"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Prior or future changes in our ownership could limit our ability to use our net operating losses (“NOLs”) to offset future taxable income. In general, in the United States, Section 382 of the Internal Revenue Code of 1986, as amended, provides an annual limitation with respect to the ability of a corporation to utilize its tax attributes, including its NOLs, against future taxable income in the event of a change in ownership. The use of tax losses incurred prior to a change in ownership may also be limited in Australia. We have not determined whether we have undergone a change in ownership for United States or Australian tax purposes, and it is possible that we may have undergone such a change previously or may undergo such a change as a result of future transactions in our stock (many of which are outside our control). If it is determined that we have previously experienced such an ownership change, or if we undergo one or more ownership changes as a result of future transactions, we may be unable to use all or a portion of our NOLs to offset our future taxable income in the United States or Australia. Any limitations on our ability to use our NOLs may cause income taxes to be paid earlier than otherwise would be paid if such limitations were not in effect and could cause such NOLs to expire unused, in each case, reducing or eliminating the benefit of such NOLs. This could adversely affect our financial condition and operating results.</w:t>
      </w:r>
    </w:p>
    <w:p>
      <w:pPr>
        <w:spacing w:after="0" w:line="174"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b w:val="1"/>
          <w:bCs w:val="1"/>
          <w:i w:val="1"/>
          <w:iCs w:val="1"/>
          <w:color w:val="auto"/>
        </w:rPr>
        <w:t>If we are a passive foreign investment company, there could be adverse U.S. federal income tax consequences to U.S. holders.</w:t>
      </w:r>
    </w:p>
    <w:p>
      <w:pPr>
        <w:spacing w:after="0" w:line="62"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Generally, we will be a passive foreign investment company (“PFIC”) for U.S. federal income tax purposes for any taxable year in which, after applying certain look-through rules with respect to the income and assets of our subsidiaries, either: (1) at least 75% of our gross income is “passive income” or (2) at least 50% of the average quarterly value of our total gross assets (which would generally be measured by fair market value of our assets) is attributable to assets that produce “passive income” or are held for the production of “passive income.” Passive income for this purpose generally includes dividends, interest, royalties, rents, gains from commodities and securities transactions and the excess of gains over losses from the disposition of assets which produce passive income.</w:t>
      </w:r>
    </w:p>
    <w:p>
      <w:pPr>
        <w:spacing w:after="0" w:line="84" w:lineRule="exact"/>
        <w:rPr>
          <w:sz w:val="20"/>
          <w:szCs w:val="20"/>
          <w:color w:val="auto"/>
        </w:rPr>
      </w:pPr>
    </w:p>
    <w:p>
      <w:pPr>
        <w:ind w:left="300" w:right="439" w:firstLine="360"/>
        <w:spacing w:after="0" w:line="342" w:lineRule="auto"/>
        <w:rPr>
          <w:sz w:val="20"/>
          <w:szCs w:val="20"/>
          <w:color w:val="auto"/>
        </w:rPr>
      </w:pPr>
      <w:r>
        <w:rPr>
          <w:rFonts w:ascii="Arial" w:cs="Arial" w:eastAsia="Arial" w:hAnsi="Arial"/>
          <w:sz w:val="16"/>
          <w:szCs w:val="16"/>
          <w:color w:val="auto"/>
        </w:rPr>
        <w:t>Based on our current and anticipated operations and composition of our assets and income, we believe that we should not be a PFIC for the current taxable year, and currently do not expect to become a PFIC in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72" w:lineRule="auto"/>
        <w:rPr>
          <w:sz w:val="20"/>
          <w:szCs w:val="20"/>
          <w:color w:val="auto"/>
        </w:rPr>
      </w:pPr>
      <w:r>
        <w:rPr>
          <w:rFonts w:ascii="Arial" w:cs="Arial" w:eastAsia="Arial" w:hAnsi="Arial"/>
          <w:sz w:val="17"/>
          <w:szCs w:val="17"/>
          <w:color w:val="auto"/>
        </w:rPr>
        <w:t>foreseeable future. However, the determination of PFIC status is a factual determination that must be made annually and cannot be made until the close of a taxable year. In particular, our PFIC status may be determined in large part based on the market price of our ADSs and ordinary shares. The market price of our ADSs and ordinary shares may fluctuate, and a significant decrease in the market price could cause us to be treated as a PFIC. Moreover, the determination of PFIC status depends, in part, on the application of complex U.S. federal income tax rules, which are subject to differing interpretations. Accordingly, there can be no assurance that we would not be a PFIC for the current taxable year or any future year.</w:t>
      </w:r>
    </w:p>
    <w:p>
      <w:pPr>
        <w:spacing w:after="0" w:line="69"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If we were to be a PFIC, a U.S. holder would be subject to increased tax liability (generally including an interest charge on certain taxes treated as having been deferred under the PFIC rules) on any gain realized on a sale or other disposition of our ADSs or ordinary shares and on the receipt of certain “excess distributions” received with respect to our ADSs or ordinary shares, unless such U.S. holder makes certain elections. One such election, the “QEF Election,” will be unavailable to a U.S. holder because we do not intend to provide information that a U.S. holder would need to make a valid QEF Election.</w:t>
      </w:r>
    </w:p>
    <w:p>
      <w:pPr>
        <w:spacing w:after="0" w:line="70" w:lineRule="exact"/>
        <w:rPr>
          <w:sz w:val="20"/>
          <w:szCs w:val="20"/>
          <w:color w:val="auto"/>
        </w:rPr>
      </w:pPr>
    </w:p>
    <w:p>
      <w:pPr>
        <w:ind w:left="300" w:right="739" w:firstLine="360"/>
        <w:spacing w:after="0" w:line="263" w:lineRule="auto"/>
        <w:rPr>
          <w:sz w:val="20"/>
          <w:szCs w:val="20"/>
          <w:color w:val="auto"/>
        </w:rPr>
      </w:pPr>
      <w:r>
        <w:rPr>
          <w:rFonts w:ascii="Arial" w:cs="Arial" w:eastAsia="Arial" w:hAnsi="Arial"/>
          <w:sz w:val="18"/>
          <w:szCs w:val="18"/>
          <w:color w:val="auto"/>
        </w:rPr>
        <w:t>U.S. holders should consult their tax advisors regarding the potential application of the PFIC rules to their ADSs or ordinary shares, and should see the discussion below under “Material U.S. Federal Income Tax and Australian Tax Considerations—U.S. Federal Income Tax Considerations.”</w:t>
      </w:r>
    </w:p>
    <w:p>
      <w:pPr>
        <w:spacing w:after="0" w:line="346"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b w:val="1"/>
          <w:bCs w:val="1"/>
          <w:i w:val="1"/>
          <w:iCs w:val="1"/>
          <w:color w:val="auto"/>
        </w:rPr>
        <w:t>If a U.S. person is treated as owning at least 10% of our ordinary shares, such holder may be subject to adverse U.S. federal income tax consequences.</w:t>
      </w:r>
    </w:p>
    <w:p>
      <w:pPr>
        <w:spacing w:after="0" w:line="62" w:lineRule="exact"/>
        <w:rPr>
          <w:sz w:val="20"/>
          <w:szCs w:val="20"/>
          <w:color w:val="auto"/>
        </w:rPr>
      </w:pPr>
    </w:p>
    <w:p>
      <w:pPr>
        <w:ind w:left="300" w:right="319" w:firstLine="360"/>
        <w:spacing w:after="0" w:line="267" w:lineRule="auto"/>
        <w:rPr>
          <w:sz w:val="20"/>
          <w:szCs w:val="20"/>
          <w:color w:val="auto"/>
        </w:rPr>
      </w:pPr>
      <w:r>
        <w:rPr>
          <w:rFonts w:ascii="Arial" w:cs="Arial" w:eastAsia="Arial" w:hAnsi="Arial"/>
          <w:sz w:val="17"/>
          <w:szCs w:val="17"/>
          <w:color w:val="auto"/>
        </w:rPr>
        <w:t>If a U.S. person is treated as owning, directly or indirectly, at least 10% of the value or voting power of our equity, such U.S. person would be treated as a “United States shareholder” with respect to each “controlled foreign corporation” in our group, if any. Because our group currently includes one entity that is treated as a U.S. corporation for U.S. federal income tax purposes, all of our current non-U.S. subsidiaries and any future newly formed or acquired non-U.S. subsidiaries that are treated as corporations for U.S. federal income tax purposes will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on our ADSs or ordinary shares. An individual who is a United States shareholder with respect to a controlled foreign corporation generally would not be allowed certain tax deductions or foreign tax credits that would be allowed to a United States shareholder that is a U.S. corporation. Failure to comply with controlled foreign corporation reporting obligations may subject a United States shareholder to significant monetary penalties. We cannot provide any assurances that we will furnish to any United States shareholder information that may be necessary to comply with the reporting and tax paying obligations applicable under the controlled foreign corporation rules of the Internal Revenue Code. U.S. persons should consult their tax advisors regarding the potential application of these rules to their investment in our ADSs.</w:t>
      </w:r>
    </w:p>
    <w:p>
      <w:pPr>
        <w:spacing w:after="0" w:line="340" w:lineRule="exact"/>
        <w:rPr>
          <w:sz w:val="20"/>
          <w:szCs w:val="20"/>
          <w:color w:val="auto"/>
        </w:rPr>
      </w:pPr>
    </w:p>
    <w:p>
      <w:pPr>
        <w:ind w:left="300" w:right="1039"/>
        <w:spacing w:after="0" w:line="277" w:lineRule="auto"/>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62"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History and Development of the Company</w:t>
      </w:r>
    </w:p>
    <w:p>
      <w:pPr>
        <w:spacing w:after="0" w:line="12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We were incorporated under the laws of Australia in 2012 under the name Graphitecorp Pty Limited. In 2015, we completed an initial public offering of our ordinary shares and the listing of our ordinary shares on the Australian Securities Exchange, or the ASX, and changed our name to GRAPHITECORP Limited. In 2017, we changed our name to NOVONIX Limited.</w:t>
      </w:r>
    </w:p>
    <w:p>
      <w:pPr>
        <w:spacing w:after="0" w:line="79"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In June 2017, we acquired Battery Technology Solutions, Inc. (“BTS”). BTS was founded by researchers from the research group at Dalhousie University, formerly headed by Dr. Jeff Dahn. BTS aims to provide cutting edge battery R&amp;D capabilities and technological advantage.</w:t>
      </w:r>
    </w:p>
    <w:p>
      <w:pPr>
        <w:spacing w:after="0" w:line="76"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NOVONIX Anode Materials (formerly PUREgraphite LLC) was established in March 2017 as a joint venture to develop and commercialize ultra-high purity high performance graphite anode material for the lithium-ion battery market focused on electric vehicles, energy storage and specialty applications. In fiscal year 2019, we exercised our call option, pursuant to which we acquired all of our joint venture partner’s interest in NOVONIX Anode Materials and increased our ownership to 100%.</w:t>
      </w:r>
    </w:p>
    <w:p>
      <w:pPr>
        <w:spacing w:after="0" w:line="80"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On July 28, 2021, we completed the purchase of an approximately 404,000 square-foot facility in Chattanooga, Tennessee, “Riverside” (locally referred to as “Big Blue”).</w:t>
      </w:r>
    </w:p>
    <w:p>
      <w:pPr>
        <w:spacing w:after="0" w:line="62"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Our headquarters is located at Level 8, 46 Edward Street, Brisbane, Queensland 4000, Australia, and our registered office is located at Level 11, 66 Eagle Street, Brisbane Queensland, Australia. Our telephone number is +1 423-298-1007. Our agent for service of process in the United States is National Registered Agents, Inc., located at 1209 Orange Street, Wilmington, DE 19801. Our website address is www.novonixgroup.com. The reference to our website is an inactive textual reference only and information contained in, or that can be accessed through, our website is not part of this registration statement.</w:t>
      </w:r>
    </w:p>
    <w:p>
      <w:pPr>
        <w:spacing w:after="0" w:line="174" w:lineRule="exact"/>
        <w:rPr>
          <w:sz w:val="20"/>
          <w:szCs w:val="20"/>
          <w:color w:val="auto"/>
        </w:rPr>
      </w:pPr>
    </w:p>
    <w:p>
      <w:pPr>
        <w:ind w:left="300" w:right="6939" w:hanging="8"/>
        <w:spacing w:after="0" w:line="393" w:lineRule="auto"/>
        <w:tabs>
          <w:tab w:leader="none" w:pos="651"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Overview</w:t>
      </w:r>
    </w:p>
    <w:p>
      <w:pPr>
        <w:spacing w:after="0" w:line="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NOVONIX provides battery materials and development technology for leading battery manufacturers, materials companies, automotive original equipment manufacturers (“OEMs”) and consumer electronics manufacturers at the forefront of the global electrification economy. Our core mission is to accelerate the continued advancement and scaling of electric vehicle batteries and energy storage solutions through our advanced, proprietary technologies that can deliver longer cycle life performance at lower costs. Through our in-house technology and capabilities, as well as our front-line access to industry trends, we intend to be an industry leader, delivering what we believe to be the most advanced and cost effective battery and energy storage technologies for our customers.</w:t>
      </w:r>
    </w:p>
    <w:p>
      <w:pPr>
        <w:spacing w:after="0" w:line="58"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We currently operate two core businesses: NOVONIX Battery Technology Solutions (“BTS”) and NOVONIX Anode Materials.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firstLine="360"/>
        <w:spacing w:after="0" w:line="293" w:lineRule="auto"/>
        <w:rPr>
          <w:sz w:val="20"/>
          <w:szCs w:val="20"/>
          <w:color w:val="auto"/>
        </w:rPr>
      </w:pPr>
      <w:r>
        <w:rPr>
          <w:rFonts w:ascii="Arial" w:cs="Arial" w:eastAsia="Arial" w:hAnsi="Arial"/>
          <w:sz w:val="16"/>
          <w:szCs w:val="16"/>
          <w:color w:val="auto"/>
        </w:rPr>
        <w:t>NOVONIX Battery Technology Solutions provides industry leading battery testing technology and research and development (“R&amp;D”) services to create next generation batteries. BTS also serves as the pillar of innovation across the NOVONIX ecosystem by creating a positive feedback loop with our NOVONIX Anode Materials business as well as our developing applications and strategic partnerships including our cathode materials business and our new work in the grid energy storage market. This collaboration drives our continuous technological innovation and enables us to deliver best-in-class products and services for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156210</wp:posOffset>
            </wp:positionV>
            <wp:extent cx="5006340" cy="2023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0634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NOVONIX Battery Technology Solutions business consists of two core offerings:</w:t>
      </w:r>
    </w:p>
    <w:p>
      <w:pPr>
        <w:spacing w:after="0" w:line="117" w:lineRule="exact"/>
        <w:rPr>
          <w:sz w:val="20"/>
          <w:szCs w:val="20"/>
          <w:color w:val="auto"/>
        </w:rPr>
      </w:pPr>
    </w:p>
    <w:p>
      <w:pPr>
        <w:ind w:left="1000" w:right="459" w:hanging="348"/>
        <w:spacing w:after="0" w:line="311"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Development Technologies: Our primary technology products include Ultra-High Precision Coulometry (“UHPC”) Cyclers for quick, reliable predictions of battery lifetime and Differential Thermal Analysis (“DTA”) to make non-destructive measurements of changes to battery electrolyte composition over time.</w:t>
      </w:r>
    </w:p>
    <w:p>
      <w:pPr>
        <w:spacing w:after="0" w:line="40" w:lineRule="exact"/>
        <w:rPr>
          <w:rFonts w:ascii="Arial" w:cs="Arial" w:eastAsia="Arial" w:hAnsi="Arial"/>
          <w:sz w:val="16"/>
          <w:szCs w:val="16"/>
          <w:color w:val="auto"/>
        </w:rPr>
      </w:pPr>
    </w:p>
    <w:p>
      <w:pPr>
        <w:ind w:left="1000" w:right="71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R&amp;D Services: Our materials development and characterization, cell design and prototyping, and cell testing services provide our customers with the resources to rapidly accelerate the development and fulfillment of their battery needs.</w:t>
      </w:r>
    </w:p>
    <w:p>
      <w:pPr>
        <w:spacing w:after="0" w:line="76" w:lineRule="exact"/>
        <w:rPr>
          <w:sz w:val="20"/>
          <w:szCs w:val="20"/>
          <w:color w:val="auto"/>
        </w:rPr>
      </w:pPr>
    </w:p>
    <w:p>
      <w:pPr>
        <w:jc w:val="both"/>
        <w:ind w:left="300" w:right="479" w:firstLine="360"/>
        <w:spacing w:after="0" w:line="279" w:lineRule="auto"/>
        <w:rPr>
          <w:sz w:val="20"/>
          <w:szCs w:val="20"/>
          <w:color w:val="auto"/>
        </w:rPr>
      </w:pPr>
      <w:r>
        <w:rPr>
          <w:rFonts w:ascii="Arial" w:cs="Arial" w:eastAsia="Arial" w:hAnsi="Arial"/>
          <w:sz w:val="17"/>
          <w:szCs w:val="17"/>
          <w:color w:val="auto"/>
        </w:rPr>
        <w:t>BTS’ proprietary testing technology and R&amp;D capabilities have the potential to accelerate R&amp;D timelines for our customers from years to just weeks. BTS’ equipment and services are used by researchers and leading battery manufacturers, including Panasonic, CATL, LG Chemical, SK Innovation, and Samsung SDI, as well as numerous materials companies, OEMs, and consumer electronics manufacturers.</w:t>
      </w:r>
    </w:p>
    <w:p>
      <w:pPr>
        <w:spacing w:after="0" w:line="63"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color w:val="auto"/>
        </w:rPr>
        <w:t>BTS’ business has been critical in supporting the development of our NOVONIX Anode Materials business by providing us with industry and market insight to inform the development of innovative materials. Our NOVONIX Anode Materials business was established in March 2017 to commercialize what we believe is the most advanced and cost effective graphite anode material in the market for EV and energy storage applications. These end-markets continue to demand high performance batteries with longer life cycle, while at the same time requiring lower costs to continue to drive mass adoption. Anode materials are one of the most significant components that define the overall performance, reliability, and cycle life of the battery cell. To our knowledge, we are the only qualified U.S.-based producer of battery-grade synthetic graphite anode material and believe we are well-positioned to support the rapid growth in demand for these advanced anode materials in North America and globally.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Based on internal testing, NOVONIX Anode Material’s synthetic graphite is competitive or superior to many existing graphite anode materials in capacity, first cycle efficiency and cycle life, while we expect to maintain competitive production cost (as measured by US$/tonne or US$/kWh). NOVONIX Anode Material’s synthetic graphite is produced to very high purity relative to graphite anode materials currently in the market, to improve performance and safety and uses an energy efficient process with no hazardous chemicals, unlike traditional graphite production processes that use lower efficiency graphitization furnaces powered by high carbon emission sources of energy or rely on strong acids for chemical purification.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164465</wp:posOffset>
            </wp:positionV>
            <wp:extent cx="5006340" cy="3745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06340"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notably signed a non-binding memorandum of understanding with two of the world’s leading</w:t>
      </w:r>
    </w:p>
    <w:p>
      <w:pPr>
        <w:spacing w:after="0" w:line="35" w:lineRule="exact"/>
        <w:rPr>
          <w:sz w:val="20"/>
          <w:szCs w:val="20"/>
          <w:color w:val="auto"/>
        </w:rPr>
      </w:pPr>
    </w:p>
    <w:p>
      <w:pPr>
        <w:ind w:left="300" w:right="359"/>
        <w:spacing w:after="0" w:line="285" w:lineRule="auto"/>
        <w:rPr>
          <w:sz w:val="20"/>
          <w:szCs w:val="20"/>
          <w:color w:val="auto"/>
        </w:rPr>
      </w:pPr>
      <w:r>
        <w:rPr>
          <w:rFonts w:ascii="Arial" w:cs="Arial" w:eastAsia="Arial" w:hAnsi="Arial"/>
          <w:sz w:val="16"/>
          <w:szCs w:val="16"/>
          <w:color w:val="auto"/>
        </w:rPr>
        <w:t>EV battery manufacturers, Samsung SDI and SANYO Electric (a Panasonic company) (“SANYO Electric”), for our anode materials, underscoring the strength of our developed technology, the performance of our materials, and the commercial position that we maintain in the North American market. This is bolstered by our A$115.13 million equity raise on the Australian Securities Exchange (“ASX”) in March 2021 and the strategic placement of ordinary shares for A$16 million in May 2021, which we believe provides funding to scale up production capacity of our anode materials to an expected 10,000 tonnes annually. In July we acquired a new production facility, “Riverside” (locally referred to as “Big Blue”), in Chattanooga, Tennessee that is planned to be the site for expansion to at least 10,000 tonnes per year of production capacity. We are aiming to achieve an annual production capacity rate of 10,000 tonnes of anode material by early 2023. In September 2021, we consummated a transaction with Phillips 66 pursuant to which Phillips 66 acquired a 16.2% interest (based on 482,563,962 ordinary shares outstanding at September 30, 2021) in NOVONIX Limited for US$150 million (the “Phillips 66 Transaction”). We believe the Phillips 66 Transaction will help support a capacity expansion of an additional 30,000 tonnes of our anode materials per year, which would enable us to achieve production of 40,000 tonnes of anode material per year by 2025.</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NOVONIX also entered the grid energy storage market by partnering with Emera Technologies in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2021. Emera Technologies is a Florida-based subsidiary of Emera Inc., a Nova Scotia-based power utility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company. We are working with Emera Technologies to design battery pack systems to support microgrids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86" w:lineRule="auto"/>
        <w:rPr>
          <w:sz w:val="20"/>
          <w:szCs w:val="20"/>
          <w:color w:val="auto"/>
        </w:rPr>
      </w:pPr>
      <w:r>
        <w:rPr>
          <w:rFonts w:ascii="Arial" w:cs="Arial" w:eastAsia="Arial" w:hAnsi="Arial"/>
          <w:sz w:val="17"/>
          <w:szCs w:val="17"/>
          <w:color w:val="auto"/>
        </w:rPr>
        <w:t>that, if successfully produced, will provide solar power directly to homes in North America. This opportunity highlights the value of BTS in working with companies and industries across the battery value chain to unlock new opportunities that remain focused on delivering high performance battery technology.</w:t>
      </w:r>
    </w:p>
    <w:p>
      <w:pPr>
        <w:spacing w:after="0" w:line="5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We continue to expand our capabilities through strategic investments as well as our long-term sponsorship of the group led by leading battery materials innovator, Dr. Mark Obrovac at Dalhousie University. Throughout his career, Dr. Obrovac has obtained a number of patents in the field of battery science, and under our current arrangement has jointly filed with NOVONIX an additional six patent applications, all in the field of battery science covering anodes, cathodes, electrolyte, and binder materials. We regard this sponsorship as important support of our innovation as we continue to develop new materials and process technologies. To date, the sponsorship has contributed to the development of our intellectual property for various battery materials and the associated technology that NOVONIX has filed patent applications for, and most notably, two developments in cathode material processing technology. The first is our Dry Particle Microgranulation (“DPMG”) technology which we expect to enable us to deliver higher yields at lower costs. The second is our Single Crystal Cathode (“SCC”) dry processing technology for synthesizing high energy density cathode materials that has the potential to lower cost and extend battery life.</w:t>
      </w:r>
    </w:p>
    <w:p>
      <w:pPr>
        <w:spacing w:after="0" w:line="71"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Additionally, on July 1, 2021, that Dr. Jeff Dahn, a renowned researcher in battery materials and processes, joined the NOVONIX team as Chief Scientific Advisor. Dr. Dahn’s addition further enhances our R&amp;D capabilities.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Efforts to decarbonize the global economy have accelerated in recent years, supported by government regulations, technological innovation, corporate actions, and environmentally conscious consumers. Two key pillars of the “Electrification Economy” are the transition to modes of transportation with a lower carbon footprint, particularly a transition from internal combustion engine (“ICE”) powertrains to battery powered electric vehicles as well as an increased reliance on clean and renewable energy generation, and the resulting focus on energy storage solutions to ensure a stable electric grid. We believe our technologies are positioned to address opportunities presented by each of these pillars.</w:t>
      </w:r>
    </w:p>
    <w:p>
      <w:pPr>
        <w:spacing w:after="0" w:line="87" w:lineRule="exact"/>
        <w:rPr>
          <w:sz w:val="20"/>
          <w:szCs w:val="20"/>
          <w:color w:val="auto"/>
        </w:rPr>
      </w:pPr>
    </w:p>
    <w:p>
      <w:pPr>
        <w:ind w:left="300" w:right="539" w:firstLine="360"/>
        <w:spacing w:after="0" w:line="272" w:lineRule="auto"/>
        <w:rPr>
          <w:sz w:val="20"/>
          <w:szCs w:val="20"/>
          <w:color w:val="auto"/>
        </w:rPr>
      </w:pPr>
      <w:r>
        <w:rPr>
          <w:rFonts w:ascii="Arial" w:cs="Arial" w:eastAsia="Arial" w:hAnsi="Arial"/>
          <w:sz w:val="17"/>
          <w:szCs w:val="17"/>
          <w:color w:val="auto"/>
        </w:rPr>
        <w:t>An increasing number of national and local governments have enacted emissions targets and instituted incentives for companies and consumers to promote the growth and adoption of EVs and renewable energy. Additionally, governments are increasingly investing more in infrastructure to support these carbon reduction and electrification initiatives. For instance, in the United States, the administration of President Biden has proposed a multi-trillion dollar infrastructure plan, with a significant portion to be allocated to EV development and charging infrastructure as well as clean and renewable energy – this is in addition to a recently announced initiative to fully transition the U.S. government’s fleet of vehicles to EVs.</w:t>
      </w:r>
    </w:p>
    <w:p>
      <w:pPr>
        <w:spacing w:after="0" w:line="69"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These global policies and changing consumer preferences have led to the announcement of electrification plans from numerous global auto OEMs. For instance, Ford announced that its passenger vehicles line in Europe will be all-electric by 2030, GM announced its plans to go “all electric” by phasing out all internal combustion passenger vehicles by 2035, and Jaguar Land Rover announced plans for an all-electric vehicle line by 2025. Similarly, both existing energy utilities as well as emerging energy companies have announced plans to heavily invest in clean and renewable technology and grid energy storage solutions as the energy transition accelerates. As more renewable energy generation enters the electrical grid, energy storage requirements are expected to grow significantly to regulate the variable production from sources such as wind and solar energy.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 announcements and investments geared at decarbonizing the economy and the advancements of lithium-ion batteries have driven a step change increase in expected growth in electric vehicle demand and renewable energy and have had a flow-on effect to demand for energy storage applications. According to data as of Q1 2021 provided by Benchmark Minerals Intelligence (“Benchmark”), a leading consulting firm focused on the electric vehicle and energy storage supply chain, global EV penetration is estimated to grow to 28% by 2030, requiring installed electric vehicle battery capacity to grow to 1,928GWh globally also by 2030. Additionally, demand in the energy storage market (“ESS”) is estimated by Benchmark to increase from 12GWh in 2020 to 358GWh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157480</wp:posOffset>
            </wp:positionV>
            <wp:extent cx="5006340" cy="2125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063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Despite these growth forecasts, this energy transition faces a number of technological and cost hurdles that have to date limited widespread adoption of electric vehicles. For instance, according to Benchmark as of Q1 2021, electric vehicle penetration was 2.9% in 2020. To help achieve future penetration and battery capacity growth projections, we believe that further innovation of battery technologies and materials is required to concurrently increase the cycle life of batteries while driving costs lower to ensure competitive consumer pricing relative to ICE powertrains. While industry participants have to date delivered significant gains with respect to battery charging times, safety, and energy density potential, we believe that significant improvements in cycle life and cost are needed to facilitate widespread EV adoption.</w:t>
      </w:r>
    </w:p>
    <w:p>
      <w:pPr>
        <w:spacing w:after="0" w:line="70"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We believe that our proprietary battery technology, including our advanced testing, R&amp;D, and anode and cathode materials technologies have the potential to become critical components in unlocking the full performance capabilities of lithium-ion batteries, while also reducing costs, thus supporting the mass adoption and growth of EVs and renewable energy.</w:t>
      </w:r>
    </w:p>
    <w:p>
      <w:pPr>
        <w:spacing w:after="0" w:line="79"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Our internal testing supports that incumbent anode materials in the EV sector have limited cycle life and larger range loss over time relative to our NOVONIX Anode Materials. As EVs become more integrated with grid storage applications, we view cycle life as becoming even more important to auto OEMs and consumers as their vehicles may be expected to provide electricity back into the grid and therefore are charged and discharged more frequently, rather than only supporting EV driving. As evidence of this opportunity, market participants have begun to invest in technologies that provide this capability. For instance, Volkswagen announced during its Power Day in March 2021 that beginning in January 2022 every EV from the Volkswagen Group that uses the MEB (Modular Electrification Toolkit) electrical platform will have Vehicle-to-Grid (V2G) capability, enabling those EVs to charge from the electrical grid and also return electricity to the grid on demand. Furthermore, we believe that if autonomous vehicles and “robo-taxis” become a reality, their adoption will result in an increase in the number of miles put on vehicles, requiring materials with increased cycle count. We believe our materials are best suited to address this opportunity. Our testing to date indicates that our anode materials have best-in-class coulombic efficiencies and capacity retention leading to longer cycle life and less range loss over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92075</wp:posOffset>
            </wp:positionV>
            <wp:extent cx="5006340" cy="39090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0634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The above chart shows the Coulombic Efficiency, which is the efficiency with which lithium atoms are stored during charge and released during discharge, and capacity retention of cells comparing different commercial anode materials to NOVONIX’s anode material, based on internal testing. These test cells were built on the BTS pilot line using an NCM 622 cathode and anodes comprising NOVONIX’s anode material, a commercial synthetic graphite, or a commercial natural graphite. The early improvements Coulombic Efficiency measured using NOVONIX’s UHPC equipment result in the improved performance in long term capacity retention tests (approximately one year of testing) of NOVONIX’s anode material compared to the commercial anode materials that were tested.</w:t>
      </w:r>
    </w:p>
    <w:p>
      <w:pPr>
        <w:spacing w:after="0" w:line="58" w:lineRule="exact"/>
        <w:rPr>
          <w:sz w:val="20"/>
          <w:szCs w:val="20"/>
          <w:color w:val="auto"/>
        </w:rPr>
      </w:pPr>
    </w:p>
    <w:p>
      <w:pPr>
        <w:ind w:left="300" w:right="479" w:firstLine="360"/>
        <w:spacing w:after="0" w:line="254" w:lineRule="auto"/>
        <w:rPr>
          <w:sz w:val="20"/>
          <w:szCs w:val="20"/>
          <w:color w:val="auto"/>
        </w:rPr>
      </w:pPr>
      <w:r>
        <w:rPr>
          <w:rFonts w:ascii="Arial" w:cs="Arial" w:eastAsia="Arial" w:hAnsi="Arial"/>
          <w:sz w:val="18"/>
          <w:szCs w:val="18"/>
          <w:color w:val="auto"/>
        </w:rPr>
        <w:t>We also believe that we are well positioned to capitalize on opportunities in the cathode materials market. Currently, incumbent cathode technologies generally force consumers to choose between range and price, with a high iron content cathode chemistry having lower energy density (shorter range) at a lower price and a high nickel content cathode chemistry having higher energy density (longer range), but at a higher price. We believe that our NOVONIX Cathode Materials technology will provide the advantages of the high energy density of nickel content cathodes, with a more competitive cost structure competitive to high iron content cathode chemistries (in US$ / kWh).</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Our Technology</w:t>
      </w:r>
    </w:p>
    <w:p>
      <w:pPr>
        <w:spacing w:after="0" w:line="12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The NOVONIX technology and materials ecosystem enables us to play a critical role across the battery value chain. While our primary focus is the development of specialty materials and technology for battery cell and pack production, our participation across the broader value chain provides us with in-depth industry visibility. We believe that this gives us the insight to better anticipate and understand the needs of existing and potential customers as we continue to advance and expand our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171450</wp:posOffset>
            </wp:positionV>
            <wp:extent cx="5006340" cy="2991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0634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Battery Technology Solutions</w:t>
      </w:r>
    </w:p>
    <w:p>
      <w:pPr>
        <w:spacing w:after="0" w:line="11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Our internal testing supports our belief that our BTS business offers the most accurate lithium-ion battery cell testing equipment and services currently available in the market globally. These technologies include Ultra-High Precision Coulometry and Differential Thermal Analysis systems that were first developed by key members of our team, including our CEO, Dr. Chris Burns, when working with the research group at Dalhousie University headed by Dr. Jeff Dahn and commercialized as a result of R&amp;D efforts backed by our team of engineers and research professionals. After the development of these industry leading technologies, we expanded our in-house R&amp;D services through installing a full battery cell design and prototyping pilot line and significantly expanding our internal testing capabilities. This has allowed BTS to play a role in providing services to our customers to rapidly accelerate their battery development. In addition, BTS is critical in providing real-time feedback to our internal team of researchers to further drive the growth and development of our anode materials, cathode materials, and energy storage venture, and we believe BTS will continue to drive the development of new cutting edge innovations across the entire battery value chain.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NOVONIX’s Complete Battery Cell Technology is Leading the Way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 the Next Generation of Batteries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168910</wp:posOffset>
            </wp:positionV>
            <wp:extent cx="4688840" cy="1774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8884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NOVONIX Anode Materials</w:t>
      </w:r>
    </w:p>
    <w:p>
      <w:pPr>
        <w:spacing w:after="0" w:line="117"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NOVONIX Anode Materials’ synthetic graphite can deliver superior performance in lithium-ion batteries relative to those using competing natural and synthetic graphite, while also being produced through lower cost and cleaner process technology. Our proprietary anode materials consistently outperform commonly used industry materials in head-to-head internal testing for Coulombic Efficiency, which is the efficiency that lithium atoms are stored during charge and released during discharge, thus driving longer cycle life. In EV applications, this efficiency translates into reduced loss of range over time as seen in the above figure. The superior performance of our anode material is driven by its high purity and our proprietary process technology resulting in better electrochemical stability of our synthetic graphite materials.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Dry Particle Microgranulation Technology</w:t>
      </w:r>
    </w:p>
    <w:p>
      <w:pPr>
        <w:spacing w:after="0" w:line="117" w:lineRule="exact"/>
        <w:rPr>
          <w:sz w:val="20"/>
          <w:szCs w:val="20"/>
          <w:color w:val="auto"/>
        </w:rPr>
      </w:pPr>
    </w:p>
    <w:p>
      <w:pPr>
        <w:ind w:left="300" w:right="379" w:firstLine="360"/>
        <w:spacing w:after="0" w:line="287" w:lineRule="auto"/>
        <w:rPr>
          <w:sz w:val="20"/>
          <w:szCs w:val="20"/>
          <w:color w:val="auto"/>
        </w:rPr>
      </w:pPr>
      <w:r>
        <w:rPr>
          <w:rFonts w:ascii="Arial" w:cs="Arial" w:eastAsia="Arial" w:hAnsi="Arial"/>
          <w:sz w:val="16"/>
          <w:szCs w:val="16"/>
          <w:color w:val="auto"/>
        </w:rPr>
        <w:t>In May 2020, together with Dalhousie University, we announced the development of DPMG, a breakthrough processing method that can be applied to the manufacturing of both anode and cathode materials for lithium-ion batteries. Relative to other methods, our internal lab testing has shown DPMG improves product yields while also reducing chemical waste, production costs, and environmental impact. DPMG provides a method for synthesizing highly engineered particles through the consolidation of fine materials, that may otherwise be waste, into particles that can be up to tens of microns and suitable for use in lithium-ion batteries. The process tightly conforms the way microgranuals form during the manufacturing process from a variety of input materials. Pursuant to the terms of our collaborative research agreement with Dalhousie University, we exclusively own all intellectual property in and to DPMG without any ongoing obligations with respect to that intellectual property, including any royalty payments to Dalhousie University. NOVONIX currently plans to install a 10 tonnes per year pilot line in 2022 to leverage this technology in making high nickel cathode materials.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Single Crystal Cathode Materials</w:t>
      </w:r>
    </w:p>
    <w:p>
      <w:pPr>
        <w:spacing w:after="0" w:line="117"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Leveraging our DPMG methodology, we have developed process technology to also produce single crystal, high energy density cathode materials. Single crystal cathodes have in many instances been shown to provide better cycling performance, replacing the traditional polycrystalline structure of battery cathodes that is prone to cracking and degradation during cycling, resulting in lower overall cycling performance. The current method for making most polycrystalline and single crystal cathodes involves complex wet-chemical processing which can produce significant amounts of waste streams. Through utilizing our dry processing technology, we believe our cathode materials will have best-in-class performance while also improving the costs and sustainability of lithium-ion batteries.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Advanced Electrolytes</w:t>
      </w:r>
    </w:p>
    <w:p>
      <w:pPr>
        <w:spacing w:after="0" w:line="117"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We are working on the development of new advanced electrolytes, some of which have demonstrated superior performance to products currently in the market during internal testing. Electrolyte systems are the third key element to battery lifetime along with the anode and cathode active materials. We expect our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311" w:lineRule="auto"/>
        <w:rPr>
          <w:sz w:val="20"/>
          <w:szCs w:val="20"/>
          <w:color w:val="auto"/>
        </w:rPr>
      </w:pPr>
      <w:r>
        <w:rPr>
          <w:rFonts w:ascii="Arial" w:cs="Arial" w:eastAsia="Arial" w:hAnsi="Arial"/>
          <w:sz w:val="16"/>
          <w:szCs w:val="16"/>
          <w:color w:val="auto"/>
        </w:rPr>
        <w:t>electrolytes to further enhance and optimize battery performance, particularly when used in conjunction with our anode and cathode materials. We are currently in the process of developing our advanced electrolyte technology and seeking patent protection for this technology in connection with further advancements in battery cycle life.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117" w:lineRule="exact"/>
        <w:rPr>
          <w:sz w:val="20"/>
          <w:szCs w:val="20"/>
          <w:color w:val="auto"/>
        </w:rPr>
      </w:pPr>
    </w:p>
    <w:p>
      <w:pPr>
        <w:ind w:left="300" w:right="4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We develop and supply what we believe is the most accurate battery testing technology in the world.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Ultra-High Precision Coulometry technology for short term reliable evaluation of the cycle life of lithium-ion cells was developed in the laboratory at Dalhousie University by Dr. Jeff Dahn, who joined our team as Chief Scientific Advisor on July 1, 2021. Our CEO, Dr. Chris Burns, was a team lead of that laboratory. This testing technology delivers high accuracy, high precision measurements that are reliable and repeatable, with the potential to allow cycle life evaluation to be made in weeks instead of years. We believe our Ultra-High Precision Coulometry technology provides significantly higher grading measurements than our competitors, enabling us to support the most urgent and innovative performance cell testing projects and is used by industry leaders across the battery sector.</w:t>
      </w:r>
    </w:p>
    <w:p>
      <w:pPr>
        <w:spacing w:after="0" w:line="88" w:lineRule="exact"/>
        <w:rPr>
          <w:sz w:val="20"/>
          <w:szCs w:val="20"/>
          <w:color w:val="auto"/>
        </w:rPr>
      </w:pPr>
    </w:p>
    <w:p>
      <w:pPr>
        <w:ind w:left="300" w:right="419" w:firstLine="360"/>
        <w:spacing w:after="0" w:line="293" w:lineRule="auto"/>
        <w:rPr>
          <w:sz w:val="20"/>
          <w:szCs w:val="20"/>
          <w:color w:val="auto"/>
        </w:rPr>
      </w:pPr>
      <w:r>
        <w:rPr>
          <w:rFonts w:ascii="Arial" w:cs="Arial" w:eastAsia="Arial" w:hAnsi="Arial"/>
          <w:sz w:val="16"/>
          <w:szCs w:val="16"/>
          <w:b w:val="1"/>
          <w:bCs w:val="1"/>
          <w:i w:val="1"/>
          <w:iCs w:val="1"/>
          <w:color w:val="auto"/>
        </w:rPr>
        <w:t xml:space="preserve">Our proprietary process technology and capabilities across the battery and energy storage value chain drive innovation and commercial opportunities. </w:t>
      </w:r>
      <w:r>
        <w:rPr>
          <w:rFonts w:ascii="Arial" w:cs="Arial" w:eastAsia="Arial" w:hAnsi="Arial"/>
          <w:sz w:val="16"/>
          <w:szCs w:val="16"/>
          <w:color w:val="auto"/>
        </w:rPr>
        <w:t>By playing a critical role across the full value chain, our proprietary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development technologies provides us with in-depth visibility into industry and technological trends ranging from materials to end use cases and requirements. We believe that this access should allow us to remain at the forefront of lithium-battery technology. As the broader battery and energy storage industry continues to evolve, we are committed to continuing to expand into new and emerging technologies beyond lithium-ion.</w:t>
      </w:r>
    </w:p>
    <w:p>
      <w:pPr>
        <w:spacing w:after="0" w:line="56" w:lineRule="exact"/>
        <w:rPr>
          <w:sz w:val="20"/>
          <w:szCs w:val="20"/>
          <w:color w:val="auto"/>
        </w:rPr>
      </w:pPr>
    </w:p>
    <w:p>
      <w:pPr>
        <w:ind w:left="300" w:right="419" w:firstLine="360"/>
        <w:spacing w:after="0" w:line="270" w:lineRule="auto"/>
        <w:rPr>
          <w:sz w:val="20"/>
          <w:szCs w:val="20"/>
          <w:color w:val="auto"/>
        </w:rPr>
      </w:pPr>
      <w:r>
        <w:rPr>
          <w:rFonts w:ascii="Arial" w:cs="Arial" w:eastAsia="Arial" w:hAnsi="Arial"/>
          <w:sz w:val="17"/>
          <w:szCs w:val="17"/>
          <w:b w:val="1"/>
          <w:bCs w:val="1"/>
          <w:i w:val="1"/>
          <w:iCs w:val="1"/>
          <w:color w:val="auto"/>
        </w:rPr>
        <w:t xml:space="preserve">To our knowledge, we are the only qualified U.S.-based supplier of battery-grade synthetic graphite anode material, with capacity scaling as market demand grows. </w:t>
      </w:r>
      <w:r>
        <w:rPr>
          <w:rFonts w:ascii="Arial" w:cs="Arial" w:eastAsia="Arial" w:hAnsi="Arial"/>
          <w:sz w:val="17"/>
          <w:szCs w:val="17"/>
          <w:color w:val="auto"/>
        </w:rPr>
        <w:t>Projections by Benchmark as of Q1 2021show anode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demand growing to ~940 GWh by 2025, which would require 1,126 Kt of graphite per year. This growth coupled with a lack of geographic diversification for battery materials creates potential supply chain security issues for U.S.-based EV OEMs and battery manufacturers. Our NOVONIX Anode Materials business is well-positioned to help alleviate this problem as U.S. and non-U.S. companies seek to diversify their suppliers of battery materials with the goal of sourcing material within the U.S. To our knowledge, we are the only qualified U.S.-based supplier of battery-grade synthetic graphite anode material with a scalable and contractor-qualified product currently in production.</w:t>
      </w:r>
    </w:p>
    <w:p>
      <w:pPr>
        <w:spacing w:after="0" w:line="73"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b w:val="1"/>
          <w:bCs w:val="1"/>
          <w:i w:val="1"/>
          <w:iCs w:val="1"/>
          <w:color w:val="auto"/>
        </w:rPr>
        <w:t xml:space="preserve">Our anode materials have longer cycle life coupled with lower costs. </w:t>
      </w:r>
      <w:r>
        <w:rPr>
          <w:rFonts w:ascii="Arial" w:cs="Arial" w:eastAsia="Arial" w:hAnsi="Arial"/>
          <w:sz w:val="16"/>
          <w:szCs w:val="16"/>
          <w:color w:val="auto"/>
        </w:rPr>
        <w:t>NOVONIX Anode Materials’ premium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graphite showcases higher Coulombic Efficiency as well as capacity retention compared to industry leading materials in head-to-head comparisons (including a tier 1 automotive OEM cell used as a reference benchmark). We believe NOVONIX’s materials have the highest purity in the market as they contain essentially no contaminants, enhancing safety as well as performance. We believe NOVONIX Anode Materials’ process is also a “greener” alternative as it utilizes several lower emission energy sources and no chemical purification, avoiding the environmental and safety risks of such processes. The strength of NOVONIX Anode Materials’ products are evidenced by our memorandum of understanding with each of Samsung SDI and SANYO Electric for our anode materials. Our mission is to be a leader with high performance, longer life, lower costs, and “greener” materials.</w:t>
      </w:r>
    </w:p>
    <w:p>
      <w:pPr>
        <w:spacing w:after="0" w:line="58"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b w:val="1"/>
          <w:bCs w:val="1"/>
          <w:i w:val="1"/>
          <w:iCs w:val="1"/>
          <w:color w:val="auto"/>
        </w:rPr>
        <w:t xml:space="preserve">Our offerings are directly compatible with today’s installed and planned battery manufacturing technology. </w:t>
      </w:r>
      <w:r>
        <w:rPr>
          <w:rFonts w:ascii="Arial" w:cs="Arial" w:eastAsia="Arial" w:hAnsi="Arial"/>
          <w:sz w:val="16"/>
          <w:szCs w:val="16"/>
          <w:color w:val="auto"/>
        </w:rPr>
        <w:t>NOVONIX Anode Materials provides proven technology that can be integrated into current cell designs with no material additional costs to cell manufacturers. A very limited number of suppliers are established outside of Asia, which could lead to lack of localized supply options. The plug and play characteristic along with superior material performance and competitive pricing is expected to drive continued industry adoption of our offerings.</w:t>
      </w:r>
    </w:p>
    <w:p>
      <w:pPr>
        <w:spacing w:after="0" w:line="53"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b w:val="1"/>
          <w:bCs w:val="1"/>
          <w:i w:val="1"/>
          <w:iCs w:val="1"/>
          <w:color w:val="auto"/>
        </w:rPr>
        <w:t xml:space="preserve">Our research and development team consists of renowned battery technology researchers including Dr. Jeff Dahn and Dr. Mark Obrovac. </w:t>
      </w:r>
      <w:r>
        <w:rPr>
          <w:rFonts w:ascii="Arial" w:cs="Arial" w:eastAsia="Arial" w:hAnsi="Arial"/>
          <w:sz w:val="17"/>
          <w:szCs w:val="17"/>
          <w:color w:val="auto"/>
        </w:rPr>
        <w:t>Dr. Jeff Dahn, who joined our team as Chief Scientific Advisor on July 1, 2021,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leading researcher in the field of lithium-ion batteries and materials. Dr. Dahn is a named inventor on 65 patents and patent applications. Dr. Mark Obrovac is another renowned researcher in battery materials and process technology, a NOVONIX sponsored researcher, and the head of the Obrovac Research Group at Dalhousie University. With the support of leading innovative battery technology researchers, we believe NOVONIX is well-positioned to remain at the forefront of battery technology.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firstLine="360"/>
        <w:spacing w:after="0" w:line="271" w:lineRule="auto"/>
        <w:rPr>
          <w:sz w:val="20"/>
          <w:szCs w:val="20"/>
          <w:color w:val="auto"/>
        </w:rPr>
      </w:pPr>
      <w:r>
        <w:rPr>
          <w:rFonts w:ascii="Arial" w:cs="Arial" w:eastAsia="Arial" w:hAnsi="Arial"/>
          <w:sz w:val="17"/>
          <w:szCs w:val="17"/>
          <w:b w:val="1"/>
          <w:bCs w:val="1"/>
          <w:i w:val="1"/>
          <w:iCs w:val="1"/>
          <w:color w:val="auto"/>
        </w:rPr>
        <w:t xml:space="preserve">We are partnering with industry leading companies. </w:t>
      </w:r>
      <w:r>
        <w:rPr>
          <w:rFonts w:ascii="Arial" w:cs="Arial" w:eastAsia="Arial" w:hAnsi="Arial"/>
          <w:sz w:val="17"/>
          <w:szCs w:val="17"/>
          <w:color w:val="auto"/>
        </w:rPr>
        <w:t>To further the development and production of advanced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anode materials, we are partnering with Harper International, a global leader in complete thermal processing solutions and technical services for the production of advanced materials, to develop proprietary next-generation furnace technology. We expect that partnering with Emera Technologies to design battery pack systems to support microgrids will further drive our technology development within the energy storage industry. As part of our memorandum of understanding with Samsung SDI, we have agreed to collaborate on future NOVONIX materials and techniques. These arrangements demonstrate that industry leaders have identified NOVONIX as a strategic partner for continued innovation.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We have received support from the U.S. Government. </w:t>
      </w:r>
      <w:r>
        <w:rPr>
          <w:rFonts w:ascii="Arial" w:cs="Arial" w:eastAsia="Arial" w:hAnsi="Arial"/>
          <w:sz w:val="17"/>
          <w:szCs w:val="17"/>
          <w:color w:val="auto"/>
        </w:rPr>
        <w:t>In January 2021, we were selected to receive a</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US$5.58 million grant from the U.S. Department of Energy. When finalized and funded, this grant is expected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facilitate the development of our proprietary next generation furnace technology. If successful, we believe that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technology has the potential to lead the market in energy efficiency, environmental impact, and capital cost. In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addition to our existing relationship with Harper International, Phillips 66, a global producer of petroleum needle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coke, has partnered on this project to provide feedstock materials. We believe that this grant demonstrates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commitment by the U.S. Government to support the establishment of domestic supply of high-performance battery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materials, while highlighting the expertise, progress, strategic partnerships, and technology NOVONIX has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developed.</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300" w:right="419" w:firstLine="360"/>
        <w:spacing w:after="0" w:line="293" w:lineRule="auto"/>
        <w:rPr>
          <w:sz w:val="20"/>
          <w:szCs w:val="20"/>
          <w:color w:val="auto"/>
        </w:rPr>
      </w:pPr>
      <w:r>
        <w:rPr>
          <w:rFonts w:ascii="Arial" w:cs="Arial" w:eastAsia="Arial" w:hAnsi="Arial"/>
          <w:sz w:val="16"/>
          <w:szCs w:val="16"/>
          <w:b w:val="1"/>
          <w:bCs w:val="1"/>
          <w:i w:val="1"/>
          <w:iCs w:val="1"/>
          <w:color w:val="auto"/>
        </w:rPr>
        <w:t xml:space="preserve">Maintain technology leadership throughout the EV battery and energy storage supply chain. </w:t>
      </w:r>
      <w:r>
        <w:rPr>
          <w:rFonts w:ascii="Arial" w:cs="Arial" w:eastAsia="Arial" w:hAnsi="Arial"/>
          <w:sz w:val="16"/>
          <w:szCs w:val="16"/>
          <w:color w:val="auto"/>
        </w:rPr>
        <w:t>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committed to bringing better battery technology to market rapidly by leveraging our advanced R&amp;D capabilities, proprietary technology, and strategic partnerships. We believe our BTS technology and research teams provide us with the resources to stay at the forefront of innovation within the rapidly evolving battery and energy storage landscape. We are committed to continuing to leverage our competitive advantage to expand our offerings and technological know-how into other advanced offerings including lithium-metal and beyond lithium-ion technology.</w:t>
      </w:r>
    </w:p>
    <w:p>
      <w:pPr>
        <w:spacing w:after="0" w:line="56"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b w:val="1"/>
          <w:bCs w:val="1"/>
          <w:i w:val="1"/>
          <w:iCs w:val="1"/>
          <w:color w:val="auto"/>
        </w:rPr>
        <w:t xml:space="preserve">Execute on development of NOVONIX Anode Materials production capacity with hopes to expand to 150,000 tonnes per year. </w:t>
      </w:r>
      <w:r>
        <w:rPr>
          <w:rFonts w:ascii="Arial" w:cs="Arial" w:eastAsia="Arial" w:hAnsi="Arial"/>
          <w:sz w:val="18"/>
          <w:szCs w:val="18"/>
          <w:color w:val="auto"/>
        </w:rPr>
        <w:t>We intend to expand the production scale of our qualified anode product to meet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strong growth in demand from EVs. We are targeting annual production capacity of 10,000 tonnes of NOVONIX Anode Materials in 2023, with further hopes to expand annual production capacity to 40,000 tonnes in 2025 and 150,000 tonnes in 2030.</w:t>
      </w:r>
    </w:p>
    <w:p>
      <w:pPr>
        <w:spacing w:after="0" w:line="80" w:lineRule="exact"/>
        <w:rPr>
          <w:sz w:val="20"/>
          <w:szCs w:val="20"/>
          <w:color w:val="auto"/>
        </w:rPr>
      </w:pPr>
    </w:p>
    <w:p>
      <w:pPr>
        <w:ind w:left="300" w:right="399" w:firstLine="360"/>
        <w:spacing w:after="0" w:line="291" w:lineRule="auto"/>
        <w:rPr>
          <w:sz w:val="20"/>
          <w:szCs w:val="20"/>
          <w:color w:val="auto"/>
        </w:rPr>
      </w:pPr>
      <w:r>
        <w:rPr>
          <w:rFonts w:ascii="Arial" w:cs="Arial" w:eastAsia="Arial" w:hAnsi="Arial"/>
          <w:sz w:val="16"/>
          <w:szCs w:val="16"/>
          <w:b w:val="1"/>
          <w:bCs w:val="1"/>
          <w:i w:val="1"/>
          <w:iCs w:val="1"/>
          <w:color w:val="auto"/>
        </w:rPr>
        <w:t xml:space="preserve">Commercialize our proprietary pipeline of advanced battery materials and process technologies. </w:t>
      </w:r>
      <w:r>
        <w:rPr>
          <w:rFonts w:ascii="Arial" w:cs="Arial" w:eastAsia="Arial" w:hAnsi="Arial"/>
          <w:sz w:val="16"/>
          <w:szCs w:val="16"/>
          <w:color w:val="auto"/>
        </w:rPr>
        <w:t>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expanding opportunities to work with partners globally to commercialize our proprietary and patent-pending cathode production process. The cathode commercialization project is progressing with the completion of our first phase pilot line in January 2021 and we are working to meet key testing milestones over the next 12-18 months as we expand our next phase of pilot scale production and evaluate material performance in cells built on BTS’ battery line. Our broader battery technology pipeline contains a number of innovative materials and processes in advanced anodes, cathodes and electrolytes that we expect to continue to develop.</w:t>
      </w:r>
    </w:p>
    <w:p>
      <w:pPr>
        <w:spacing w:after="0" w:line="58" w:lineRule="exact"/>
        <w:rPr>
          <w:sz w:val="20"/>
          <w:szCs w:val="20"/>
          <w:color w:val="auto"/>
        </w:rPr>
      </w:pPr>
    </w:p>
    <w:p>
      <w:pPr>
        <w:ind w:left="300" w:right="479" w:firstLine="360"/>
        <w:spacing w:after="0" w:line="273" w:lineRule="auto"/>
        <w:rPr>
          <w:sz w:val="20"/>
          <w:szCs w:val="20"/>
          <w:color w:val="auto"/>
        </w:rPr>
      </w:pPr>
      <w:r>
        <w:rPr>
          <w:rFonts w:ascii="Arial" w:cs="Arial" w:eastAsia="Arial" w:hAnsi="Arial"/>
          <w:sz w:val="17"/>
          <w:szCs w:val="17"/>
          <w:b w:val="1"/>
          <w:bCs w:val="1"/>
          <w:i w:val="1"/>
          <w:iCs w:val="1"/>
          <w:color w:val="auto"/>
        </w:rPr>
        <w:t xml:space="preserve">Further broaden the use of our battery technology in grid storage applications. </w:t>
      </w:r>
      <w:r>
        <w:rPr>
          <w:rFonts w:ascii="Arial" w:cs="Arial" w:eastAsia="Arial" w:hAnsi="Arial"/>
          <w:sz w:val="17"/>
          <w:szCs w:val="17"/>
          <w:color w:val="auto"/>
        </w:rPr>
        <w:t>Our proprietary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enables us to apply our advanced capabilities and solutions to energy storage applications that we believe will be critical to the growth of the clean energy economy. We believe that partnering with Emera Technologies illustrates our ability to apply our technology and know-how into grid storage applications. We currently are seeking to work together with Emera Technologies in connection with the potential manufacture and delivery of residential energy storage systems in the next 12-18 months.</w:t>
      </w:r>
    </w:p>
    <w:p>
      <w:pPr>
        <w:spacing w:after="0" w:line="70" w:lineRule="exact"/>
        <w:rPr>
          <w:sz w:val="20"/>
          <w:szCs w:val="20"/>
          <w:color w:val="auto"/>
        </w:rPr>
      </w:pPr>
    </w:p>
    <w:p>
      <w:pPr>
        <w:ind w:left="300" w:right="519" w:firstLine="360"/>
        <w:spacing w:after="0" w:line="286" w:lineRule="auto"/>
        <w:rPr>
          <w:sz w:val="20"/>
          <w:szCs w:val="20"/>
          <w:color w:val="auto"/>
        </w:rPr>
      </w:pPr>
      <w:r>
        <w:rPr>
          <w:rFonts w:ascii="Arial" w:cs="Arial" w:eastAsia="Arial" w:hAnsi="Arial"/>
          <w:sz w:val="17"/>
          <w:szCs w:val="17"/>
          <w:b w:val="1"/>
          <w:bCs w:val="1"/>
          <w:i w:val="1"/>
          <w:iCs w:val="1"/>
          <w:color w:val="auto"/>
        </w:rPr>
        <w:t xml:space="preserve">Invest in our people. </w:t>
      </w:r>
      <w:r>
        <w:rPr>
          <w:rFonts w:ascii="Arial" w:cs="Arial" w:eastAsia="Arial" w:hAnsi="Arial"/>
          <w:sz w:val="17"/>
          <w:szCs w:val="17"/>
          <w:color w:val="auto"/>
        </w:rPr>
        <w:t>Our continuous improvement culture requires that we hire and retain the best engineers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research scientists in our industry. We intend to continue to invest in our people through training and development designed to ensure we attract and retain the best talent in the industry.</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Strategic Partnerships</w:t>
      </w:r>
    </w:p>
    <w:p>
      <w:pPr>
        <w:spacing w:after="0" w:line="121" w:lineRule="exact"/>
        <w:rPr>
          <w:sz w:val="20"/>
          <w:szCs w:val="20"/>
          <w:color w:val="auto"/>
        </w:rPr>
      </w:pPr>
    </w:p>
    <w:p>
      <w:pPr>
        <w:jc w:val="both"/>
        <w:ind w:left="300" w:right="419" w:firstLine="360"/>
        <w:spacing w:after="0" w:line="311" w:lineRule="auto"/>
        <w:rPr>
          <w:sz w:val="20"/>
          <w:szCs w:val="20"/>
          <w:color w:val="auto"/>
        </w:rPr>
      </w:pPr>
      <w:r>
        <w:rPr>
          <w:rFonts w:ascii="Arial" w:cs="Arial" w:eastAsia="Arial" w:hAnsi="Arial"/>
          <w:sz w:val="16"/>
          <w:szCs w:val="16"/>
          <w:color w:val="auto"/>
        </w:rPr>
        <w:t>We have established strategic partnerships that further support our continued development of advanced battery materials and manufacturing technologies, as well as accelerate market access for our products and services. These partnerships are expected to help us scale quickly across sectors and geographies, validate our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proprietary technologies for customers in new markets, and enable NOVONIX to remain at the forefront of market trends in the development of our next generation of products and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strategic partnerships include:</w:t>
      </w:r>
    </w:p>
    <w:p>
      <w:pPr>
        <w:spacing w:after="0" w:line="117" w:lineRule="exact"/>
        <w:rPr>
          <w:sz w:val="20"/>
          <w:szCs w:val="20"/>
          <w:color w:val="auto"/>
        </w:rPr>
      </w:pPr>
    </w:p>
    <w:p>
      <w:pPr>
        <w:ind w:left="1000" w:right="499" w:hanging="348"/>
        <w:spacing w:after="0" w:line="286"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Dalhousie University </w:t>
      </w:r>
      <w:r>
        <w:rPr>
          <w:rFonts w:ascii="Arial" w:cs="Arial" w:eastAsia="Arial" w:hAnsi="Arial"/>
          <w:sz w:val="16"/>
          <w:szCs w:val="16"/>
          <w:color w:val="auto"/>
        </w:rPr>
        <w:t>– In February 2021, we announced a five-year extension of our sponsorship of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 Obrovac’s laboratory at Dalhousie University through the execution of a collaborative research agreement. We have sponsored Dr.Obrovac’s group since 2018 through a Natural Sciences and Engineering Research Council of Canada Alliance Grant. Under the agreement, we have agreed to pay Dalhousie University in quarterly installments and, in exchange, Dr. Obrovac will provide us with his reasonable efforts and expertise, a research team and assignment or transfer of patents for intellectual property created as a result of the research. We have filed six patent applications covering technology developed as a result of our collaboration with the university. Additionally, we have, and have exercised and will continue to exercise, first rights to all intellectual property developed through this partnership, with no royalty obligations. The agreement may be terminated by 90 days’ written notice of either us or Dr. Obrovac’s group, however, in that event, we would retain all rights with respect to any and all intellectual property and research results generated by performance of the research services in the metal-ion battery chemistries and metal-ion battery materials field then in existence.</w:t>
      </w:r>
    </w:p>
    <w:p>
      <w:pPr>
        <w:spacing w:after="0" w:line="65" w:lineRule="exact"/>
        <w:rPr>
          <w:rFonts w:ascii="Arial" w:cs="Arial" w:eastAsia="Arial" w:hAnsi="Arial"/>
          <w:sz w:val="16"/>
          <w:szCs w:val="16"/>
          <w:color w:val="auto"/>
        </w:rPr>
      </w:pPr>
    </w:p>
    <w:p>
      <w:pPr>
        <w:ind w:left="1000" w:right="459" w:hanging="348"/>
        <w:spacing w:after="0" w:line="286"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Emera Technologies </w:t>
      </w:r>
      <w:r>
        <w:rPr>
          <w:rFonts w:ascii="Arial" w:cs="Arial" w:eastAsia="Arial" w:hAnsi="Arial"/>
          <w:sz w:val="16"/>
          <w:szCs w:val="16"/>
          <w:color w:val="auto"/>
        </w:rPr>
        <w:t>– In February 2021, we began partnering with Emera Technologies to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residential battery pack systems to support microgrids that, if successfully produced, will provide solar power directly to homes. Over the past year, our teams collaborated pursuant to a design services agreement to design a battery pack including innovative designs, custom manufacturing and control systems to support Emera Technologies’ BlockEnergy microgrid currently being implemented in a new residential community in the United States. Pursuant to a memorandum of understanding, we are seeking to work together with Emera Technologies in connection with the potential manufacture and delivery of residential energy storage systems in the next 12-18 months. Under our memorandum of understanding, subject to Emera’s agreement, we intend to form a new entity that is jointly owned by us and Emera Technologies. We would be primarily responsible for performing design services in respect of the design of the battery block system, including the production of prototypes and the testing thereof. The memorandum of understanding will expire no later than June 2023, and may be terminated earlier by mutual written agreement. Under the memorandum of understanding, Emera would have first right to purchase all battery systems produced by the new entity. We believe that our collaboration with Emera Technologies offers the potential for new future opportunities across North America.</w:t>
      </w:r>
    </w:p>
    <w:p>
      <w:pPr>
        <w:spacing w:after="0" w:line="59" w:lineRule="exact"/>
        <w:rPr>
          <w:rFonts w:ascii="Arial" w:cs="Arial" w:eastAsia="Arial" w:hAnsi="Arial"/>
          <w:sz w:val="16"/>
          <w:szCs w:val="16"/>
          <w:color w:val="auto"/>
        </w:rPr>
      </w:pPr>
    </w:p>
    <w:p>
      <w:pPr>
        <w:ind w:left="1000" w:right="379" w:hanging="348"/>
        <w:spacing w:after="0" w:line="270"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Harper International Corporation </w:t>
      </w:r>
      <w:r>
        <w:rPr>
          <w:rFonts w:ascii="Arial" w:cs="Arial" w:eastAsia="Arial" w:hAnsi="Arial"/>
          <w:sz w:val="17"/>
          <w:szCs w:val="17"/>
          <w:color w:val="auto"/>
        </w:rPr>
        <w:t>– In December 2020, we entered into a strategic, non-assignable,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Harper to develop specialized furnace technology intended to enhance our synthetic graphite manufacturing process. Through this agreement, Harper has developed, and will continue to develop, systems that are exclusive to NOVONIX in the battery-ion field in exchange for us purchasing at least one system per year. This agreement may be terminated by mutual written agreement at any time or in the case of a breach by Harper, and will automatically terminate 18 months after our last purchase of a furnace from Harper. We may choose to employ different technology under the agreement, however Harper retains the right of first offer to supply a similar offering at a reasonably competitive performance, pricing and delivery.</w:t>
      </w:r>
    </w:p>
    <w:p>
      <w:pPr>
        <w:spacing w:after="0" w:line="72" w:lineRule="exact"/>
        <w:rPr>
          <w:rFonts w:ascii="Arial" w:cs="Arial" w:eastAsia="Arial" w:hAnsi="Arial"/>
          <w:sz w:val="17"/>
          <w:szCs w:val="17"/>
          <w:color w:val="auto"/>
        </w:rPr>
      </w:pPr>
    </w:p>
    <w:p>
      <w:pPr>
        <w:ind w:left="1000" w:right="319" w:hanging="348"/>
        <w:spacing w:after="0" w:line="269"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SANYO Electric (a Panasonic Company) </w:t>
      </w:r>
      <w:r>
        <w:rPr>
          <w:rFonts w:ascii="Arial" w:cs="Arial" w:eastAsia="Arial" w:hAnsi="Arial"/>
          <w:sz w:val="17"/>
          <w:szCs w:val="17"/>
          <w:color w:val="auto"/>
        </w:rPr>
        <w:t>– Following positive testing results of our NOVONIX Anode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Material’s premium synthetic graphite, in October 2019, we entered into a non-binding memorandum of understanding with SANYO Electric, one of the leading manufacturers of lithium-ion batteries for a variety of applications, including electric vehicles and energy storage systems, to investigate the opportunity to supply NOVONIX anode materials for use in lithium-ion battery manufacturing. We have agreed to scale production of graphite anode material at our manufacturing facilities in Tennessee and SANYO Electric has agreed to analyze samples and provide us with feedback in furtherance of a good faith effort in reaching a deal to supply our product to SANYO Electric or its affiliates for use in lithium-ion battery manufacturing. Through the June 2021 quarter, NOVONIX has produced anode materials using the Generation 2 furnace system to support next steps in customer qualification programs. As of July 2021, the first mass production materials from the Generation 2 furnace system have been shipped to SANYO Electric for qualification.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73"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Samsung SDI </w:t>
      </w:r>
      <w:r>
        <w:rPr>
          <w:rFonts w:ascii="Arial" w:cs="Arial" w:eastAsia="Arial" w:hAnsi="Arial"/>
          <w:sz w:val="17"/>
          <w:szCs w:val="17"/>
          <w:color w:val="auto"/>
        </w:rPr>
        <w:t>– In December 2019, we entered into a non-binding memorandum of understanding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 to supply lithium-ion battery anode material to Samsung SDI, an international manufacturer of lithium-ion batteries. Under the agreement, we have agreed to supply Samsung SDI with 500 tonnes of lithium-ion battery anode materials beginning in late 2021, subject to quality testing, with the potential for larger volumes to be supplied thereafter. As part of our memorandum of understanding, we agreed with Samsung SDI to collaborate on future NOVONIX materials and techniques.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Lithium-ion Battery Overview</w:t>
      </w:r>
    </w:p>
    <w:p>
      <w:pPr>
        <w:spacing w:after="0" w:line="121"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Lithium-ion batteries have emerged as the leading technology for rechargeable batteries. The first commercialization of lithium-ion battery technology was by Sony and Asahi Kasei in 1991. Since then, lithium-ion batteries have played an increasingly important role within the electrification ecosystem, first in consumer electronics and now in the rapidly growing EV and energy storage markets.</w:t>
      </w:r>
    </w:p>
    <w:p>
      <w:pPr>
        <w:spacing w:after="0" w:line="79" w:lineRule="exact"/>
        <w:rPr>
          <w:sz w:val="20"/>
          <w:szCs w:val="20"/>
          <w:color w:val="auto"/>
        </w:rPr>
      </w:pPr>
    </w:p>
    <w:p>
      <w:pPr>
        <w:ind w:left="300" w:right="379" w:firstLine="360"/>
        <w:spacing w:after="0" w:line="287" w:lineRule="auto"/>
        <w:rPr>
          <w:sz w:val="20"/>
          <w:szCs w:val="20"/>
          <w:color w:val="auto"/>
        </w:rPr>
      </w:pPr>
      <w:r>
        <w:rPr>
          <w:rFonts w:ascii="Arial" w:cs="Arial" w:eastAsia="Arial" w:hAnsi="Arial"/>
          <w:sz w:val="16"/>
          <w:szCs w:val="16"/>
          <w:color w:val="auto"/>
        </w:rPr>
        <w:t>Lithium-ion battery technology has many advantages relative to other battery chemistries and is generally considered the optimal solution for EVs and energy storage applications. In particular, lithium-ion batteries (1) have higher density relative to many other types of batteries, such as a nickel batteries, resulting in higher power output,</w:t>
      </w:r>
    </w:p>
    <w:p>
      <w:pPr>
        <w:spacing w:after="0" w:line="2" w:lineRule="exact"/>
        <w:rPr>
          <w:sz w:val="20"/>
          <w:szCs w:val="20"/>
          <w:color w:val="auto"/>
        </w:rPr>
      </w:pPr>
    </w:p>
    <w:p>
      <w:pPr>
        <w:ind w:left="300" w:right="619" w:hanging="8"/>
        <w:spacing w:after="0" w:line="253" w:lineRule="auto"/>
        <w:tabs>
          <w:tab w:leader="none" w:pos="5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are lower maintenance relative to other battery types that require regular cycling or refilling battery fluid, (3) have a much lower self-discharge rate compared to other types of rechargeable batteries, enabling lithium-ion batteries to achieve very long cycling performance in their applications, and (4) have lower risks associated with volatile materials, specifically flammable fuels and battery acid.</w:t>
      </w:r>
    </w:p>
    <w:p>
      <w:pPr>
        <w:spacing w:after="0" w:line="85" w:lineRule="exact"/>
        <w:rPr>
          <w:sz w:val="20"/>
          <w:szCs w:val="20"/>
          <w:color w:val="auto"/>
        </w:rPr>
      </w:pPr>
    </w:p>
    <w:p>
      <w:pPr>
        <w:ind w:left="300" w:right="459" w:firstLine="360"/>
        <w:spacing w:after="0" w:line="275" w:lineRule="auto"/>
        <w:rPr>
          <w:sz w:val="20"/>
          <w:szCs w:val="20"/>
          <w:color w:val="auto"/>
        </w:rPr>
      </w:pPr>
      <w:r>
        <w:rPr>
          <w:rFonts w:ascii="Arial" w:cs="Arial" w:eastAsia="Arial" w:hAnsi="Arial"/>
          <w:sz w:val="17"/>
          <w:szCs w:val="17"/>
          <w:color w:val="auto"/>
        </w:rPr>
        <w:t>A lithium-ion battery cell is composed primarily of three main components: positively charged cathode, negatively charged anode, and the electrolyte. The cathode releases ions while it is charging and then absorbs them while discharging; conversely, the anode absorbs ions during charging and releases them while discharging. The electrolyte acts as a medium for the transportation of lithium ions between anode and cathode while corresponding electrons travel through the external circuit, thus driving the charging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146685</wp:posOffset>
            </wp:positionV>
            <wp:extent cx="5066030" cy="24942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6603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Electrification Trends and the Evolving Market for Lithium-ion Technology</w:t>
      </w:r>
    </w:p>
    <w:p>
      <w:pPr>
        <w:spacing w:after="0" w:line="121" w:lineRule="exact"/>
        <w:rPr>
          <w:sz w:val="20"/>
          <w:szCs w:val="20"/>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Efforts to decarbonize the global economy coupled with increasingly environmentally conscious consumers have spurred new markets and robust demand for lithium-ion battery technology. The two key pillars in the Electrification Economy are the transition to modes of transportation with a lower carbon footprint, particularly a transition from internal combustion engine (“ICE”) powertrains to battery-powered electric vehicles, and an increased reliance on clean and renewable energy generation, and the resulting focus on energy storage solutions to ensure a stable electric grid.</w:t>
      </w:r>
    </w:p>
    <w:p>
      <w:pPr>
        <w:spacing w:after="0" w:line="84" w:lineRule="exact"/>
        <w:rPr>
          <w:sz w:val="20"/>
          <w:szCs w:val="20"/>
          <w:color w:val="auto"/>
        </w:rPr>
      </w:pPr>
    </w:p>
    <w:p>
      <w:pPr>
        <w:ind w:left="300" w:right="999" w:firstLine="360"/>
        <w:spacing w:after="0" w:line="342" w:lineRule="auto"/>
        <w:rPr>
          <w:sz w:val="20"/>
          <w:szCs w:val="20"/>
          <w:color w:val="auto"/>
        </w:rPr>
      </w:pPr>
      <w:r>
        <w:rPr>
          <w:rFonts w:ascii="Arial" w:cs="Arial" w:eastAsia="Arial" w:hAnsi="Arial"/>
          <w:sz w:val="16"/>
          <w:szCs w:val="16"/>
          <w:color w:val="auto"/>
        </w:rPr>
        <w:t>An increasing number of national and local governments have enacted emissions targets and instituted incentives for companies and consumers to promote the growth and adoption of EVs and renewable energy</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75" w:lineRule="auto"/>
        <w:rPr>
          <w:sz w:val="20"/>
          <w:szCs w:val="20"/>
          <w:color w:val="auto"/>
        </w:rPr>
      </w:pPr>
      <w:r>
        <w:rPr>
          <w:rFonts w:ascii="Arial" w:cs="Arial" w:eastAsia="Arial" w:hAnsi="Arial"/>
          <w:sz w:val="17"/>
          <w:szCs w:val="17"/>
          <w:color w:val="auto"/>
        </w:rPr>
        <w:t>production. Additionally, governments are increasingly investing more in infrastructure to support these carbon reduction and electrification initiatives. For instance, in the United States, the administration of President Biden has proposed a multi-trillion dollar infrastructure plan, with a significant portion to be allocated to EV development and charging infrastructure as well as clean and renewable energy – this is in addition to a recently announced initiative to fully transition the U.S. government’s fleet of vehicles to EVs.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163830</wp:posOffset>
            </wp:positionV>
            <wp:extent cx="4766310" cy="2468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631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These announcements and investments geared towards decarbonizing the economy coupled with advancements in lithium-ion batteries, including longer range and lower costs, are expected to drive significant adoption and growth in EVs over the next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160020</wp:posOffset>
            </wp:positionV>
            <wp:extent cx="5006340" cy="2125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063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right="539" w:firstLine="360"/>
        <w:spacing w:after="0" w:line="259" w:lineRule="auto"/>
        <w:rPr>
          <w:sz w:val="20"/>
          <w:szCs w:val="20"/>
          <w:color w:val="auto"/>
        </w:rPr>
      </w:pPr>
      <w:r>
        <w:rPr>
          <w:rFonts w:ascii="Arial" w:cs="Arial" w:eastAsia="Arial" w:hAnsi="Arial"/>
          <w:sz w:val="18"/>
          <w:szCs w:val="18"/>
          <w:color w:val="auto"/>
        </w:rPr>
        <w:t>According to Benchmark Minerals Intelligence (“Benchmark”), a leading consulting firm focused on the EV and energy storage supply chain, as of Q1 2021 global EV penetration is expected to increase to 28% by 2030, relative to 2015 levels, which Benchmark projects would result in EV battery demand growing to 1,928GWh globally by 2030.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92075</wp:posOffset>
            </wp:positionV>
            <wp:extent cx="5006340" cy="28803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0634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7"/>
          <w:szCs w:val="17"/>
          <w:color w:val="auto"/>
        </w:rPr>
        <w:t>The most significant drivers of EV adoption and growth are expected to be the passenger battery electric vehicle (“BEV”) and passenger plug-in hybrid electric (“PH EV”) segments. However, there meaningful growth is also expected in the commercial BEV and PH EV segment and other segments, including micromobility.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156845</wp:posOffset>
            </wp:positionV>
            <wp:extent cx="5006340" cy="26657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0634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819" w:firstLine="360"/>
        <w:spacing w:after="0" w:line="263" w:lineRule="auto"/>
        <w:rPr>
          <w:sz w:val="20"/>
          <w:szCs w:val="20"/>
          <w:color w:val="auto"/>
        </w:rPr>
      </w:pPr>
      <w:r>
        <w:rPr>
          <w:rFonts w:ascii="Arial" w:cs="Arial" w:eastAsia="Arial" w:hAnsi="Arial"/>
          <w:sz w:val="18"/>
          <w:szCs w:val="18"/>
          <w:color w:val="auto"/>
        </w:rPr>
        <w:t>In anticipation of this transformational global shift to EVs driven by governmental policies and changing consumer preferences, many global auto original equipment manufacturers (“OEMs”) have announced electrification plans and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168275</wp:posOffset>
            </wp:positionV>
            <wp:extent cx="5143500" cy="2914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As more renewable energy generation enters the electrical grid, the requirement for energy storage is expected to grow significantly to regulate the variable production of sources such as wind and solar energy. As of Q1 2021, Benchmark estimates that global demand in the energy storage market (“ESS”) will increase from 12GWh in 2020 to 358GWh by 2030, with North America requiring 97GWH by 2030. This opportunity is evidenced by the recent strategic investments of market participants. For instance, both existing energy utilities as well as emerging energy companies have announced plans to heavily invest in clean and renewable technology and grid energy storage solutions as the energy transition accelerates.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156210</wp:posOffset>
            </wp:positionV>
            <wp:extent cx="5280660" cy="2940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8066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Growth in the ESS market will be driven by the need for energy utilities to store clean and renewable energy, as well as the need to support the adoption of load-shifting energy storage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160020</wp:posOffset>
            </wp:positionV>
            <wp:extent cx="5006340" cy="26314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0634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EVs are also expected to play a supporting role in the ESS landscape. For instance, Volkswagen announced in April 2021 that starting in 2022, all EVs manufactured on Volkswagen’s next-gen MEB platform will have V2G (vehicle to grid) technology, bidirectional EV battery technology enabling EV’s to stabilize ESS. Transition to this new energy infrastructure—particularly the increase in EVs with bidirectional battery technology—will emphasize the importance of ultra-long cycle life batteries, as we expect that it will further prompt a step change increase in the number of cycles of optimal battery life.</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Lithium-ion Battery Value Chain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lithium-ion value chain can be broken down into five core components:</w:t>
      </w:r>
    </w:p>
    <w:p>
      <w:pPr>
        <w:spacing w:after="0" w:line="117"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Producers of raw battery materials from earth minerals and chemicals</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Battery material processors and refiners such as nickel refiners, spherical natural graphite producers, and producers of lithium hydroxide and carbonate</w:t>
      </w:r>
    </w:p>
    <w:p>
      <w:pPr>
        <w:spacing w:after="0" w:line="62"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Specialty battery materials producers that use the refined battery material inputs to produce anode, cathode, and electrolyte material for use in battery cells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Manufacturers of battery cells and battery pack systems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End-users such as EVs and energy storage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92075</wp:posOffset>
            </wp:positionV>
            <wp:extent cx="5006340" cy="29921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06340" cy="299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Battery Cost Overview</w:t>
      </w:r>
    </w:p>
    <w:p>
      <w:pPr>
        <w:spacing w:after="0" w:line="121"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battery pack is the most expensive part of an electric vehicle. The threshold for price parity with gasoline engines (excluding subsidies), according to Bloomberg NEF, is around US$100/kWh. While Benchmark estimates that as of Q1 2021 lithium-ion battery cell prices have decreased by a CAGR of 14.0% since 2014, prices have not yet reached this important milestone. That is expected to change in the near future. As of Q1 2021, Benchmark projects battery cell prices to decrease from US$117/kWh in 2020 to US$91/kWh in 2026, representing a decrease in CAGR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165735</wp:posOffset>
            </wp:positionV>
            <wp:extent cx="5006340" cy="27514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0634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The cathode chemistry of lithium-ion batteries has a material impact on costs. Lithium nickel cobalt manganese (“NCM”) is currently the leading chemistry given its high energy density and overall performance relative to other cathode chemistries. As EVs and ESS applications continue to grow, coupled with the need to develop higher performance batteries, as of Q1 2021 Benchmark estimates that NCM chemistry will account for 74% of cathodes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171450</wp:posOffset>
            </wp:positionV>
            <wp:extent cx="5006340" cy="20231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0634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b w:val="1"/>
          <w:bCs w:val="1"/>
          <w:color w:val="auto"/>
        </w:rPr>
        <w:t>Lithium nickel cobalt manganese (NCM)</w:t>
      </w:r>
      <w:r>
        <w:rPr>
          <w:rFonts w:ascii="Arial" w:cs="Arial" w:eastAsia="Arial" w:hAnsi="Arial"/>
          <w:sz w:val="18"/>
          <w:szCs w:val="18"/>
          <w:color w:val="auto"/>
        </w:rPr>
        <w:t>: This chemistry can take several forms, including NCM 111 (equal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of nickel, cobalt, manganese), NCM 532/622 (higher energy density and lower price than NCM 111 due to a lower cobalt content), and the most recent and advanced NCM 811 (highest theoretical performance). The nickel in an NCM battery is responsible for its higher energy density (higher range), while the manganese is responsible for the stability. NCM chemistries typically have relatively long life spans even with frequent cycling. While NCM batteries contain a high energy density, they can be expensive due to the complex manufacturing process and the costs of nickel and cobalt.</w:t>
      </w:r>
    </w:p>
    <w:p>
      <w:pPr>
        <w:spacing w:after="0" w:line="8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b w:val="1"/>
          <w:bCs w:val="1"/>
          <w:color w:val="auto"/>
        </w:rPr>
        <w:t>Lithium nickel cobalt aluminum oxide (NCA)</w:t>
      </w:r>
      <w:r>
        <w:rPr>
          <w:rFonts w:ascii="Arial" w:cs="Arial" w:eastAsia="Arial" w:hAnsi="Arial"/>
          <w:sz w:val="17"/>
          <w:szCs w:val="17"/>
          <w:color w:val="auto"/>
        </w:rPr>
        <w:t>: NCA batteries have a higher nickel content and exposure than</w:t>
      </w:r>
      <w:r>
        <w:rPr>
          <w:rFonts w:ascii="Arial" w:cs="Arial" w:eastAsia="Arial" w:hAnsi="Arial"/>
          <w:sz w:val="17"/>
          <w:szCs w:val="17"/>
          <w:b w:val="1"/>
          <w:bCs w:val="1"/>
          <w:color w:val="auto"/>
        </w:rPr>
        <w:t xml:space="preserve"> </w:t>
      </w:r>
      <w:r>
        <w:rPr>
          <w:rFonts w:ascii="Arial" w:cs="Arial" w:eastAsia="Arial" w:hAnsi="Arial"/>
          <w:sz w:val="17"/>
          <w:szCs w:val="17"/>
          <w:color w:val="auto"/>
        </w:rPr>
        <w:t>their NCM counterparts. They are recognized for having high energy density and high cycling ability. Additionally, the inclusion of aluminum as a part of the battery chemistry provides increased battery stability in comparison to its predecessor lithium nickel oxide batteries. NCA batteries have been commonly used in EV applications; for example, Tesla has opted for this specific chemistry over other NCM chemistries in its current fleet of EV vehicles. While NCA batteries have strong use cases in EV and ESS applications, the chemistry can be dangerous in large-scale applications, such as for large passenger buses.</w:t>
      </w:r>
    </w:p>
    <w:p>
      <w:pPr>
        <w:spacing w:after="0" w:line="64" w:lineRule="exact"/>
        <w:rPr>
          <w:sz w:val="20"/>
          <w:szCs w:val="20"/>
          <w:color w:val="auto"/>
        </w:rPr>
      </w:pPr>
    </w:p>
    <w:p>
      <w:pPr>
        <w:ind w:left="300" w:right="359" w:firstLine="360"/>
        <w:spacing w:after="0" w:line="292" w:lineRule="auto"/>
        <w:rPr>
          <w:sz w:val="20"/>
          <w:szCs w:val="20"/>
          <w:color w:val="auto"/>
        </w:rPr>
      </w:pPr>
      <w:r>
        <w:rPr>
          <w:rFonts w:ascii="Arial" w:cs="Arial" w:eastAsia="Arial" w:hAnsi="Arial"/>
          <w:sz w:val="16"/>
          <w:szCs w:val="16"/>
          <w:b w:val="1"/>
          <w:bCs w:val="1"/>
          <w:color w:val="auto"/>
        </w:rPr>
        <w:t>Lithium iron phosphate (LFP)</w:t>
      </w:r>
      <w:r>
        <w:rPr>
          <w:rFonts w:ascii="Arial" w:cs="Arial" w:eastAsia="Arial" w:hAnsi="Arial"/>
          <w:sz w:val="16"/>
          <w:szCs w:val="16"/>
          <w:color w:val="auto"/>
        </w:rPr>
        <w:t>: LFP batteries offer exceptional specific power (ability to transfer a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high durability, and long cycle lives. LFP batteries also provide enhanced thermal stability and safety. While the energy density of LFP batteries is relatively low, they can be materially less expensive than NCM batteries due to a lack of reliance on nickel or cobalt. LFP batteries may be suitable for use in electric vehicle markets where consumers are more price sensitive and where energy density is not key, as in the Chinese market, where government investment into charging infrastructure can reduce the importance of having vehicles with longer range. LFP batteries have also demonstrated viability in ESS applications due to increased safety capabilities.</w:t>
      </w:r>
    </w:p>
    <w:p>
      <w:pPr>
        <w:spacing w:after="0" w:line="53" w:lineRule="exact"/>
        <w:rPr>
          <w:sz w:val="20"/>
          <w:szCs w:val="20"/>
          <w:color w:val="auto"/>
        </w:rPr>
      </w:pPr>
    </w:p>
    <w:p>
      <w:pPr>
        <w:ind w:left="300" w:right="339" w:firstLine="360"/>
        <w:spacing w:after="0" w:line="294" w:lineRule="auto"/>
        <w:rPr>
          <w:sz w:val="20"/>
          <w:szCs w:val="20"/>
          <w:color w:val="auto"/>
        </w:rPr>
      </w:pPr>
      <w:r>
        <w:rPr>
          <w:rFonts w:ascii="Arial" w:cs="Arial" w:eastAsia="Arial" w:hAnsi="Arial"/>
          <w:sz w:val="16"/>
          <w:szCs w:val="16"/>
          <w:b w:val="1"/>
          <w:bCs w:val="1"/>
          <w:color w:val="auto"/>
        </w:rPr>
        <w:t>Lithium cobalt oxide (LCO)</w:t>
      </w:r>
      <w:r>
        <w:rPr>
          <w:rFonts w:ascii="Arial" w:cs="Arial" w:eastAsia="Arial" w:hAnsi="Arial"/>
          <w:sz w:val="16"/>
          <w:szCs w:val="16"/>
          <w:color w:val="auto"/>
        </w:rPr>
        <w:t>: LCO batteries were the first to be widely commercialized and have high energy</w:t>
      </w:r>
      <w:r>
        <w:rPr>
          <w:rFonts w:ascii="Arial" w:cs="Arial" w:eastAsia="Arial" w:hAnsi="Arial"/>
          <w:sz w:val="16"/>
          <w:szCs w:val="16"/>
          <w:b w:val="1"/>
          <w:bCs w:val="1"/>
          <w:color w:val="auto"/>
        </w:rPr>
        <w:t xml:space="preserve"> </w:t>
      </w:r>
      <w:r>
        <w:rPr>
          <w:rFonts w:ascii="Arial" w:cs="Arial" w:eastAsia="Arial" w:hAnsi="Arial"/>
          <w:sz w:val="16"/>
          <w:szCs w:val="16"/>
          <w:color w:val="auto"/>
        </w:rPr>
        <w:t>densities. However, LCO batteries have relatively short life spans (require frequent charging), are unstable under high temperatures, and have low specific power (ability to transfer a current). Additionally, LCO batteries are reliant on cobalt, which is mostly sourced from the Democratic Republic of Congo, which has resulted in price volatility in the past. As a result, according to Benchmark as of Q1 2021, LCO is expected to steadily lose market share as it is not expected to be used in EVs or ESS applications but mainly in portable technology, such as phones and laptops.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92075</wp:posOffset>
            </wp:positionV>
            <wp:extent cx="5006340" cy="27343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063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Currently, incumbent cathode technologies generally force consumers to choose between range and price, with a high iron content cathode chemistry having lower energy density (shorter range) at a lower price and a high nickel content cathode chemistry having higher energy density (longer range), but at a higher price. We believe that our nickel NOVONIX Cathode Materials will provide the advantages of the high energy density of nickel content cathodes, with a cost structure competitive the high iron cathode chemistries (in US$/kWh).</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Battery Materials Market Overview</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Anode Market</w:t>
      </w:r>
    </w:p>
    <w:p>
      <w:pPr>
        <w:spacing w:after="0" w:line="117"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In most commercial lithium-ion battery chemistries, over 90% of the anode is composed of graphite. Graphite suitable for battery use can either be produced from naturally mined flake graphite or synthetically from other carbon rich precursors, such as oil refining by-products. We believe that synthetic graphite, specifically NOVONIX’s anode material, is better suited for battery anode production, due to its higher Coulombic efficiency and improved capacity retention, leading to longer battery life and less loss of range over time. While the demand for graphite is driven by many end uses, including electrodes, refractories, foundries and lubricants, only the highest purity graphite is suitable for battery use.</w:t>
      </w:r>
    </w:p>
    <w:p>
      <w:pPr>
        <w:spacing w:after="0" w:line="69" w:lineRule="exact"/>
        <w:rPr>
          <w:sz w:val="20"/>
          <w:szCs w:val="20"/>
          <w:color w:val="auto"/>
        </w:rPr>
      </w:pPr>
    </w:p>
    <w:p>
      <w:pPr>
        <w:ind w:left="300" w:right="459" w:firstLine="360"/>
        <w:spacing w:after="0" w:line="311" w:lineRule="auto"/>
        <w:rPr>
          <w:sz w:val="20"/>
          <w:szCs w:val="20"/>
          <w:color w:val="auto"/>
        </w:rPr>
      </w:pPr>
      <w:r>
        <w:rPr>
          <w:rFonts w:ascii="Arial" w:cs="Arial" w:eastAsia="Arial" w:hAnsi="Arial"/>
          <w:sz w:val="16"/>
          <w:szCs w:val="16"/>
          <w:color w:val="auto"/>
        </w:rPr>
        <w:t>As of Q1 2021, Benchmark estimates for each kWh of battery demand, 1.2 kg of graphite is required. Thus, Benchmark estimates that as of Q1 2021 demand for graphite suitable for use in batteries will grow from 256 Kt in 2020 to 1,058 Kt in 2025 to 2,570 Kt in 2030, representing a 32.8% 5-year CAGR and a 26.0% 10-year CAGR.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92075</wp:posOffset>
            </wp:positionV>
            <wp:extent cx="5006340" cy="2682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063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Other potential anode technologies include silicon, solid state, lithium titanate and mesocarbon microbeads. While silicon and solid state batteries are expected to increase their market share over time, as of Q1 2021 Benchmark expects graphite to remain the dominant anode raw material and to account for 90% of anode demand by 2030 due to its reliability and well known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170180</wp:posOffset>
            </wp:positionV>
            <wp:extent cx="5006340" cy="19888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063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Cathode Market</w:t>
      </w:r>
    </w:p>
    <w:p>
      <w:pPr>
        <w:spacing w:after="0" w:line="117"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8"/>
          <w:szCs w:val="18"/>
          <w:color w:val="auto"/>
        </w:rPr>
        <w:t>The growth in NCM, NCA, and LFP batteries, due to the growth in the EV market, is expected to result in significant growth in the raw materials making up these cathode technologies, specifically lithium, nickel and cobalt. As of Q1 2021, Benchmark estimates that in 2020, for each kWh of battery demand, 0.76 kg of lithium, 0.57 kg of nickel and 0.32 kg of cobalt was required. As of Q1 2021, Benchmark estimates that in 2030, for each kWh of battery demand, 0.81 kg of lithium, 0.58 kg of nickel and 0.14 kg of cobalt will be required. Given the centralized resource location and associated price volatility of cobalt, demand may shift toward cathode chemistries containing less cobalt. This is expected to result in total cathode material (defined as lithium, nickel and cobalt) demand to increase from 365 in 2020 to 1,460 in 2025 and 3,658 in 2030, representing a 31.9% 5-year CAGR and a 25.9% 10-year CAGR respectively.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92075</wp:posOffset>
            </wp:positionV>
            <wp:extent cx="5006340" cy="2708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063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The battery materials market consists of a large number of small suppliers (of which we form part of that market), a smaller number of large volume suppliers and a small number of large dominating buyers. As the market is continuously growing, we face the risk that one or more competitors, or a new entrants to the market, will increase their competitive position through aggressive marketing campaigns, product innovation, price discounting, acquisitions or advances in technology. While we strive to remain competitive by way of continuing to develop our products, technologies and associated intellectual property licenses and maintaining competitive pricing. In the event we are unable to adapt to changing market pressures or customer demands, and keep pace with technological change relative to our competitors, or we are forced to reduce pricing in response to competition, our revenue and profit margins could be affected, which could have a material adverse effect on our business and cash flows, financial condition and results of our operations.</w:t>
      </w:r>
    </w:p>
    <w:p>
      <w:pPr>
        <w:spacing w:after="0" w:line="77"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Although, to our knowledge, we are the only qualified U.S.-based supplier of battery-grade synthetic graphite anode material, there are four categories of companies that could be considered potential competition. The first are established synthetic graphite manufacturing companies outside of the United States, predominantly in Asia. While these companies do have established manufacturing capacity, they suffer from a geopolitical disadvantage not being located in the United States, and also suffer from higher energy costs. The second category of potential competition are natural graphite mining companies. Natural graphite provides historically cheaper pricing to synthetic, however natural graphite significantly underperforms relative to synthetic graphite in battery testing as well as have potential environmental concerns regarding mining practices. The third potential category of competition are existing graphitization companies in the United States. While these companies have significant furnace operations, there are no graphitization companies that have developed an economic process to manufacture battery grade synthetic graphite, and are yet to achieve commercial qualification with a tier-1 battery manufacturer. The fourth and final category of competition are companies developing disruptive technologies such as silicon anodes and solid state batteries. There are significant marketing materials available to demonstrate the promise of these potential disruptive technologies, but we are unaware of any technology that has a path to develop, a cost competitive product in the foreseeable future that will meet the increasing lifetime requirements for electronic vehicles and energy storage solutions markets and thus be able to capture more than a niche portion of the battery market.</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As of September 30, 2021, we have rights to one issued patent family and six active patent applications. Our oldest patent was filed with a priority date in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The actual protection afforded by a patent varies in each country and is dependent on the type of patent, the scope of its coverage as determined by the patent office or courts in that country, and the availability of legal remedies in the country. The information in the above list is based on our current assessment of patents that we own or control or have exclusively licensed. The information is subject to revision, for example, in the event of changes in the law or legal rulings affecting our patents or if we become aware of new information.</w:t>
      </w:r>
    </w:p>
    <w:p>
      <w:pPr>
        <w:spacing w:after="0" w:line="68"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Patents expire, on a country by country basis, at various times depending on various factors, including the filing date of the corresponding patent application(s), the availability of patent term adjustment, patent term extension and supplemental protection certificates and requirements for terminal disclaimers. In most countries, including Australia and the United States, the patent term is 20 years from the earliest claimed filing date of a non-provisional patent application or its foreign equivalent in the applicable country. In the United States, a patent’s term can be lengthened in certain cases by a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57" w:lineRule="exact"/>
        <w:rPr>
          <w:sz w:val="20"/>
          <w:szCs w:val="20"/>
          <w:color w:val="auto"/>
        </w:rPr>
      </w:pPr>
    </w:p>
    <w:p>
      <w:pPr>
        <w:ind w:left="300" w:right="399" w:firstLine="360"/>
        <w:spacing w:after="0" w:line="268" w:lineRule="auto"/>
        <w:rPr>
          <w:sz w:val="20"/>
          <w:szCs w:val="20"/>
          <w:color w:val="auto"/>
        </w:rPr>
      </w:pPr>
      <w:r>
        <w:rPr>
          <w:rFonts w:ascii="Arial" w:cs="Arial" w:eastAsia="Arial" w:hAnsi="Arial"/>
          <w:sz w:val="17"/>
          <w:szCs w:val="17"/>
          <w:color w:val="auto"/>
        </w:rPr>
        <w:t>We may not be able to develop patentable products or processes or obtain patents from pending patent applications. In the event of patent issuance, the patents may not be entirely sufficient to protect the proprietary technology owned by or licensed to us or our partners. Our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may be challenged by third parties in post-issuance administrative proceedings or in litigation as invalid, not infringed or unenforceable under U.S., U.K, Australian or other foreign laws, or they may be infringed by third parties. As a result, we are or may be from time to time involved in the defense and enforcement of our patent or other intellectual property rights in a court of law and administrative tribunals, such as in USPTO inter partes review or reexamination proceedings, foreign opposition proceedings or related legal and administrative proceedings in the United States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w:t>
      </w:r>
    </w:p>
    <w:p>
      <w:pPr>
        <w:spacing w:after="0" w:line="76"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Furthermore, we rely upon trade secrets and know-how and continuing technological innovation to develop and maintain our competitive position. We seek to protect our proprietary information, in part, by using confidentiality and invention assignment agreements with commercial partners, collaborators, employees and consultants. These agreements are designed to protect our proprietary information and, in the case of the invention assignment agreements, to grant it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58"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its development or commercial strategies for our product candidates or processes, or to obtain licenses or cease certain activities. Our breach of any license agreements or failure to obtain a license to proprietary rights that it may require to develop or commercialize its future products may have an adverse impact on us. If third parties prepare and file patent applications in the United States that also claim technology to which we have rights, we may have to participate in interference or derivation proceedings in the USPTO to determine priority of invention.</w:t>
      </w:r>
    </w:p>
    <w:p>
      <w:pPr>
        <w:spacing w:after="0" w:line="58" w:lineRule="exact"/>
        <w:rPr>
          <w:sz w:val="20"/>
          <w:szCs w:val="20"/>
          <w:color w:val="auto"/>
        </w:rPr>
      </w:pPr>
    </w:p>
    <w:p>
      <w:pPr>
        <w:ind w:left="300" w:right="359" w:firstLine="360"/>
        <w:spacing w:after="0" w:line="308" w:lineRule="auto"/>
        <w:rPr>
          <w:sz w:val="20"/>
          <w:szCs w:val="20"/>
          <w:color w:val="auto"/>
        </w:rPr>
      </w:pPr>
      <w:r>
        <w:rPr>
          <w:rFonts w:ascii="Arial" w:cs="Arial" w:eastAsia="Arial" w:hAnsi="Arial"/>
          <w:sz w:val="17"/>
          <w:szCs w:val="17"/>
          <w:color w:val="auto"/>
        </w:rPr>
        <w:t>We currently rely on our unregistered trademarks, trade names and service marks, as well as our domain names and logos, as appropriate, to market our brands and to build and maintain brand recognition.</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jc w:val="both"/>
        <w:ind w:left="300" w:right="379" w:firstLine="360"/>
        <w:spacing w:after="0" w:line="311" w:lineRule="auto"/>
        <w:rPr>
          <w:sz w:val="20"/>
          <w:szCs w:val="20"/>
          <w:color w:val="auto"/>
        </w:rPr>
      </w:pPr>
      <w:r>
        <w:rPr>
          <w:rFonts w:ascii="Arial" w:cs="Arial" w:eastAsia="Arial" w:hAnsi="Arial"/>
          <w:sz w:val="16"/>
          <w:szCs w:val="16"/>
          <w:color w:val="auto"/>
        </w:rPr>
        <w:t>Our business is subject to regulation in a number of areas. Changes in government, monetary policies and laws and regulations, among other things, can have a significant impact on our assets, operations, financial performance and, ultimately, the value of our company and our ordinary shares. Changes may occur in the U.S.,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spacing w:after="0" w:line="275" w:lineRule="auto"/>
        <w:rPr>
          <w:sz w:val="20"/>
          <w:szCs w:val="20"/>
          <w:color w:val="auto"/>
        </w:rPr>
      </w:pPr>
      <w:r>
        <w:rPr>
          <w:rFonts w:ascii="Arial" w:cs="Arial" w:eastAsia="Arial" w:hAnsi="Arial"/>
          <w:sz w:val="17"/>
          <w:szCs w:val="17"/>
          <w:color w:val="auto"/>
        </w:rPr>
        <w:t>Canada, Australia or any other country in which we operate, or subsequently start to operate. Such changes are likely to be beyond our control and may affect the industries in which we operate generally, our company in particular, or both. Non-compliance with changing laws and regulations may expose the company to legal risk via investigations or litigious proceedings from regulators, counterparties or consumers. This section sets forth a summary of the principal laws and regulations relevant to our business.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Corporations Act and ASX Listing Rules</w:t>
      </w:r>
    </w:p>
    <w:p>
      <w:pPr>
        <w:spacing w:after="0" w:line="117"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As a company incorporated in Australia, we remain subject to the Corporations Act 2001 (Cth), or Corporations Act, and we are regulated by both the Australian Securities and Investments Commission, or ASIC, the country’s corporate regulator, and the Australian Securities Exchange, or ASX, as an entity listed on that exchange. Accordingly, we must comply with all Corporations Act requirements and the Listing Rules maintained by ASX. Changes to these rules and requirements may have an impact on our assets, operations, financial performance, value or other matters. Breaches of these rules and regulations may give rise to regulatory action from ASIC or ASX or litigious proceedings initiated by other stakeholders.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left="300" w:right="459" w:firstLine="360"/>
        <w:spacing w:after="0" w:line="272" w:lineRule="auto"/>
        <w:rPr>
          <w:sz w:val="20"/>
          <w:szCs w:val="20"/>
          <w:color w:val="auto"/>
        </w:rPr>
      </w:pPr>
      <w:r>
        <w:rPr>
          <w:rFonts w:ascii="Arial" w:cs="Arial" w:eastAsia="Arial" w:hAnsi="Arial"/>
          <w:sz w:val="17"/>
          <w:szCs w:val="17"/>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Health and Safety</w:t>
      </w:r>
    </w:p>
    <w:p>
      <w:pPr>
        <w:spacing w:after="0" w:line="117"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Our facilities and operations are subject to numerous environmental, health and safety (“EHS”) laws and regulations which require significant capital investment on an ongoing basis and could give rise to unforeseen liability, including as a result of a governmental enforcement action or obligations to remediate contaminated sites, including third-party contaminated sites where we have sent waste for treatment or disposal. EHS laws or their enforcement may become more stringent over time which could increase our operating costs and subject us to additional liabilities.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b w:val="1"/>
          <w:bCs w:val="1"/>
          <w:color w:val="auto"/>
        </w:rPr>
        <w:t>Risks Related to Regulatory Matters</w:t>
      </w:r>
      <w:r>
        <w:rPr>
          <w:rFonts w:ascii="Arial" w:cs="Arial" w:eastAsia="Arial" w:hAnsi="Arial"/>
          <w:sz w:val="18"/>
          <w:szCs w:val="18"/>
          <w:color w:val="auto"/>
        </w:rPr>
        <w:t>” in “Risk Factors”.</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Social and Governance (“ESG”)</w:t>
      </w:r>
    </w:p>
    <w:p>
      <w:pPr>
        <w:spacing w:after="0" w:line="117" w:lineRule="exact"/>
        <w:rPr>
          <w:sz w:val="20"/>
          <w:szCs w:val="20"/>
          <w:color w:val="auto"/>
        </w:rPr>
      </w:pPr>
    </w:p>
    <w:p>
      <w:pPr>
        <w:ind w:left="300" w:right="499" w:firstLine="360"/>
        <w:spacing w:after="0" w:line="255" w:lineRule="auto"/>
        <w:rPr>
          <w:sz w:val="20"/>
          <w:szCs w:val="20"/>
          <w:color w:val="auto"/>
        </w:rPr>
      </w:pPr>
      <w:r>
        <w:rPr>
          <w:rFonts w:ascii="Arial" w:cs="Arial" w:eastAsia="Arial" w:hAnsi="Arial"/>
          <w:sz w:val="18"/>
          <w:szCs w:val="18"/>
          <w:color w:val="auto"/>
        </w:rPr>
        <w:t>We believe that an increasing emphasis on environmentally conscious battery technologies is key to a sustainable future with prolific adoption of electric vehicles and grid energy storage systems. Many current manufacturing methods for key battery materials are energy intensive, wasteful or, in other ways, hazardous to the environment and end users and OEMs are showing desire to source materials from cleaner technologies. We are focused on the development of technologies that support key ESG criteria in the field of battery materials and technologies:</w:t>
      </w:r>
    </w:p>
    <w:p>
      <w:pPr>
        <w:spacing w:after="0" w:line="80" w:lineRule="exact"/>
        <w:rPr>
          <w:sz w:val="20"/>
          <w:szCs w:val="20"/>
          <w:color w:val="auto"/>
        </w:rPr>
      </w:pPr>
    </w:p>
    <w:p>
      <w:pPr>
        <w:ind w:left="1000" w:right="439" w:hanging="348"/>
        <w:spacing w:after="0" w:line="26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Longer Life Batteries</w:t>
      </w:r>
      <w:r>
        <w:rPr>
          <w:rFonts w:ascii="Arial" w:cs="Arial" w:eastAsia="Arial" w:hAnsi="Arial"/>
          <w:sz w:val="18"/>
          <w:szCs w:val="18"/>
          <w:color w:val="auto"/>
        </w:rPr>
        <w:t>. We believe that the use of NOVONIX’s synthetic graphite leads to longer life</w:t>
      </w:r>
      <w:r>
        <w:rPr>
          <w:rFonts w:ascii="Arial" w:cs="Arial" w:eastAsia="Arial" w:hAnsi="Arial"/>
          <w:sz w:val="18"/>
          <w:szCs w:val="18"/>
          <w:b w:val="1"/>
          <w:bCs w:val="1"/>
          <w:color w:val="auto"/>
        </w:rPr>
        <w:t xml:space="preserve"> </w:t>
      </w:r>
      <w:r>
        <w:rPr>
          <w:rFonts w:ascii="Arial" w:cs="Arial" w:eastAsia="Arial" w:hAnsi="Arial"/>
          <w:sz w:val="18"/>
          <w:szCs w:val="18"/>
          <w:color w:val="auto"/>
        </w:rPr>
        <w:t>batteries which therefore generate less overall waste in recycling or disposal due to the longer service life the batteries.</w:t>
      </w:r>
    </w:p>
    <w:p>
      <w:pPr>
        <w:spacing w:after="0" w:line="67" w:lineRule="exact"/>
        <w:rPr>
          <w:rFonts w:ascii="Arial" w:cs="Arial" w:eastAsia="Arial" w:hAnsi="Arial"/>
          <w:sz w:val="18"/>
          <w:szCs w:val="18"/>
          <w:color w:val="auto"/>
        </w:rPr>
      </w:pPr>
    </w:p>
    <w:p>
      <w:pPr>
        <w:ind w:left="1000" w:right="459" w:hanging="348"/>
        <w:spacing w:after="0" w:line="303"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Higher Energy Efficiency</w:t>
      </w:r>
      <w:r>
        <w:rPr>
          <w:rFonts w:ascii="Arial" w:cs="Arial" w:eastAsia="Arial" w:hAnsi="Arial"/>
          <w:sz w:val="16"/>
          <w:szCs w:val="16"/>
          <w:color w:val="auto"/>
        </w:rPr>
        <w:t>. Improvements in process technology demonstrated by NOVONIX Anode</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as well as through NOVONIX’s SCC technology have the opportunity to reduce the amount of energy required to produce key battery materials. NOVONIX’s proprietary graphitization furnace technology were developed with the objective of being the highest efficiency graphitization technology.</w:t>
      </w:r>
    </w:p>
    <w:p>
      <w:pPr>
        <w:spacing w:after="0" w:line="42" w:lineRule="exact"/>
        <w:rPr>
          <w:rFonts w:ascii="Arial" w:cs="Arial" w:eastAsia="Arial" w:hAnsi="Arial"/>
          <w:sz w:val="16"/>
          <w:szCs w:val="16"/>
          <w:color w:val="auto"/>
        </w:rPr>
      </w:pPr>
    </w:p>
    <w:p>
      <w:pPr>
        <w:ind w:left="1000" w:right="599" w:hanging="348"/>
        <w:spacing w:after="0" w:line="261"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Reduced Chemical Usage</w:t>
      </w:r>
      <w:r>
        <w:rPr>
          <w:rFonts w:ascii="Arial" w:cs="Arial" w:eastAsia="Arial" w:hAnsi="Arial"/>
          <w:sz w:val="18"/>
          <w:szCs w:val="18"/>
          <w:color w:val="auto"/>
        </w:rPr>
        <w:t>. NOVONIX Anode Materials uses no chemical purification so there are no</w:t>
      </w:r>
      <w:r>
        <w:rPr>
          <w:rFonts w:ascii="Arial" w:cs="Arial" w:eastAsia="Arial" w:hAnsi="Arial"/>
          <w:sz w:val="18"/>
          <w:szCs w:val="18"/>
          <w:b w:val="1"/>
          <w:bCs w:val="1"/>
          <w:color w:val="auto"/>
        </w:rPr>
        <w:t xml:space="preserve"> </w:t>
      </w:r>
      <w:r>
        <w:rPr>
          <w:rFonts w:ascii="Arial" w:cs="Arial" w:eastAsia="Arial" w:hAnsi="Arial"/>
          <w:sz w:val="18"/>
          <w:szCs w:val="18"/>
          <w:color w:val="auto"/>
        </w:rPr>
        <w:t>risks of harmful chemical leaks, spills or exposure as well as no required harmful chemical disposal requirements. Additionally, NOVONIX’s SCC technology is a dry process, not utilizing chemicals that would typically need to be reclaimed after processing.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000" w:right="319" w:hanging="348"/>
        <w:spacing w:after="0" w:line="258"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Reduced Waste Generation</w:t>
      </w:r>
      <w:r>
        <w:rPr>
          <w:rFonts w:ascii="Arial" w:cs="Arial" w:eastAsia="Arial" w:hAnsi="Arial"/>
          <w:sz w:val="18"/>
          <w:szCs w:val="18"/>
          <w:color w:val="auto"/>
        </w:rPr>
        <w:t>. NOVONIX is focused on high yield technologies to produce key battery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NOVONIX’s DPMG technology can allow for the manufacturing of both anode and cathode materials with virtually 100% yield with the potential to have zero no solid waste generation. NOVONIX’s SCC technology does not create any waste-water which is commonly produced in current high-nickel cathode manufacturing processes.</w:t>
      </w:r>
    </w:p>
    <w:p>
      <w:pPr>
        <w:spacing w:after="0" w:line="75" w:lineRule="exact"/>
        <w:rPr>
          <w:rFonts w:ascii="Arial" w:cs="Arial" w:eastAsia="Arial" w:hAnsi="Arial"/>
          <w:sz w:val="18"/>
          <w:szCs w:val="18"/>
          <w:color w:val="auto"/>
        </w:rPr>
      </w:pPr>
    </w:p>
    <w:p>
      <w:pPr>
        <w:jc w:val="both"/>
        <w:ind w:left="1000" w:right="339" w:hanging="348"/>
        <w:spacing w:after="0" w:line="261" w:lineRule="auto"/>
        <w:tabs>
          <w:tab w:leader="none" w:pos="1000"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Cleaner Power Inputs</w:t>
      </w:r>
      <w:r>
        <w:rPr>
          <w:rFonts w:ascii="Arial" w:cs="Arial" w:eastAsia="Arial" w:hAnsi="Arial"/>
          <w:sz w:val="18"/>
          <w:szCs w:val="18"/>
          <w:color w:val="auto"/>
        </w:rPr>
        <w:t>. NOVONIX is focused on sourcing power for its manufacturing from clean source</w:t>
      </w:r>
      <w:r>
        <w:rPr>
          <w:rFonts w:ascii="Arial" w:cs="Arial" w:eastAsia="Arial" w:hAnsi="Arial"/>
          <w:sz w:val="18"/>
          <w:szCs w:val="18"/>
          <w:b w:val="1"/>
          <w:bCs w:val="1"/>
          <w:color w:val="auto"/>
        </w:rPr>
        <w:t xml:space="preserve"> </w:t>
      </w:r>
      <w:r>
        <w:rPr>
          <w:rFonts w:ascii="Arial" w:cs="Arial" w:eastAsia="Arial" w:hAnsi="Arial"/>
          <w:sz w:val="18"/>
          <w:szCs w:val="18"/>
          <w:color w:val="auto"/>
        </w:rPr>
        <w:t>of energy generation. As such, our current location in the Tennessee Valley Authority has an electrical grid make-up which is over 50% non-carbon producing sources of energy including Nuclear, Hydro, Wind and Solar.</w:t>
      </w:r>
    </w:p>
    <w:p>
      <w:pPr>
        <w:spacing w:after="0" w:line="179" w:lineRule="exact"/>
        <w:rPr>
          <w:rFonts w:ascii="Arial" w:cs="Arial" w:eastAsia="Arial" w:hAnsi="Arial"/>
          <w:sz w:val="18"/>
          <w:szCs w:val="18"/>
          <w:color w:val="auto"/>
        </w:rPr>
      </w:pPr>
    </w:p>
    <w:p>
      <w:pPr>
        <w:ind w:left="640" w:hanging="348"/>
        <w:spacing w:after="0"/>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chart below contains a summary of our organizational structure and sets out our subsidiaries and associated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companies as of September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100330</wp:posOffset>
            </wp:positionV>
            <wp:extent cx="5357495" cy="1783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5749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Plants, and Equipment</w:t>
      </w:r>
    </w:p>
    <w:p>
      <w:pPr>
        <w:spacing w:after="0" w:line="121" w:lineRule="exact"/>
        <w:rPr>
          <w:sz w:val="20"/>
          <w:szCs w:val="20"/>
          <w:color w:val="auto"/>
        </w:rPr>
      </w:pPr>
    </w:p>
    <w:p>
      <w:pPr>
        <w:ind w:left="300" w:right="639" w:firstLine="360"/>
        <w:spacing w:after="0" w:line="277" w:lineRule="auto"/>
        <w:rPr>
          <w:sz w:val="20"/>
          <w:szCs w:val="20"/>
          <w:color w:val="auto"/>
        </w:rPr>
      </w:pPr>
      <w:r>
        <w:rPr>
          <w:rFonts w:ascii="Arial" w:cs="Arial" w:eastAsia="Arial" w:hAnsi="Arial"/>
          <w:sz w:val="18"/>
          <w:szCs w:val="18"/>
          <w:color w:val="auto"/>
        </w:rPr>
        <w:t>We maintain facilities in Chattanooga, Tennessee and Bedford, Nova Scotia, and hold interests in the MDG Project in Queensland, Australia.</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Chattanooga, Tennessee</w:t>
      </w:r>
    </w:p>
    <w:p>
      <w:pPr>
        <w:spacing w:after="0" w:line="117"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As of May 1, 2021, we lease property with an area of approximately 120,000 square feet. We acquired an additional property with an area of approximately 404,000 square feet in late July 2021. These properties are used in connection with our NOVONIX Anode Materials business.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Halifax, Nova Scotia</w:t>
      </w:r>
    </w:p>
    <w:p>
      <w:pPr>
        <w:spacing w:after="0" w:line="117" w:lineRule="exact"/>
        <w:rPr>
          <w:sz w:val="20"/>
          <w:szCs w:val="20"/>
          <w:color w:val="auto"/>
        </w:rPr>
      </w:pPr>
    </w:p>
    <w:p>
      <w:pPr>
        <w:ind w:left="300" w:right="399" w:firstLine="360"/>
        <w:spacing w:after="0" w:line="342" w:lineRule="auto"/>
        <w:rPr>
          <w:sz w:val="20"/>
          <w:szCs w:val="20"/>
          <w:color w:val="auto"/>
        </w:rPr>
      </w:pPr>
      <w:r>
        <w:rPr>
          <w:rFonts w:ascii="Arial" w:cs="Arial" w:eastAsia="Arial" w:hAnsi="Arial"/>
          <w:sz w:val="16"/>
          <w:szCs w:val="16"/>
          <w:color w:val="auto"/>
        </w:rPr>
        <w:t>We own a property with an area of approximately 22,000 square feet. We also acquired a property with an area of approximately 35,000 square feet in May 2021. These properties are used in connection with our BTS business.</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We hold interests in the MDG Project, a high-grade (18%+) natural graphite deposit located in Australia, which potentially provides us with access to a natural graphite resource, if desirable in the future. Despite the favorable prospects of the MDG Project, NOVONIX had previously put any exploration and development of the MDG Project on hold. In the June 2021 quarter, management initiated a strategic review of the Mt. Dromedary high-grade graphite deposit asset in response to continued sector momentum to evaluate options for furthering exploration and development of the MDG Project.</w:t>
      </w:r>
    </w:p>
    <w:p>
      <w:pPr>
        <w:spacing w:after="0" w:line="84"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We continue to hold the MDG Project in good standing while monitoring the state of the global natural graphite market and may advance the MDG Project should the right market conditions or potential strategic transaction emerge.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We believe our facilities in Chattanooga, Tennessee, and Bedford, Nova Scotia, are adequate and suitable for our current and anticipated needs and that, should it be needed, suitable additional or alternative space will be available to accommodate our operations.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the net book values of tangible fixed assets were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As at June 30,</w:t>
            </w: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As at June 30,</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280" w:type="dxa"/>
            <w:vAlign w:val="bottom"/>
            <w:gridSpan w:val="2"/>
          </w:tcPr>
          <w:p>
            <w:pPr>
              <w:jc w:val="center"/>
              <w:ind w:left="15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53"/>
        </w:trPr>
        <w:tc>
          <w:tcPr>
            <w:tcW w:w="5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Net book value</w:t>
            </w:r>
          </w:p>
        </w:tc>
        <w:tc>
          <w:tcPr>
            <w:tcW w:w="2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Net book value</w:t>
            </w:r>
          </w:p>
        </w:tc>
        <w:tc>
          <w:tcPr>
            <w:tcW w:w="0" w:type="dxa"/>
            <w:vAlign w:val="bottom"/>
          </w:tcPr>
          <w:p>
            <w:pPr>
              <w:spacing w:after="0"/>
              <w:rPr>
                <w:sz w:val="1"/>
                <w:szCs w:val="1"/>
                <w:color w:val="auto"/>
              </w:rPr>
            </w:pPr>
          </w:p>
        </w:tc>
      </w:tr>
      <w:tr>
        <w:trPr>
          <w:trHeight w:val="186"/>
        </w:trPr>
        <w:tc>
          <w:tcPr>
            <w:tcW w:w="610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53"/>
        </w:trPr>
        <w:tc>
          <w:tcPr>
            <w:tcW w:w="58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1,053,875.00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790,011.24</w:t>
            </w:r>
          </w:p>
        </w:tc>
        <w:tc>
          <w:tcPr>
            <w:tcW w:w="0" w:type="dxa"/>
            <w:vAlign w:val="bottom"/>
          </w:tcPr>
          <w:p>
            <w:pPr>
              <w:spacing w:after="0"/>
              <w:rPr>
                <w:sz w:val="1"/>
                <w:szCs w:val="1"/>
                <w:color w:val="auto"/>
              </w:rPr>
            </w:pP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6,057,545.00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4,540,888.31</w:t>
            </w: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527,411.00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395,360.57</w:t>
            </w:r>
          </w:p>
        </w:tc>
        <w:tc>
          <w:tcPr>
            <w:tcW w:w="0" w:type="dxa"/>
            <w:vAlign w:val="bottom"/>
          </w:tcPr>
          <w:p>
            <w:pPr>
              <w:spacing w:after="0"/>
              <w:rPr>
                <w:sz w:val="1"/>
                <w:szCs w:val="1"/>
                <w:color w:val="auto"/>
              </w:rPr>
            </w:pP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Plants and Equipment</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6,186,323.00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4,637,423.54</w:t>
            </w: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 WIP</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17,735,291.00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13,308,314.09</w:t>
            </w:r>
          </w:p>
        </w:tc>
        <w:tc>
          <w:tcPr>
            <w:tcW w:w="0" w:type="dxa"/>
            <w:vAlign w:val="bottom"/>
          </w:tcPr>
          <w:p>
            <w:pPr>
              <w:spacing w:after="0"/>
              <w:rPr>
                <w:sz w:val="1"/>
                <w:szCs w:val="1"/>
                <w:color w:val="auto"/>
              </w:rPr>
            </w:pP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Total tangible fixed assets</w:t>
            </w:r>
          </w:p>
        </w:tc>
        <w:tc>
          <w:tcPr>
            <w:tcW w:w="1040" w:type="dxa"/>
            <w:vAlign w:val="bottom"/>
          </w:tcPr>
          <w:p>
            <w:pPr>
              <w:jc w:val="right"/>
              <w:spacing w:after="0"/>
              <w:rPr>
                <w:sz w:val="20"/>
                <w:szCs w:val="20"/>
                <w:color w:val="auto"/>
              </w:rPr>
            </w:pPr>
            <w:r>
              <w:rPr>
                <w:rFonts w:ascii="Arial" w:cs="Arial" w:eastAsia="Arial" w:hAnsi="Arial"/>
                <w:sz w:val="18"/>
                <w:szCs w:val="18"/>
                <w:color w:val="auto"/>
                <w:w w:val="86"/>
              </w:rPr>
              <w:t>31,578,445.00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23,671,997.75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-1216660</wp:posOffset>
            </wp:positionV>
            <wp:extent cx="1543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-1216660</wp:posOffset>
            </wp:positionV>
            <wp:extent cx="1714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32"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21"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is based upon and should be read in conjunction with our consolidated financial statements and their related notes included in this registration statement on Form 20-F.</w:t>
      </w:r>
    </w:p>
    <w:p>
      <w:pPr>
        <w:spacing w:after="0" w:line="76"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i w:val="1"/>
          <w:iCs w:val="1"/>
          <w:color w:val="auto"/>
        </w:rPr>
        <w:t>Certain information included in this discussion and analysis includes forward-looking statements that are subject to risks and uncertainties, and which may cause actual results to differ materially from those expressed or implied by such forward-looking statements. For further information on important factors that could cause our actual results to differ materially from the results described in the forward-looking statements contained in this discussion and analysis, see “Special Note Regarding Forward-Looking Statements” and “Item 3D. Risk Factors.”</w:t>
      </w:r>
    </w:p>
    <w:p>
      <w:pPr>
        <w:spacing w:after="0" w:line="157" w:lineRule="exact"/>
        <w:rPr>
          <w:sz w:val="20"/>
          <w:szCs w:val="20"/>
          <w:color w:val="auto"/>
        </w:rPr>
      </w:pPr>
    </w:p>
    <w:p>
      <w:pPr>
        <w:ind w:left="300" w:right="6979" w:hanging="8"/>
        <w:spacing w:after="0" w:line="393" w:lineRule="auto"/>
        <w:tabs>
          <w:tab w:leader="none" w:pos="651"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spacing w:after="0" w:line="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NOVONIX provides battery materials and development technology for leading battery manufacturers, materials companies, automotive original equipment manufacturers (“OEMs”) and consumer electronics manufacturers at the forefront of the global electrification economy. Our core mission is to accelerate the continued advancement and scaling of electric vehicle batteries and energy storage solutions through our advanced, proprietary technologies that deliver longer cycle life batteries at lower costs. Through our in-house technology and capabilities, as well as our front-line access to industry trends, we intend to be an industry leader, delivering what we believe to be the most advanced high performance and cost effective battery and energy storage technologies for our customers.</w:t>
      </w:r>
    </w:p>
    <w:p>
      <w:pPr>
        <w:spacing w:after="0" w:line="84" w:lineRule="exact"/>
        <w:rPr>
          <w:sz w:val="20"/>
          <w:szCs w:val="20"/>
          <w:color w:val="auto"/>
        </w:rPr>
      </w:pPr>
    </w:p>
    <w:p>
      <w:pPr>
        <w:ind w:left="300" w:right="1399" w:firstLine="360"/>
        <w:spacing w:after="0" w:line="277" w:lineRule="auto"/>
        <w:rPr>
          <w:sz w:val="20"/>
          <w:szCs w:val="20"/>
          <w:color w:val="auto"/>
        </w:rPr>
      </w:pPr>
      <w:r>
        <w:rPr>
          <w:rFonts w:ascii="Arial" w:cs="Arial" w:eastAsia="Arial" w:hAnsi="Arial"/>
          <w:sz w:val="18"/>
          <w:szCs w:val="18"/>
          <w:color w:val="auto"/>
        </w:rPr>
        <w:t xml:space="preserve">We currently operate two core businesses: </w:t>
      </w:r>
      <w:r>
        <w:rPr>
          <w:rFonts w:ascii="Arial" w:cs="Arial" w:eastAsia="Arial" w:hAnsi="Arial"/>
          <w:sz w:val="18"/>
          <w:szCs w:val="18"/>
          <w:i w:val="1"/>
          <w:iCs w:val="1"/>
          <w:color w:val="auto"/>
        </w:rPr>
        <w:t>NOVONIX Battery Technology Solutions</w:t>
      </w:r>
      <w:r>
        <w:rPr>
          <w:rFonts w:ascii="Arial" w:cs="Arial" w:eastAsia="Arial" w:hAnsi="Arial"/>
          <w:sz w:val="18"/>
          <w:szCs w:val="18"/>
          <w:color w:val="auto"/>
        </w:rPr>
        <w:t xml:space="preserve"> (“BTS”) and </w:t>
      </w:r>
      <w:r>
        <w:rPr>
          <w:rFonts w:ascii="Arial" w:cs="Arial" w:eastAsia="Arial" w:hAnsi="Arial"/>
          <w:sz w:val="18"/>
          <w:szCs w:val="18"/>
          <w:i w:val="1"/>
          <w:iCs w:val="1"/>
          <w:color w:val="auto"/>
        </w:rPr>
        <w:t xml:space="preserve">NOVONIX Anode Materials </w:t>
      </w:r>
      <w:r>
        <w:rPr>
          <w:rFonts w:ascii="Arial" w:cs="Arial" w:eastAsia="Arial" w:hAnsi="Arial"/>
          <w:sz w:val="18"/>
          <w:szCs w:val="18"/>
          <w:color w:val="auto"/>
        </w:rPr>
        <w:t>(previously known as PUREgraphite).</w:t>
      </w:r>
    </w:p>
    <w:p>
      <w:pPr>
        <w:spacing w:after="0" w:line="62" w:lineRule="exact"/>
        <w:rPr>
          <w:sz w:val="20"/>
          <w:szCs w:val="20"/>
          <w:color w:val="auto"/>
        </w:rPr>
      </w:pPr>
    </w:p>
    <w:p>
      <w:pPr>
        <w:ind w:left="300" w:right="439" w:firstLine="360"/>
        <w:spacing w:after="0" w:line="273" w:lineRule="auto"/>
        <w:rPr>
          <w:sz w:val="20"/>
          <w:szCs w:val="20"/>
          <w:color w:val="auto"/>
        </w:rPr>
      </w:pPr>
      <w:r>
        <w:rPr>
          <w:rFonts w:ascii="Arial" w:cs="Arial" w:eastAsia="Arial" w:hAnsi="Arial"/>
          <w:sz w:val="17"/>
          <w:szCs w:val="17"/>
          <w:color w:val="auto"/>
        </w:rPr>
        <w:t>BTS provides industry leading battery testing technology and research and development (“R&amp;D”) services to create next generation batteries. BTS also serves as the pillar of innovation across the NOVONIX ecosystem by creating a positive feedback loop with our NOVONIX Anode Materials business as well as our developing applications and partnerships, including our cathode materials business and our work on energy storage solutions with Emera Technologies. This collaboration helps support our continuous technological innovation and enables us to deliver best-in-class products and services for customers.</w:t>
      </w:r>
    </w:p>
    <w:p>
      <w:pPr>
        <w:spacing w:after="0" w:line="70" w:lineRule="exact"/>
        <w:rPr>
          <w:sz w:val="20"/>
          <w:szCs w:val="20"/>
          <w:color w:val="auto"/>
        </w:rPr>
      </w:pPr>
    </w:p>
    <w:p>
      <w:pPr>
        <w:ind w:left="300" w:right="499" w:firstLine="360"/>
        <w:spacing w:after="0" w:line="254" w:lineRule="auto"/>
        <w:rPr>
          <w:sz w:val="20"/>
          <w:szCs w:val="20"/>
          <w:color w:val="auto"/>
        </w:rPr>
      </w:pPr>
      <w:r>
        <w:rPr>
          <w:rFonts w:ascii="Arial" w:cs="Arial" w:eastAsia="Arial" w:hAnsi="Arial"/>
          <w:sz w:val="18"/>
          <w:szCs w:val="18"/>
          <w:color w:val="auto"/>
        </w:rPr>
        <w:t>NOVONIX Anode Materials was established with the objective of commercializing what we believe is the most advanced and cost effective anode material in the market for EV and energy storage applications. These end-markets continue to demand high performance batteries with longer life cycle, while at the same time requiring lower costs to continue to drive mass adoption. Anode materials are one of the most significant components that define the overall performance, reliability, and cycle life of the battery cell. To our knowledge, we are the only qualified U.S.-based producer of battery-grade synthetic graphite anode material and believe NOVONIX Anode Materials is well positioned to support the rapid growth in demand for these advanced anode materials in North America and globally.</w:t>
      </w:r>
    </w:p>
    <w:p>
      <w:pPr>
        <w:spacing w:after="0" w:line="84"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In addition to our two core operating businesses, NOVONIX owns the MDG Project, a natural graphite deposit in Queensland, Australia. NOVONIX had previously put any exploration and development of the MDG Project on hold. However, in the June 2021 quarter, management initiated a strategic review of the Mt. Dromedary high-grade graphite deposit asset in response to continued sector momentum to evaluate options for furthering exploration and development of the MDG Project.</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NOVONIX Battery Technology Solutions Overview</w:t>
      </w:r>
    </w:p>
    <w:p>
      <w:pPr>
        <w:spacing w:after="0" w:line="117"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BTS was founded by researchers from the research group at Dalhousie University, formerly headed by Dr. Jeff Dahn, in 2013 and acquired by us in June 2017. BTS aims to provide cutting edge battery R&amp;D capabilities and technological advantage.</w:t>
      </w:r>
    </w:p>
    <w:p>
      <w:pPr>
        <w:spacing w:after="0" w:line="76"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BTS is based in Halifax, Nova Scotia, Canada, and makes what we believe to be the most accurate lithium-ion battery cell test equipment in the world. This equipment is now used by leading battery makers and researchers and equipment manufacturers, including Panasonic, CATL, LG Chemical, Samsung SDI and numerous specialty materials, consumer electronics OEMs and automotive OEMs.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Since we acquired the business, we have significantly expanded BTS’ R&amp;D capabilities through direct investments and our long-term collaborative research agreement with Dalhousie University. BTS now has an established team of leading scientists with an internal battery cell pilot line to prototype and evaluate new materials and cell designs, and extensive battery testing capability, including our proprietary Ultra-High Precision Charger systems.</w:t>
      </w:r>
    </w:p>
    <w:p>
      <w:pPr>
        <w:spacing w:after="0" w:line="80"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In fiscal year 2021, BTS’ revenues from contracts with customers grew by 23%, compared to fiscal year 2020, due to an increase in sales in the battery consulting division of the business.</w:t>
      </w:r>
    </w:p>
    <w:p>
      <w:pPr>
        <w:spacing w:after="0" w:line="62"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We recently expanded our property used in connection with our BTS business to approximately 22,000 square feet (from approximately 13,500 square feet). We also acquired a property with an area of approximately 35,000 square feet in May 2021 for use in our BTS business.</w:t>
      </w:r>
    </w:p>
    <w:p>
      <w:pPr>
        <w:spacing w:after="0" w:line="76"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BTS is increasing investment in the intellectual property developed around cathode synthesis technologies that we believe could enable a substantial reduction in the cost of producing high energy density (high-nickel based) cathode materials. We have filed two patent applications which are actively in process around this technology and established a small scale pilot line for development of the technology.</w:t>
      </w:r>
    </w:p>
    <w:p>
      <w:pPr>
        <w:spacing w:after="0" w:line="63" w:lineRule="exact"/>
        <w:rPr>
          <w:sz w:val="20"/>
          <w:szCs w:val="20"/>
          <w:color w:val="auto"/>
        </w:rPr>
      </w:pPr>
    </w:p>
    <w:p>
      <w:pPr>
        <w:ind w:left="300" w:right="579" w:firstLine="360"/>
        <w:spacing w:after="0" w:line="311" w:lineRule="auto"/>
        <w:rPr>
          <w:sz w:val="20"/>
          <w:szCs w:val="20"/>
          <w:color w:val="auto"/>
        </w:rPr>
      </w:pPr>
      <w:r>
        <w:rPr>
          <w:rFonts w:ascii="Arial" w:cs="Arial" w:eastAsia="Arial" w:hAnsi="Arial"/>
          <w:sz w:val="16"/>
          <w:szCs w:val="16"/>
          <w:color w:val="auto"/>
        </w:rPr>
        <w:t>BTS expects to leverage its battery cell pilot line and cell testing capabilities to further expand the dedicated cathode development team and install larger scale pilot synthesis capabilities in order to demonstrate the manufacturability of the technology along with the performance in industrial format lithium-ion cells.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NOVONIX Anode Materials Overview</w:t>
      </w:r>
    </w:p>
    <w:p>
      <w:pPr>
        <w:spacing w:after="0" w:line="117"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NOVONIX Anode Materials (formerly PUREgraphite LLC) was established in March 2017 as a joint venture to develop and commercialize ultra-high purity high performance graphite anode material for the lithium-ion battery market focused on electric vehicles, energy storage and specialty applications. In fiscal year 2019, we exercised our call option, pursuant to which we acquired all of our joint venture partner’s interest in NOVONIX Anode Materials and increased our ownership to 100%.</w:t>
      </w:r>
    </w:p>
    <w:p>
      <w:pPr>
        <w:spacing w:after="0" w:line="80" w:lineRule="exact"/>
        <w:rPr>
          <w:sz w:val="20"/>
          <w:szCs w:val="20"/>
          <w:color w:val="auto"/>
        </w:rPr>
      </w:pPr>
    </w:p>
    <w:p>
      <w:pPr>
        <w:ind w:left="300" w:right="659" w:firstLine="360"/>
        <w:spacing w:after="0" w:line="263" w:lineRule="auto"/>
        <w:rPr>
          <w:sz w:val="20"/>
          <w:szCs w:val="20"/>
          <w:color w:val="auto"/>
        </w:rPr>
      </w:pPr>
      <w:r>
        <w:rPr>
          <w:rFonts w:ascii="Arial" w:cs="Arial" w:eastAsia="Arial" w:hAnsi="Arial"/>
          <w:sz w:val="18"/>
          <w:szCs w:val="18"/>
          <w:color w:val="auto"/>
        </w:rPr>
        <w:t>NOVONIX Anode Materials exclusively owns all graphite-related intellectual property of its former joint venture partner and has the ongoing exclusivity of its CEO for the development of graphite products and battery anode materials using that technology.</w:t>
      </w:r>
    </w:p>
    <w:p>
      <w:pPr>
        <w:spacing w:after="0" w:line="76" w:lineRule="exact"/>
        <w:rPr>
          <w:sz w:val="20"/>
          <w:szCs w:val="20"/>
          <w:color w:val="auto"/>
        </w:rPr>
      </w:pPr>
    </w:p>
    <w:p>
      <w:pPr>
        <w:ind w:left="300" w:right="539" w:firstLine="360"/>
        <w:spacing w:after="0" w:line="286" w:lineRule="auto"/>
        <w:rPr>
          <w:sz w:val="20"/>
          <w:szCs w:val="20"/>
          <w:color w:val="auto"/>
        </w:rPr>
      </w:pPr>
      <w:r>
        <w:rPr>
          <w:rFonts w:ascii="Arial" w:cs="Arial" w:eastAsia="Arial" w:hAnsi="Arial"/>
          <w:sz w:val="17"/>
          <w:szCs w:val="17"/>
          <w:color w:val="auto"/>
        </w:rPr>
        <w:t>This intellectual property includes innovative high-performance graphite anode materials (demonstrated in internal testing to outperform leading materials currently in the market) and production methods that we expect to deliver production costs significantly lower than existing producers.</w:t>
      </w:r>
    </w:p>
    <w:p>
      <w:pPr>
        <w:spacing w:after="0" w:line="57"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In fiscal year 2019, based on customer interest, we decided to expand into commercial-scale premises, and NOVONIX Anode Materials began the relocation of existing plant, equipment and personnel to a larger dedicated facility in Chattanooga, Tennessee, referred to as “Corporate Place”.</w:t>
      </w:r>
    </w:p>
    <w:p>
      <w:pPr>
        <w:spacing w:after="0" w:line="76"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In October 2019, we signed a non-binding memorandum of understanding with SANYO Electric to investigate the opportunity to supply our anode materials for use in lithium-ion battery technology. As of July 2021, the first mass production materials from the Generation 2 furnace system have been shipped to SANYO Electric for qualification.</w:t>
      </w:r>
    </w:p>
    <w:p>
      <w:pPr>
        <w:spacing w:after="0" w:line="79" w:lineRule="exact"/>
        <w:rPr>
          <w:sz w:val="20"/>
          <w:szCs w:val="20"/>
          <w:color w:val="auto"/>
        </w:rPr>
      </w:pPr>
    </w:p>
    <w:p>
      <w:pPr>
        <w:ind w:left="300" w:right="499" w:firstLine="360"/>
        <w:spacing w:after="0" w:line="275" w:lineRule="auto"/>
        <w:rPr>
          <w:sz w:val="20"/>
          <w:szCs w:val="20"/>
          <w:color w:val="auto"/>
        </w:rPr>
      </w:pPr>
      <w:r>
        <w:rPr>
          <w:rFonts w:ascii="Arial" w:cs="Arial" w:eastAsia="Arial" w:hAnsi="Arial"/>
          <w:sz w:val="17"/>
          <w:szCs w:val="17"/>
          <w:color w:val="auto"/>
        </w:rPr>
        <w:t>In December 2019, NOVONIX Anode Materials signed a non-binding memorandum of understanding with Samsung SDI under which the parties aim to agree to the purchase of NOVONIX anode materials. The agreement provides for an initial 500 tonnes of our synthetic graphite material, subject to the satisfaction of Samsung SDI’s quality assurance processes and an audit of supplier processes fulfillment. We expect to begin delivering materials under this agreement later in calendar year 2021.</w:t>
      </w:r>
    </w:p>
    <w:p>
      <w:pPr>
        <w:spacing w:after="0" w:line="68"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On July 28, 2021, we completed the purchase of an approximately 404,000 square-foot facility in Chattanooga, Tennessee, “Riverside” (locally referred to as “Big Blue”).</w:t>
      </w:r>
    </w:p>
    <w:p>
      <w:pPr>
        <w:spacing w:after="0" w:line="62"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NOVONIX Anode Materials is currently expanding the production capacity of its facilities in Chattanooga, Tennessee, and continues to review sites to assist our efforts to expand our production capacity to 10,000 tonnes per year. With our existing cash and cash equivalents, we believe that we have the funds to allow expansion of our production capacity to an expected 10,000 tonnes per year by 2023. We believe our recently consummated Phillips 66 Transaction will help support a capacity expansion of an additional 30,000 tonnes per year, which is expected to be completed by 2025.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In April 2021, we completed the installation of the first Generation 2 furnace developed through this collaboration and have recently begun production of materials in that Generation 2 system for internal testing and to support customer qualification requirements. We have not yet completed installation of any Generation 3 furnace systems. Our ability to produce at increased capacity is largely dependent upon Harper manufacturing and supplying, and our successful implementation of, either Generation 2 or Generation 3 furnace systems, as well as an increase in staffing focused on plant design and engineering.</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MDG Project Overview</w:t>
      </w:r>
    </w:p>
    <w:p>
      <w:pPr>
        <w:spacing w:after="0" w:line="117"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color w:val="auto"/>
        </w:rPr>
        <w:t>The MDG Project is a high-grade (18%+) natural graphite deposit located in an established mining region in Queensland, Australia, which potentially provides us with access to a natural graphite resource, if desirable in the future. Despite the favorable prospects of this project, NOVONIX had previously put any exploration and development of the MDG Project on hold. In the June 2021 quarter, management initiated a strategic review of the Mt. Dromedary high-grade graphite deposit asset in response to continued sector momentum to evaluate options for furthering exploration and development of the MDG Project.</w:t>
      </w:r>
    </w:p>
    <w:p>
      <w:pPr>
        <w:spacing w:after="0" w:line="70"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We continue to hold the MDG Project in good standing while monitoring the state of the global natural graphite market and may advance the MDG Project should the right market conditions or potential strategic transaction emerge.</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Overview of Financials</w:t>
      </w:r>
    </w:p>
    <w:p>
      <w:pPr>
        <w:spacing w:after="0" w:line="117"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The Group has incurred operating losses since 2013. Our ability to generate product revenue sufficient to achieve profitability will be dependent on our ability to begin significant production and commercialization of NOVONIX Anode Materials business’ synthetic graphite product. Accordingly, we expect to continue to incur significant expenses as we continue to scale production of our synthetic graphite product, the majority of which will be associated with planned production equipment spend. We expect to incur significant additional costs associated with operating as a public company in the United States, including additional legal, accounting, investor relations, compliance and other expenses.</w:t>
      </w:r>
    </w:p>
    <w:p>
      <w:pPr>
        <w:spacing w:after="0" w:line="8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if ever, as we can generate sufficient revenue from synthetic graphite sales, we expect to finance our operations through the issue of equity, debt financings, or other capital sources, which may include collaborations with other companies or other strategic transactions as well as U.S. government financing support and tax incentives. We may be unable to raise additional funds or enter into such other agreements or arrangements when needed on favorable terms. If we fail to raise capital or enter into such agreements as and when needed, we may have to significantly delay, scale back or discontinue the development and commercialization of our synthetic graphite product. See “Risk Factors—</w:t>
      </w:r>
      <w:r>
        <w:rPr>
          <w:rFonts w:ascii="Arial" w:cs="Arial" w:eastAsia="Arial" w:hAnsi="Arial"/>
          <w:sz w:val="17"/>
          <w:szCs w:val="17"/>
          <w:b w:val="1"/>
          <w:bCs w:val="1"/>
          <w:i w:val="1"/>
          <w:iCs w:val="1"/>
          <w:color w:val="auto"/>
        </w:rPr>
        <w:t>We may need to obtain funding from time to time to finance our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growth and operations, which may not be available on acceptable terms, or at all. If we are unable to raise capital when needed, we may be forced to delay, reduce or eliminate certain operations, and we may be unable to adequately control their costs.</w:t>
      </w:r>
      <w:r>
        <w:rPr>
          <w:rFonts w:ascii="Arial" w:cs="Arial" w:eastAsia="Arial" w:hAnsi="Arial"/>
          <w:sz w:val="17"/>
          <w:szCs w:val="17"/>
          <w:color w:val="auto"/>
        </w:rPr>
        <w:t>”</w:t>
      </w:r>
    </w:p>
    <w:p>
      <w:pPr>
        <w:spacing w:after="0" w:line="74" w:lineRule="exact"/>
        <w:rPr>
          <w:sz w:val="20"/>
          <w:szCs w:val="20"/>
          <w:color w:val="auto"/>
        </w:rPr>
      </w:pPr>
    </w:p>
    <w:p>
      <w:pPr>
        <w:ind w:left="300" w:right="459" w:firstLine="360"/>
        <w:spacing w:after="0" w:line="254" w:lineRule="auto"/>
        <w:rPr>
          <w:sz w:val="20"/>
          <w:szCs w:val="20"/>
          <w:color w:val="auto"/>
        </w:rPr>
      </w:pPr>
      <w:r>
        <w:rPr>
          <w:rFonts w:ascii="Arial" w:cs="Arial" w:eastAsia="Arial" w:hAnsi="Arial"/>
          <w:sz w:val="18"/>
          <w:szCs w:val="18"/>
          <w:color w:val="auto"/>
        </w:rPr>
        <w:t>Because of the numerous risks and uncertainties associated with the commercialization of battery-grade materials, we are unable to predict the timing or amount of increased expenses or when or if we will be able to achieve or maintain profitability. Even if we are able to generate product sales, we may never become profitable. If we fail to become profitable or are unable to sustain profitability on a continuing basis, then we may be unable to continue our operations at planned levels and be forced to scale back or discontinue our operations. See “Risk Factors—</w:t>
      </w:r>
      <w:r>
        <w:rPr>
          <w:rFonts w:ascii="Arial" w:cs="Arial" w:eastAsia="Arial" w:hAnsi="Arial"/>
          <w:sz w:val="18"/>
          <w:szCs w:val="18"/>
          <w:b w:val="1"/>
          <w:bCs w:val="1"/>
          <w:i w:val="1"/>
          <w:iCs w:val="1"/>
          <w:color w:val="auto"/>
        </w:rPr>
        <w:t>We have a history of financial losses and expect to incur significant expenses and continuing losses in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the near future.</w:t>
      </w:r>
      <w:r>
        <w:rPr>
          <w:rFonts w:ascii="Arial" w:cs="Arial" w:eastAsia="Arial" w:hAnsi="Arial"/>
          <w:sz w:val="18"/>
          <w:szCs w:val="18"/>
          <w:color w:val="auto"/>
        </w:rPr>
        <w:t>”</w:t>
      </w:r>
    </w:p>
    <w:p>
      <w:pPr>
        <w:spacing w:after="0" w:line="87"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As of September 30, 2021, we had cash and cash equivalents of A$290,971,003 (US$218,119,193). This number is unaudited and does not present all information necessary for an understanding of our financial condition as of September 30, 2021 and our results of operations for the three months ended September 30, 2021. PwC has not audited, reviewed, compiled or performed any procedures with respect to these results and does not express an opinion or any other form of assurance with respect thereto. Based upon our current operating plan, we believe that our existing cash and cash equivalents will enable us to fund our currently expected working capital and capital expenditure requirements, including those necessary to achieve our planned capacity expansion to an expected 10,000 tonnes per year by early 2023. We believe our recently consummated Phillips 66 Transaction will help support a capacity expansion of an additional 30,000 tonnes per year, which 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381" w:lineRule="auto"/>
        <w:rPr>
          <w:sz w:val="20"/>
          <w:szCs w:val="20"/>
          <w:color w:val="auto"/>
        </w:rPr>
      </w:pPr>
      <w:r>
        <w:rPr>
          <w:rFonts w:ascii="Arial" w:cs="Arial" w:eastAsia="Arial" w:hAnsi="Arial"/>
          <w:sz w:val="15"/>
          <w:szCs w:val="15"/>
          <w:color w:val="auto"/>
        </w:rPr>
        <w:t>expected to be completed by 2025. We have based these estimates on assumptions that may prove to be wrong, and we could exhaust our available capital resources sooner than we expect. See “—Liquidity and Capital Resources.”</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Our segments consist of Graphite and Mining Exploration, Battery Technology (BTS) and Battery Materials (NOVONIX Anode Materials). We do not believe that the presentation by segment of profit or loss and other comprehensive income for the periods presented is meaningful to investors. However, in order to comply with the requirement to discuss significant components of revenue and expenses, and to enable investors to understand the consolidated amounts, where applicable we have provided a discussion along segmental lines. As a result, the discussion and analysis of segments is integrated with the discussion of the consolidated amounts to avoid confusion and duplication of disclosure.</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NOVONIX Battery Technology Solutions. Revenue from contracts with customers is contributed through two primary BTS business lines: 1) hardware sales and 2) consulting services. Our customers include leading battery makers and researchers and equipment manufacturers, including Panasonic, CATL, LG Chemical, Samsung SDI and numerous specialty materials, consumer electronics OEMs and automotive OEMs.</w:t>
      </w:r>
    </w:p>
    <w:p>
      <w:pPr>
        <w:spacing w:after="0" w:line="63"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When we sell battery testing equipment, we enter into a contract with our customers covering the price, specifications, delivery dates and warranty for the products being purchased, among other things. Our contractual delivery periods vary, but are typically about three months. Contracts for battery testing equipment can range in value based on the amount of equipment provided and the duration of the contract. Revenue from the sales of BTS hardware is recognized at the point in time when the hardware is delivered, the legal title has passed and the customer has accepted the hardware.</w:t>
      </w:r>
    </w:p>
    <w:p>
      <w:pPr>
        <w:spacing w:after="0" w:line="84"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The consulting services division provides battery cell design, testing, implementation and support services under fixed and variable price contracts. Contracts for services can range in value based on the duration and scope of the engagement. Revenue from providing services is recognized in the reporting period in which the services are rendered. For fixed-price contracts, revenue is recognized based on the actual service provided to the end of the reporting period based on the resources allocated, costs incurred and actual labor hours spent within the billing period.</w:t>
      </w:r>
    </w:p>
    <w:p>
      <w:pPr>
        <w:spacing w:after="0" w:line="84" w:lineRule="exact"/>
        <w:rPr>
          <w:sz w:val="20"/>
          <w:szCs w:val="20"/>
          <w:color w:val="auto"/>
        </w:rPr>
      </w:pPr>
    </w:p>
    <w:p>
      <w:pPr>
        <w:ind w:left="300" w:right="619" w:firstLine="360"/>
        <w:spacing w:after="0" w:line="311" w:lineRule="auto"/>
        <w:rPr>
          <w:sz w:val="20"/>
          <w:szCs w:val="20"/>
          <w:color w:val="auto"/>
        </w:rPr>
      </w:pPr>
      <w:r>
        <w:rPr>
          <w:rFonts w:ascii="Arial" w:cs="Arial" w:eastAsia="Arial" w:hAnsi="Arial"/>
          <w:sz w:val="16"/>
          <w:szCs w:val="16"/>
          <w:color w:val="auto"/>
        </w:rPr>
        <w:t>Where the contracts include multiple performance obligations, we allocate revenue based on the transaction price to each performance obligation based on the stand-alone selling price for that obligation. Where these performance obligations are not directly observable, they are estimated based on expected cost plus margin.</w:t>
      </w:r>
    </w:p>
    <w:p>
      <w:pPr>
        <w:spacing w:after="0" w:line="4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Our BTS revenue is affected by changes in the price, volume and mix of products and services purchased by BTS’ customers. The price and volume of our products is driven by the demand for our products, changes in product mix between equipment and services, geographic mix of our customers, and strength of competitors’ product offerings.</w:t>
      </w:r>
    </w:p>
    <w:p>
      <w:pPr>
        <w:spacing w:after="0" w:line="79"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NOVONIX Anode Materials. As of the date of this registration statement, we have not generated any revenue from sale of synthetic graphite. If our commercialization efforts for our synthetic graphite product are successful, we may generate revenue from the sale of our synthetic graphite materials. In addition, if we enter into additional collaboration, partnership or license agreements with third parties, we may generate revenue in the future from payments from such collaboration or license agreements or a combination of product sales and those payments.</w:t>
      </w:r>
    </w:p>
    <w:p>
      <w:pPr>
        <w:spacing w:after="0" w:line="53"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MDG Project. As of the date of this registration statement, we have not generated any revenue from sale of natural graphite. We do not expect any revenue from our interests in the MDG Project in the near future. However, in the June 2021 quarter, management initiated a strategic review of the Mt. Dromedary high-grade graphite deposit asset in response to continued sector momentum to evaluate options for furthering exploration and development of the MDG Project.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Other income is primarily comprised of interest income and grant revenue. Interest income is recognized as interest accrues using the effective interest method. This is a method of calculating the amortized cost of a financial asset and allocating the interest income over the relevant period using the effective interest rate, which is the rate that discounts estimated future cash receipts through the expected life of the financial asset to the net carrying amount of the financial asset. Grants from government bodies are recognized at their fair value where there is a reasonable assurance that the grant will be received and that we are able to comply with all conditions for receipt of the grant. Other income also includes gains on revaluation of previously held equity method investments, which can be recognized when we obtain control over the equity method investee.</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ind w:left="300" w:right="559" w:firstLine="360"/>
        <w:spacing w:after="0" w:line="311" w:lineRule="auto"/>
        <w:rPr>
          <w:sz w:val="20"/>
          <w:szCs w:val="20"/>
          <w:color w:val="auto"/>
        </w:rPr>
      </w:pPr>
      <w:r>
        <w:rPr>
          <w:rFonts w:ascii="Arial" w:cs="Arial" w:eastAsia="Arial" w:hAnsi="Arial"/>
          <w:sz w:val="16"/>
          <w:szCs w:val="16"/>
          <w:color w:val="auto"/>
        </w:rPr>
        <w:t>Cost of goods sold consists of product costs, including purchased materials and components, as well as costs related to shipping, which, as at the date of this registration statement, have been in connection with our BTS business only. Our product costs are affected by the underlying cost of raw materials and component costs.</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Administrative and Other Expenses</w:t>
      </w:r>
    </w:p>
    <w:p>
      <w:pPr>
        <w:spacing w:after="0" w:line="117" w:lineRule="exact"/>
        <w:rPr>
          <w:sz w:val="20"/>
          <w:szCs w:val="20"/>
          <w:color w:val="auto"/>
        </w:rPr>
      </w:pPr>
    </w:p>
    <w:p>
      <w:pPr>
        <w:ind w:left="300" w:right="919" w:firstLine="360"/>
        <w:spacing w:after="0" w:line="277" w:lineRule="auto"/>
        <w:rPr>
          <w:sz w:val="20"/>
          <w:szCs w:val="20"/>
          <w:color w:val="auto"/>
        </w:rPr>
      </w:pPr>
      <w:r>
        <w:rPr>
          <w:rFonts w:ascii="Arial" w:cs="Arial" w:eastAsia="Arial" w:hAnsi="Arial"/>
          <w:sz w:val="18"/>
          <w:szCs w:val="18"/>
          <w:color w:val="auto"/>
        </w:rPr>
        <w:t>Administrative and other expenses consist primarily of travel expenses, facilities costs, audit, legal, tax, insurance, information technology and other costs.</w:t>
      </w:r>
    </w:p>
    <w:p>
      <w:pPr>
        <w:spacing w:after="0" w:line="62"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We expect to incur additional audit, tax, accounting, legal and other costs related to compliance with applicable securities and other regulations, as well as additional insurance, investor relations and other costs associated with being a public company in the United States. In addition, if we cease to qualify as a foreign private issuer in the future, we would expect that we would incur additional expenses as a domestic reporting company in the United States. Deferred share issuance costs, which consist primarily of direct and incremental legal and advisory fees related to the Company’s previously announced proposed public capital raising activities in the US, of A$2,175,347 were capitalized in prepayments on the consolidated balance sheet as at June 30, 2021. As our plans with respect to our public capital raising activities in the US are delayed, these costs will be expensed. See “Risk Factors—</w:t>
      </w:r>
      <w:r>
        <w:rPr>
          <w:rFonts w:ascii="Arial" w:cs="Arial" w:eastAsia="Arial" w:hAnsi="Arial"/>
          <w:sz w:val="16"/>
          <w:szCs w:val="16"/>
          <w:b w:val="1"/>
          <w:bCs w:val="1"/>
          <w:i w:val="1"/>
          <w:iCs w:val="1"/>
          <w:color w:val="auto"/>
        </w:rPr>
        <w:t>We may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lose our foreign private issuer status in the future, which could result in significant additional cost and expense.</w:t>
      </w:r>
      <w:r>
        <w:rPr>
          <w:rFonts w:ascii="Arial" w:cs="Arial" w:eastAsia="Arial" w:hAnsi="Arial"/>
          <w:sz w:val="16"/>
          <w:szCs w:val="16"/>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Borrowing Costs</w:t>
      </w:r>
    </w:p>
    <w:p>
      <w:pPr>
        <w:spacing w:after="0" w:line="117" w:lineRule="exact"/>
        <w:rPr>
          <w:sz w:val="20"/>
          <w:szCs w:val="20"/>
          <w:color w:val="auto"/>
        </w:rPr>
      </w:pPr>
    </w:p>
    <w:p>
      <w:pPr>
        <w:ind w:left="300" w:right="979" w:firstLine="360"/>
        <w:spacing w:after="0" w:line="277" w:lineRule="auto"/>
        <w:rPr>
          <w:sz w:val="20"/>
          <w:szCs w:val="20"/>
          <w:color w:val="auto"/>
        </w:rPr>
      </w:pPr>
      <w:r>
        <w:rPr>
          <w:rFonts w:ascii="Arial" w:cs="Arial" w:eastAsia="Arial" w:hAnsi="Arial"/>
          <w:sz w:val="18"/>
          <w:szCs w:val="18"/>
          <w:color w:val="auto"/>
        </w:rPr>
        <w:t>Borrowing costs are recognized in the profit or loss statement in the reporting period in which they are incurred.</w:t>
      </w:r>
    </w:p>
    <w:p>
      <w:pPr>
        <w:spacing w:after="0" w:line="62"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Borrowing costs consist primarily of interest accrued on loan notes and borrowings, loss on redemption of loan notes and unwinding of fair value gains.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17"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At the end of each reporting period, the Group assesses whether there is any indication that an asset may be impaired. The assessment includes the consideration of external and internal sources of information, including dividends received from subsidiaries, associates or joint ventures deemed to be out of pre-acquisition profits. If such an indication exists, an impairment test is carried out on the asset by comparing the recoverable amount of the asset, being the higher of the asset’s fair value less costs of disposal and value in use, to the asset’s carrying amount. Any excess of the assets carrying amount over its recoverable amount is recognized immediately in profit or loss, unless the asset is carried at a revalued amount in accordance with another accounting standard. Any impairment loss of a revalued asset is treated as a revaluation decrease in accordance with that other accounting standard.</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Depreciation expense consists of costs associated with property, plant and equipment (“PP&amp;E”) which are depreciated over their expected useful lives. We expect that as we increase both our revenues and the number of our general and administrative personnel, we will invest in additional PP&amp;E to support our growth resulting in additional depreciation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Amortization expense consists of costs associated with technology intangible assets other than goodwill, which are amortized over their expected useful lives.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 and Project Development Costs</w:t>
      </w:r>
    </w:p>
    <w:p>
      <w:pPr>
        <w:spacing w:after="0" w:line="117" w:lineRule="exact"/>
        <w:rPr>
          <w:sz w:val="20"/>
          <w:szCs w:val="20"/>
          <w:color w:val="auto"/>
        </w:rPr>
      </w:pPr>
    </w:p>
    <w:p>
      <w:pPr>
        <w:jc w:val="both"/>
        <w:ind w:left="300" w:right="1059" w:firstLine="360"/>
        <w:spacing w:after="0" w:line="263" w:lineRule="auto"/>
        <w:rPr>
          <w:sz w:val="20"/>
          <w:szCs w:val="20"/>
          <w:color w:val="auto"/>
        </w:rPr>
      </w:pPr>
      <w:r>
        <w:rPr>
          <w:rFonts w:ascii="Arial" w:cs="Arial" w:eastAsia="Arial" w:hAnsi="Arial"/>
          <w:sz w:val="18"/>
          <w:szCs w:val="18"/>
          <w:color w:val="auto"/>
        </w:rPr>
        <w:t>Marketing and project development costs primarily represent the Group’s investment in research and development activities. At present, our research and development activities are conducted through our two businesses: BTS and NOVONIX Anode Materials.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 Based Compensation</w:t>
      </w:r>
    </w:p>
    <w:p>
      <w:pPr>
        <w:spacing w:after="0" w:line="117" w:lineRule="exact"/>
        <w:rPr>
          <w:sz w:val="20"/>
          <w:szCs w:val="20"/>
          <w:color w:val="auto"/>
        </w:rPr>
      </w:pPr>
    </w:p>
    <w:p>
      <w:pPr>
        <w:jc w:val="both"/>
        <w:ind w:left="300" w:right="779" w:firstLine="360"/>
        <w:spacing w:after="0" w:line="263" w:lineRule="auto"/>
        <w:rPr>
          <w:sz w:val="20"/>
          <w:szCs w:val="20"/>
          <w:color w:val="auto"/>
        </w:rPr>
      </w:pPr>
      <w:r>
        <w:rPr>
          <w:rFonts w:ascii="Arial" w:cs="Arial" w:eastAsia="Arial" w:hAnsi="Arial"/>
          <w:sz w:val="18"/>
          <w:szCs w:val="18"/>
          <w:color w:val="auto"/>
        </w:rPr>
        <w:t>Equity-settled share-based compensation benefits are provided to directors and employees. Equity-settled transactions are awards of shares, options or performance rights over shares, that are provided to directors and employees in exchange for the rendering of services.</w:t>
      </w:r>
    </w:p>
    <w:p>
      <w:pPr>
        <w:spacing w:after="0" w:line="76"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The Group measures the cost of equity settled transactions with employees by reference to the fair value of the equity instruments at the date at which they are granted. The fair value is determined by using either a binomial or Monte Carlo option pricing model taking into account the terms and conditions upon which the instruments were granted. The accounting estimates and assumptions, including share price volatility, interest rates and vesting periods would have no impact on the carrying amounts of assets and liabilities within the next annual reporting period but may impact the profit or loss and equity.</w:t>
      </w:r>
    </w:p>
    <w:p>
      <w:pPr>
        <w:spacing w:after="0" w:line="84"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The cost of equity-settled transactions are recognized as an expense with a corresponding increase in equity over the vesting period. The cumulative charge to profit or loss is calculated based on the grant date fair value of the award, the best estimate of the number of awards that are likely to vest and the expired portion of the vesting period. The amount recognized in profit or loss for the reporting period is the cumulative amount calculated at each reporting date less amounts already recognized in previous reporting periods.</w:t>
      </w:r>
    </w:p>
    <w:p>
      <w:pPr>
        <w:spacing w:after="0" w:line="68"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Share-based payment expenses are recognized over the period during which the employee provides the relevant services. This period may commence prior to the formal grant date, such as where the granting of options or performance rights are subject to shareholder approval. In this situation, the entity estimates the grant date fair value of the equity instruments for the purposes of recognizing an expense for the services received during the period between service commencement date and grant date. Once the grant date has been established, the fair value of the equity instrument is calculated, and the earlier estimate is revised so that the amount recognized for services received is ultimately based on the grant date fair value of the equity instruments. Where there is a difference between the estimated grant date fair value and the actual grant date fair value, adjusting entries are recognized in share based payment expense and the share based payment reserve.</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Employee Benefits Expense</w:t>
      </w:r>
    </w:p>
    <w:p>
      <w:pPr>
        <w:spacing w:after="0" w:line="117"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Employee benefits expenses consists of fixed annual remuneration, short term incentives and long term incentives. Employees receive their fixed annual remuneration as cash. Short term incentives are payable on achievement of mutually agreed KPIs each fiscal year with short term incentives being payable in either cash or by way of the issue of fully paid ordinary shares. The Company has historically paid short term incentives as cash.</w:t>
      </w:r>
    </w:p>
    <w:p>
      <w:pPr>
        <w:spacing w:after="0" w:line="49" w:lineRule="exact"/>
        <w:rPr>
          <w:sz w:val="20"/>
          <w:szCs w:val="20"/>
          <w:color w:val="auto"/>
        </w:rPr>
      </w:pPr>
    </w:p>
    <w:p>
      <w:pPr>
        <w:ind w:left="300" w:right="739" w:firstLine="360"/>
        <w:spacing w:after="0" w:line="308" w:lineRule="auto"/>
        <w:rPr>
          <w:sz w:val="20"/>
          <w:szCs w:val="20"/>
          <w:color w:val="auto"/>
        </w:rPr>
      </w:pPr>
      <w:r>
        <w:rPr>
          <w:rFonts w:ascii="Arial" w:cs="Arial" w:eastAsia="Arial" w:hAnsi="Arial"/>
          <w:sz w:val="17"/>
          <w:szCs w:val="17"/>
          <w:color w:val="auto"/>
        </w:rPr>
        <w:t>At the Board’s discretion, employees are invited to participate in the Long Term Incentive Program which comprises one-off grants of options and/or performance rights, with varying vesting conditions.</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left="300" w:right="459" w:firstLine="360"/>
        <w:spacing w:after="0" w:line="259" w:lineRule="auto"/>
        <w:rPr>
          <w:sz w:val="20"/>
          <w:szCs w:val="20"/>
          <w:color w:val="auto"/>
        </w:rPr>
      </w:pPr>
      <w:r>
        <w:rPr>
          <w:rFonts w:ascii="Arial" w:cs="Arial" w:eastAsia="Arial" w:hAnsi="Arial"/>
          <w:sz w:val="18"/>
          <w:szCs w:val="18"/>
          <w:color w:val="auto"/>
        </w:rPr>
        <w:t>The income tax expense or benefit for the reporting period is the tax payable on that period’s taxable income based on the applicable income tax rate for each jurisdiction, adjusted by the changes in deferred tax assets and liabilities attributable to temporary differences, unused tax losses and the adjustment recognized for prior reporting periods, where applicable.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819" w:firstLine="360"/>
        <w:spacing w:after="0" w:line="263" w:lineRule="auto"/>
        <w:rPr>
          <w:sz w:val="20"/>
          <w:szCs w:val="20"/>
          <w:color w:val="auto"/>
        </w:rPr>
      </w:pPr>
      <w:r>
        <w:rPr>
          <w:rFonts w:ascii="Arial" w:cs="Arial" w:eastAsia="Arial" w:hAnsi="Arial"/>
          <w:sz w:val="18"/>
          <w:szCs w:val="18"/>
          <w:color w:val="auto"/>
        </w:rPr>
        <w:t>Deferred tax assets and liabilities are recognized for temporary differences at the tax rates expected to be applied when the assets are recovered or liabilities are settled, based on those tax rates that are enacted or substantively enacted, except for:</w:t>
      </w:r>
    </w:p>
    <w:p>
      <w:pPr>
        <w:spacing w:after="0" w:line="76" w:lineRule="exact"/>
        <w:rPr>
          <w:sz w:val="20"/>
          <w:szCs w:val="20"/>
          <w:color w:val="auto"/>
        </w:rPr>
      </w:pPr>
    </w:p>
    <w:p>
      <w:pPr>
        <w:ind w:left="1000" w:right="31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When the deferred income tax asset or liability arises from the initial recognition of goodwill or an asset or liability in a transaction that is not a business combination and that, at the time of the transaction, affects neither the accounting nor taxable profits; or</w:t>
      </w:r>
    </w:p>
    <w:p>
      <w:pPr>
        <w:spacing w:after="0" w:line="75" w:lineRule="exact"/>
        <w:rPr>
          <w:rFonts w:ascii="Arial" w:cs="Arial" w:eastAsia="Arial" w:hAnsi="Arial"/>
          <w:sz w:val="18"/>
          <w:szCs w:val="18"/>
          <w:color w:val="auto"/>
        </w:rPr>
      </w:pPr>
    </w:p>
    <w:p>
      <w:pPr>
        <w:ind w:left="1000" w:right="49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When the taxable temporary difference is associated with interests in subsidiaries, associates or joint ventures, and the timing of the reversal can be controlled and it is probable that the temporary difference will not reverse in the foreseeable future.</w:t>
      </w:r>
    </w:p>
    <w:p>
      <w:pPr>
        <w:spacing w:after="0" w:line="76" w:lineRule="exact"/>
        <w:rPr>
          <w:sz w:val="20"/>
          <w:szCs w:val="20"/>
          <w:color w:val="auto"/>
        </w:rPr>
      </w:pPr>
    </w:p>
    <w:p>
      <w:pPr>
        <w:ind w:left="300" w:right="799" w:firstLine="360"/>
        <w:spacing w:after="0" w:line="342" w:lineRule="auto"/>
        <w:rPr>
          <w:sz w:val="20"/>
          <w:szCs w:val="20"/>
          <w:color w:val="auto"/>
        </w:rPr>
      </w:pPr>
      <w:r>
        <w:rPr>
          <w:rFonts w:ascii="Arial" w:cs="Arial" w:eastAsia="Arial" w:hAnsi="Arial"/>
          <w:sz w:val="16"/>
          <w:szCs w:val="16"/>
          <w:color w:val="auto"/>
        </w:rPr>
        <w:t>Deferred tax assets are recognized for deductible temporary differences and unused tax losses only if it is probable that future taxable amounts will be available to utilize those temporary differences and losses.</w:t>
      </w:r>
    </w:p>
    <w:p>
      <w:pPr>
        <w:spacing w:after="0" w:line="16" w:lineRule="exact"/>
        <w:rPr>
          <w:sz w:val="20"/>
          <w:szCs w:val="20"/>
          <w:color w:val="auto"/>
        </w:rPr>
      </w:pPr>
    </w:p>
    <w:p>
      <w:pPr>
        <w:jc w:val="both"/>
        <w:ind w:left="300" w:right="419" w:firstLine="360"/>
        <w:spacing w:after="0" w:line="301" w:lineRule="auto"/>
        <w:rPr>
          <w:sz w:val="20"/>
          <w:szCs w:val="20"/>
          <w:color w:val="auto"/>
        </w:rPr>
      </w:pPr>
      <w:r>
        <w:rPr>
          <w:rFonts w:ascii="Arial" w:cs="Arial" w:eastAsia="Arial" w:hAnsi="Arial"/>
          <w:sz w:val="16"/>
          <w:szCs w:val="16"/>
          <w:color w:val="auto"/>
        </w:rPr>
        <w:t>The carrying amount of recognized and unrecognized deferred tax assets are reviewed at each reporting date. Deferred tax assets recognized are reduced to the extent that it is no longer probable that future taxable profits will be available for the carrying amount to be recovered. Previously unrecognized deferred tax assets are recognized to the extent that it is probable that there are future taxable profits available to recover the asset.</w:t>
      </w:r>
    </w:p>
    <w:p>
      <w:pPr>
        <w:spacing w:after="0" w:line="49"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Deferred tax assets and liabilities are offset only where there is a legally enforceable right to offset current tax assets against current tax liabilities and deferred tax assets against deferred tax liabilities; and they relate to the same taxable authority on either the same taxable entity or different taxable entities which intend to settle simultaneously.</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 for the Fiscal Years Ended June 30, 2021 and 2020</w:t>
      </w:r>
    </w:p>
    <w:p>
      <w:pPr>
        <w:spacing w:after="0" w:line="121" w:lineRule="exact"/>
        <w:rPr>
          <w:sz w:val="20"/>
          <w:szCs w:val="20"/>
          <w:color w:val="auto"/>
        </w:rPr>
      </w:pPr>
    </w:p>
    <w:p>
      <w:pPr>
        <w:ind w:left="300" w:right="1359" w:firstLine="360"/>
        <w:spacing w:after="0" w:line="277" w:lineRule="auto"/>
        <w:rPr>
          <w:sz w:val="20"/>
          <w:szCs w:val="20"/>
          <w:color w:val="auto"/>
        </w:rPr>
      </w:pPr>
      <w:r>
        <w:rPr>
          <w:rFonts w:ascii="Arial" w:cs="Arial" w:eastAsia="Arial" w:hAnsi="Arial"/>
          <w:sz w:val="18"/>
          <w:szCs w:val="18"/>
          <w:color w:val="auto"/>
        </w:rPr>
        <w:t>The following table sets forth a summary of our consolidated statement of profit or loss and other comprehensive income for the periods presented.</w:t>
      </w:r>
    </w:p>
    <w:p>
      <w:pPr>
        <w:spacing w:after="0" w:line="121"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June 30</w:t>
            </w:r>
          </w:p>
        </w:tc>
      </w:tr>
      <w:tr>
        <w:trPr>
          <w:trHeight w:val="23"/>
        </w:trPr>
        <w:tc>
          <w:tcPr>
            <w:tcW w:w="6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73"/>
        </w:trPr>
        <w:tc>
          <w:tcPr>
            <w:tcW w:w="6260" w:type="dxa"/>
            <w:vAlign w:val="bottom"/>
          </w:tcPr>
          <w:p>
            <w:pPr>
              <w:spacing w:after="0"/>
              <w:rPr>
                <w:sz w:val="15"/>
                <w:szCs w:val="15"/>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116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186"/>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220"/>
              <w:spacing w:after="0"/>
              <w:rPr>
                <w:sz w:val="20"/>
                <w:szCs w:val="20"/>
                <w:color w:val="auto"/>
              </w:rPr>
            </w:pPr>
            <w:r>
              <w:rPr>
                <w:rFonts w:ascii="Arial" w:cs="Arial" w:eastAsia="Arial" w:hAnsi="Arial"/>
                <w:sz w:val="14"/>
                <w:szCs w:val="14"/>
                <w:b w:val="1"/>
                <w:bCs w:val="1"/>
                <w:color w:val="auto"/>
              </w:rPr>
              <w:t>A$</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w:t>
            </w:r>
          </w:p>
        </w:tc>
      </w:tr>
      <w:tr>
        <w:trPr>
          <w:trHeight w:val="39"/>
        </w:trPr>
        <w:tc>
          <w:tcPr>
            <w:tcW w:w="6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8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Revenue from contracts with customers</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5,227,347</w:t>
            </w: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4,253,435</w:t>
            </w: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 (exclusive of depreciation presented separately)</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(969,774)</w:t>
            </w:r>
          </w:p>
        </w:tc>
        <w:tc>
          <w:tcPr>
            <w:tcW w:w="12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(1,245,187)</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Administrative and other expenses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7"/>
              </w:rPr>
              <w:t>(3,945,829)</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(2,739,398)</w:t>
            </w: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(229,394)</w:t>
            </w:r>
          </w:p>
        </w:tc>
        <w:tc>
          <w:tcPr>
            <w:tcW w:w="12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(5,330,961)</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Impairment losses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7"/>
              </w:rPr>
              <w:t>(2,764,940)</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(1,697,754)</w:t>
            </w:r>
          </w:p>
        </w:tc>
        <w:tc>
          <w:tcPr>
            <w:tcW w:w="12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(1,380,303)</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Marketing and project development costs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7"/>
              </w:rPr>
              <w:t>(2,809,984)</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(2,423,546)</w:t>
            </w: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(5,948,532)</w:t>
            </w:r>
          </w:p>
        </w:tc>
        <w:tc>
          <w:tcPr>
            <w:tcW w:w="12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(7,558,953)</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Employee benefits expense</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7"/>
              </w:rPr>
              <w:t>(5,837,926)</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(4,072,223)</w:t>
            </w: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net losses of joint ventures</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Foreign currency gain/(loss)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(83,943)</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(376,267)</w:t>
            </w: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984,652</w:t>
            </w:r>
          </w:p>
        </w:tc>
        <w:tc>
          <w:tcPr>
            <w:tcW w:w="12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844,877</w:t>
            </w:r>
          </w:p>
        </w:tc>
      </w:tr>
      <w:tr>
        <w:trPr>
          <w:trHeight w:val="256"/>
        </w:trPr>
        <w:tc>
          <w:tcPr>
            <w:tcW w:w="626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88"/>
              </w:rPr>
              <w:t>(18,076,077)</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(20,028,526)</w:t>
            </w: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626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88"/>
              </w:rPr>
              <w:t>(18,076,077)</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(20,028,526)</w:t>
            </w:r>
          </w:p>
        </w:tc>
      </w:tr>
      <w:tr>
        <w:trPr>
          <w:trHeight w:val="41"/>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for the year, net of tax</w:t>
            </w: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8"/>
                <w:szCs w:val="18"/>
                <w:i w:val="1"/>
                <w:iCs w:val="1"/>
                <w:color w:val="auto"/>
              </w:rPr>
              <w:t>Items that may be reclassified to profit or loss</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1"/>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differences on translation of foreign operations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(2,101,097)</w:t>
            </w:r>
          </w:p>
        </w:tc>
        <w:tc>
          <w:tcPr>
            <w:tcW w:w="12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550,243</w:t>
            </w:r>
          </w:p>
        </w:tc>
      </w:tr>
      <w:tr>
        <w:trPr>
          <w:trHeight w:val="34"/>
        </w:trPr>
        <w:tc>
          <w:tcPr>
            <w:tcW w:w="6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7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88"/>
              </w:rPr>
              <w:t>(20,177,174)</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(19,478,283)</w:t>
            </w:r>
          </w:p>
        </w:tc>
      </w:tr>
      <w:tr>
        <w:trPr>
          <w:trHeight w:val="20"/>
        </w:trPr>
        <w:tc>
          <w:tcPr>
            <w:tcW w:w="6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0"/>
        </w:trPr>
        <w:tc>
          <w:tcPr>
            <w:tcW w:w="6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14"/>
                <w:szCs w:val="14"/>
                <w:b w:val="1"/>
                <w:bCs w:val="1"/>
                <w:color w:val="auto"/>
              </w:rPr>
              <w:t>Cents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Cents</w:t>
            </w:r>
          </w:p>
        </w:tc>
      </w:tr>
      <w:tr>
        <w:trPr>
          <w:trHeight w:val="39"/>
        </w:trPr>
        <w:tc>
          <w:tcPr>
            <w:tcW w:w="62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32"/>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Earnings/(loss) per share from continuing operations attributable to the</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55"/>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ordinary equity holders of NOVONIX:</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Basic earnings/(loss) per share</w:t>
            </w:r>
          </w:p>
        </w:tc>
        <w:tc>
          <w:tcPr>
            <w:tcW w:w="1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6"/>
              </w:rPr>
              <w:t>(4.9 cents)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(14.7 cents)</w:t>
            </w: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earnings/(loss) per share</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(4.9 cents)</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(14.7 cents)</w:t>
            </w:r>
          </w:p>
        </w:tc>
      </w:tr>
      <w:tr>
        <w:trPr>
          <w:trHeight w:val="54"/>
        </w:trPr>
        <w:tc>
          <w:tcPr>
            <w:tcW w:w="62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-4782820</wp:posOffset>
            </wp:positionV>
            <wp:extent cx="1885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-4782820</wp:posOffset>
            </wp:positionV>
            <wp:extent cx="93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-719455</wp:posOffset>
            </wp:positionV>
            <wp:extent cx="2228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-719455</wp:posOffset>
            </wp:positionV>
            <wp:extent cx="1200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left="300" w:right="459" w:firstLine="360"/>
        <w:spacing w:after="0" w:line="311" w:lineRule="auto"/>
        <w:rPr>
          <w:sz w:val="20"/>
          <w:szCs w:val="20"/>
          <w:color w:val="auto"/>
        </w:rPr>
      </w:pPr>
      <w:r>
        <w:rPr>
          <w:rFonts w:ascii="Arial" w:cs="Arial" w:eastAsia="Arial" w:hAnsi="Arial"/>
          <w:sz w:val="16"/>
          <w:szCs w:val="16"/>
          <w:color w:val="auto"/>
        </w:rPr>
        <w:t>Revenue from contracts with customers was A$5,227,347 for the year ended June 30, 2021, compared to A$4,253,435 for the year ended June 30, 2020. The increase was largely due to an increase in demand for the growing service offerings from the consulting division of our BTS business from both existing and new customers.</w:t>
      </w:r>
    </w:p>
    <w:p>
      <w:pPr>
        <w:spacing w:after="0" w:line="41"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The following tables present the disaggregated revenue streams for the years ended June 30, 2021 and June 30, 2020.</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7"/>
              </w:rPr>
              <w:t>Graphite</w:t>
            </w: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Battery</w:t>
            </w:r>
          </w:p>
        </w:tc>
        <w:tc>
          <w:tcPr>
            <w:tcW w:w="8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Battery</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1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Mining and</w:t>
            </w:r>
          </w:p>
        </w:tc>
        <w:tc>
          <w:tcPr>
            <w:tcW w:w="940" w:type="dxa"/>
            <w:vAlign w:val="bottom"/>
            <w:gridSpan w:val="3"/>
            <w:vMerge w:val="continue"/>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Year Ended June 30, 2021</w:t>
            </w:r>
          </w:p>
        </w:tc>
        <w:tc>
          <w:tcPr>
            <w:tcW w:w="220" w:type="dxa"/>
            <w:vAlign w:val="bottom"/>
          </w:tcPr>
          <w:p>
            <w:pPr>
              <w:spacing w:after="0"/>
              <w:rPr>
                <w:sz w:val="12"/>
                <w:szCs w:val="12"/>
                <w:color w:val="auto"/>
              </w:rPr>
            </w:pPr>
          </w:p>
        </w:tc>
        <w:tc>
          <w:tcPr>
            <w:tcW w:w="9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exploration</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Technology</w:t>
            </w:r>
          </w:p>
        </w:tc>
        <w:tc>
          <w:tcPr>
            <w:tcW w:w="8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Materials</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6"/>
                <w:szCs w:val="16"/>
                <w:color w:val="auto"/>
              </w:rPr>
            </w:pPr>
          </w:p>
        </w:tc>
        <w:tc>
          <w:tcPr>
            <w:tcW w:w="6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A$</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w:t>
            </w:r>
          </w:p>
        </w:tc>
        <w:tc>
          <w:tcPr>
            <w:tcW w:w="0" w:type="dxa"/>
            <w:vAlign w:val="bottom"/>
          </w:tcPr>
          <w:p>
            <w:pPr>
              <w:spacing w:after="0"/>
              <w:rPr>
                <w:sz w:val="1"/>
                <w:szCs w:val="1"/>
                <w:color w:val="auto"/>
              </w:rPr>
            </w:pPr>
          </w:p>
        </w:tc>
      </w:tr>
      <w:tr>
        <w:trPr>
          <w:trHeight w:val="53"/>
        </w:trPr>
        <w:tc>
          <w:tcPr>
            <w:tcW w:w="47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Hardware sales</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1,405,086</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1,405,086</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Consulting sales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3,822,261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3,822,261</w:t>
            </w:r>
          </w:p>
        </w:tc>
        <w:tc>
          <w:tcPr>
            <w:tcW w:w="0" w:type="dxa"/>
            <w:vAlign w:val="bottom"/>
          </w:tcPr>
          <w:p>
            <w:pPr>
              <w:spacing w:after="0"/>
              <w:rPr>
                <w:sz w:val="1"/>
                <w:szCs w:val="1"/>
                <w:color w:val="auto"/>
              </w:rPr>
            </w:pPr>
          </w:p>
        </w:tc>
      </w:tr>
      <w:tr>
        <w:trPr>
          <w:trHeight w:val="48"/>
        </w:trPr>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5,227,347</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5,227,347</w:t>
            </w: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Arial" w:cs="Arial" w:eastAsia="Arial" w:hAnsi="Arial"/>
                <w:sz w:val="18"/>
                <w:szCs w:val="18"/>
                <w:color w:val="auto"/>
              </w:rPr>
              <w:t>Timing of revenue recognition</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1,405,086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1,405,086</w:t>
            </w: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At a point in time</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spacing w:after="0"/>
              <w:rPr>
                <w:sz w:val="21"/>
                <w:szCs w:val="21"/>
                <w:color w:val="auto"/>
              </w:rPr>
            </w:pPr>
          </w:p>
        </w:tc>
        <w:tc>
          <w:tcPr>
            <w:tcW w:w="7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3,822,261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3,822,261</w:t>
            </w:r>
          </w:p>
        </w:tc>
        <w:tc>
          <w:tcPr>
            <w:tcW w:w="0" w:type="dxa"/>
            <w:vAlign w:val="bottom"/>
          </w:tcPr>
          <w:p>
            <w:pPr>
              <w:spacing w:after="0"/>
              <w:rPr>
                <w:sz w:val="1"/>
                <w:szCs w:val="1"/>
                <w:color w:val="auto"/>
              </w:rPr>
            </w:pPr>
          </w:p>
        </w:tc>
      </w:tr>
      <w:tr>
        <w:trPr>
          <w:trHeight w:val="48"/>
        </w:trPr>
        <w:tc>
          <w:tcPr>
            <w:tcW w:w="4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Arial" w:cs="Arial" w:eastAsia="Arial" w:hAnsi="Arial"/>
                <w:sz w:val="18"/>
                <w:szCs w:val="18"/>
                <w:color w:val="auto"/>
              </w:rPr>
              <w:t>Over time</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22"/>
                <w:szCs w:val="22"/>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5,227,347</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5,227,347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7"/>
              </w:rPr>
              <w:t>Graphite</w:t>
            </w: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Battery</w:t>
            </w:r>
          </w:p>
        </w:tc>
        <w:tc>
          <w:tcPr>
            <w:tcW w:w="8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Battery</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1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Mining and</w:t>
            </w:r>
          </w:p>
        </w:tc>
        <w:tc>
          <w:tcPr>
            <w:tcW w:w="940" w:type="dxa"/>
            <w:vAlign w:val="bottom"/>
            <w:gridSpan w:val="3"/>
            <w:vMerge w:val="continue"/>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Year Ended June 30, 2020</w:t>
            </w:r>
          </w:p>
        </w:tc>
        <w:tc>
          <w:tcPr>
            <w:tcW w:w="220" w:type="dxa"/>
            <w:vAlign w:val="bottom"/>
          </w:tcPr>
          <w:p>
            <w:pPr>
              <w:spacing w:after="0"/>
              <w:rPr>
                <w:sz w:val="12"/>
                <w:szCs w:val="12"/>
                <w:color w:val="auto"/>
              </w:rPr>
            </w:pPr>
          </w:p>
        </w:tc>
        <w:tc>
          <w:tcPr>
            <w:tcW w:w="9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exploration</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Technology</w:t>
            </w:r>
          </w:p>
        </w:tc>
        <w:tc>
          <w:tcPr>
            <w:tcW w:w="8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Materials</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6"/>
                <w:szCs w:val="16"/>
                <w:color w:val="auto"/>
              </w:rPr>
            </w:pPr>
          </w:p>
        </w:tc>
        <w:tc>
          <w:tcPr>
            <w:tcW w:w="6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A$</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w:t>
            </w:r>
          </w:p>
        </w:tc>
        <w:tc>
          <w:tcPr>
            <w:tcW w:w="0" w:type="dxa"/>
            <w:vAlign w:val="bottom"/>
          </w:tcPr>
          <w:p>
            <w:pPr>
              <w:spacing w:after="0"/>
              <w:rPr>
                <w:sz w:val="1"/>
                <w:szCs w:val="1"/>
                <w:color w:val="auto"/>
              </w:rPr>
            </w:pPr>
          </w:p>
        </w:tc>
      </w:tr>
      <w:tr>
        <w:trPr>
          <w:trHeight w:val="53"/>
        </w:trPr>
        <w:tc>
          <w:tcPr>
            <w:tcW w:w="47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Hardware sales</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2,113,416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2,113,416</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Consulting sales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2,140,019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2,140,019</w:t>
            </w:r>
          </w:p>
        </w:tc>
        <w:tc>
          <w:tcPr>
            <w:tcW w:w="0" w:type="dxa"/>
            <w:vAlign w:val="bottom"/>
          </w:tcPr>
          <w:p>
            <w:pPr>
              <w:spacing w:after="0"/>
              <w:rPr>
                <w:sz w:val="1"/>
                <w:szCs w:val="1"/>
                <w:color w:val="auto"/>
              </w:rPr>
            </w:pPr>
          </w:p>
        </w:tc>
      </w:tr>
      <w:tr>
        <w:trPr>
          <w:trHeight w:val="48"/>
        </w:trPr>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4,253,435</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4,253,435</w:t>
            </w: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Arial" w:cs="Arial" w:eastAsia="Arial" w:hAnsi="Arial"/>
                <w:sz w:val="18"/>
                <w:szCs w:val="18"/>
                <w:color w:val="auto"/>
              </w:rPr>
              <w:t>Timing of revenue recognition</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2,113,416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2,113,416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At a point in time</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spacing w:after="0"/>
              <w:rPr>
                <w:sz w:val="21"/>
                <w:szCs w:val="21"/>
                <w:color w:val="auto"/>
              </w:rPr>
            </w:pPr>
          </w:p>
        </w:tc>
        <w:tc>
          <w:tcPr>
            <w:tcW w:w="7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2,140,019</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2,140,019</w:t>
            </w:r>
          </w:p>
        </w:tc>
        <w:tc>
          <w:tcPr>
            <w:tcW w:w="0" w:type="dxa"/>
            <w:vAlign w:val="bottom"/>
          </w:tcPr>
          <w:p>
            <w:pPr>
              <w:spacing w:after="0"/>
              <w:rPr>
                <w:sz w:val="1"/>
                <w:szCs w:val="1"/>
                <w:color w:val="auto"/>
              </w:rPr>
            </w:pPr>
          </w:p>
        </w:tc>
      </w:tr>
      <w:tr>
        <w:trPr>
          <w:trHeight w:val="48"/>
        </w:trPr>
        <w:tc>
          <w:tcPr>
            <w:tcW w:w="4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0"/>
                <w:szCs w:val="20"/>
                <w:color w:val="auto"/>
              </w:rPr>
            </w:pPr>
            <w:r>
              <w:rPr>
                <w:rFonts w:ascii="Arial" w:cs="Arial" w:eastAsia="Arial" w:hAnsi="Arial"/>
                <w:sz w:val="18"/>
                <w:szCs w:val="18"/>
                <w:color w:val="auto"/>
              </w:rPr>
              <w:t>Over time</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22"/>
                <w:szCs w:val="22"/>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4,253,435</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4,253,435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-2896870</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-2896870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-2896870</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-2896870</wp:posOffset>
            </wp:positionV>
            <wp:extent cx="137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-1165225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-1165225</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-1165225</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-1165225</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300" w:right="619" w:firstLine="360"/>
        <w:spacing w:after="0" w:line="342" w:lineRule="auto"/>
        <w:rPr>
          <w:sz w:val="20"/>
          <w:szCs w:val="20"/>
          <w:color w:val="auto"/>
        </w:rPr>
      </w:pPr>
      <w:r>
        <w:rPr>
          <w:rFonts w:ascii="Arial" w:cs="Arial" w:eastAsia="Arial" w:hAnsi="Arial"/>
          <w:sz w:val="16"/>
          <w:szCs w:val="16"/>
          <w:color w:val="auto"/>
        </w:rPr>
        <w:t>Other income was A$984,652 for the year ended June 30, 2021, compared to A$844,877 for the year ended June 30, 2020. The slight increase was primarily due to increased grant funding related to COVID-19.</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Cost of goods sold was A$969,774 for the year ended June 30, 2020, compared to A$1,245,187 for the year ended June 30, 2021. This decrease in cost of goods sold is primarily a result of the growth in revenue from the consulting service side of our BTS business which operates with lower cost of goods sold than the sale of hardware.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Administrative and Other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Administrative and other expenses were A$3,945,829 for the year ended June 30, 2021, compared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A$2,739,398 for the year ended June 30, 2020. This increase was primarily due to increases in compliance costs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professional fees required to support the business as it continues to grow and further invest in product development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capacity expansion activities including costs associated with preparation for the U.S. listing. Other expenses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included within administrative and other expenses for which significant increases were recorded between fiscal year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2020 and fiscal year 2021 was ASX compliance costs (increase from A$ 81,842 to A$260,522), insurance premiums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(increase from A$234,544 to A$383,941), directors fees from A$150,450 to A$308,930 and share registry and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investor relations services from A$33,390 to $300,041.</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Borrowing Costs</w:t>
      </w:r>
    </w:p>
    <w:p>
      <w:pPr>
        <w:spacing w:after="0" w:line="117" w:lineRule="exact"/>
        <w:rPr>
          <w:sz w:val="20"/>
          <w:szCs w:val="20"/>
          <w:color w:val="auto"/>
        </w:rPr>
      </w:pPr>
    </w:p>
    <w:p>
      <w:pPr>
        <w:ind w:left="300" w:right="699" w:firstLine="360"/>
        <w:spacing w:after="0" w:line="277" w:lineRule="auto"/>
        <w:rPr>
          <w:sz w:val="20"/>
          <w:szCs w:val="20"/>
          <w:color w:val="auto"/>
        </w:rPr>
      </w:pPr>
      <w:r>
        <w:rPr>
          <w:rFonts w:ascii="Arial" w:cs="Arial" w:eastAsia="Arial" w:hAnsi="Arial"/>
          <w:sz w:val="18"/>
          <w:szCs w:val="18"/>
          <w:color w:val="auto"/>
        </w:rPr>
        <w:t>Borrowing costs were A$229,394 for the year ended June 30, 2021, compared to A$5,330,961 for the year ended June 30, 2020.</w:t>
      </w:r>
    </w:p>
    <w:p>
      <w:pPr>
        <w:spacing w:after="0" w:line="62" w:lineRule="exact"/>
        <w:rPr>
          <w:sz w:val="20"/>
          <w:szCs w:val="20"/>
          <w:color w:val="auto"/>
        </w:rPr>
      </w:pPr>
    </w:p>
    <w:p>
      <w:pPr>
        <w:ind w:left="300" w:right="599" w:firstLine="360"/>
        <w:spacing w:after="0" w:line="308" w:lineRule="auto"/>
        <w:rPr>
          <w:sz w:val="20"/>
          <w:szCs w:val="20"/>
          <w:color w:val="auto"/>
        </w:rPr>
      </w:pPr>
      <w:r>
        <w:rPr>
          <w:rFonts w:ascii="Arial" w:cs="Arial" w:eastAsia="Arial" w:hAnsi="Arial"/>
          <w:sz w:val="17"/>
          <w:szCs w:val="17"/>
          <w:color w:val="auto"/>
        </w:rPr>
        <w:t>During fiscal year 2020, we simplified our capital structure through the redemption of convertible notes and repayment of short-term loans. This resulted in a loss on redemption of the convertible loan notes of</w:t>
      </w:r>
    </w:p>
    <w:p>
      <w:pPr>
        <w:sectPr>
          <w:pgSz w:w="11900" w:h="16838" w:orient="portrait"/>
          <w:cols w:equalWidth="0" w:num="1">
            <w:col w:w="9019"/>
          </w:cols>
          <w:pgMar w:left="1440" w:top="265"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color w:val="auto"/>
        </w:rPr>
        <w:t>A$1,765,353 being recognized within borrowing costs, being the difference between the fair value and the carrying value of the convertible loan notes at settlement date.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accrued on convertible loan notes decreased from A$3,062,598 in fiscal year 2020 to nil in fiscal year</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2021 because there are no convertible loan notes on issue post the redemption of convertible notes in fiscal year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2020.</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17" w:lineRule="exact"/>
        <w:rPr>
          <w:sz w:val="20"/>
          <w:szCs w:val="20"/>
          <w:color w:val="auto"/>
        </w:rPr>
      </w:pPr>
    </w:p>
    <w:p>
      <w:pPr>
        <w:ind w:left="300" w:right="1079" w:firstLine="360"/>
        <w:spacing w:after="0" w:line="277" w:lineRule="auto"/>
        <w:rPr>
          <w:sz w:val="20"/>
          <w:szCs w:val="20"/>
          <w:color w:val="auto"/>
        </w:rPr>
      </w:pPr>
      <w:r>
        <w:rPr>
          <w:rFonts w:ascii="Arial" w:cs="Arial" w:eastAsia="Arial" w:hAnsi="Arial"/>
          <w:sz w:val="18"/>
          <w:szCs w:val="18"/>
          <w:color w:val="auto"/>
        </w:rPr>
        <w:t>An impairment loss of A$2,764,940 was recognized in the year ended June 30, 2021, compared to no impairment losses for the year ended June 30, 2020.</w:t>
      </w:r>
    </w:p>
    <w:p>
      <w:pPr>
        <w:spacing w:after="0" w:line="62"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In the year ended June 30, 2021, we recognized an impairment loss of A$2,764,940 relating to redundant furnace technology which was replaced with new proprietary furnace technology under our strategic alliance with Harper International Corporation. The impairment loss represents the net book value of fixed assets written off.</w:t>
      </w:r>
    </w:p>
    <w:p>
      <w:pPr>
        <w:spacing w:after="0" w:line="41" w:lineRule="exact"/>
        <w:rPr>
          <w:sz w:val="20"/>
          <w:szCs w:val="20"/>
          <w:color w:val="auto"/>
        </w:rPr>
      </w:pPr>
    </w:p>
    <w:p>
      <w:pPr>
        <w:ind w:left="300" w:right="639" w:firstLine="360"/>
        <w:spacing w:after="0" w:line="342" w:lineRule="auto"/>
        <w:rPr>
          <w:sz w:val="20"/>
          <w:szCs w:val="20"/>
          <w:color w:val="auto"/>
        </w:rPr>
      </w:pPr>
      <w:r>
        <w:rPr>
          <w:rFonts w:ascii="Arial" w:cs="Arial" w:eastAsia="Arial" w:hAnsi="Arial"/>
          <w:sz w:val="16"/>
          <w:szCs w:val="16"/>
          <w:color w:val="auto"/>
        </w:rPr>
        <w:t>Our Directors have assessed that for the exploration and evaluation assets remaining recognized at June 30, 2021, the facts and circumstances do not suggest that the carrying amount may exceed its recoverable amount.</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impairment losses recognized in the years ended June 30, 2021 and June 30, 2020.</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1180" w:type="dxa"/>
            <w:vAlign w:val="bottom"/>
            <w:gridSpan w:val="2"/>
          </w:tcPr>
          <w:p>
            <w:pPr>
              <w:jc w:val="center"/>
              <w:ind w:left="284"/>
              <w:spacing w:after="0"/>
              <w:rPr>
                <w:sz w:val="20"/>
                <w:szCs w:val="20"/>
                <w:color w:val="auto"/>
              </w:rPr>
            </w:pPr>
            <w:r>
              <w:rPr>
                <w:rFonts w:ascii="Arial" w:cs="Arial" w:eastAsia="Arial" w:hAnsi="Arial"/>
                <w:sz w:val="14"/>
                <w:szCs w:val="14"/>
                <w:b w:val="1"/>
                <w:bCs w:val="1"/>
                <w:color w:val="auto"/>
                <w:w w:val="92"/>
              </w:rPr>
              <w:t>Consolidated</w:t>
            </w:r>
          </w:p>
        </w:tc>
        <w:tc>
          <w:tcPr>
            <w:tcW w:w="360" w:type="dxa"/>
            <w:vAlign w:val="bottom"/>
          </w:tcPr>
          <w:p>
            <w:pPr>
              <w:spacing w:after="0"/>
              <w:rPr>
                <w:sz w:val="16"/>
                <w:szCs w:val="16"/>
                <w:color w:val="auto"/>
              </w:rPr>
            </w:pPr>
          </w:p>
        </w:tc>
      </w:tr>
      <w:tr>
        <w:trPr>
          <w:trHeight w:val="53"/>
        </w:trPr>
        <w:tc>
          <w:tcPr>
            <w:tcW w:w="6880" w:type="dxa"/>
            <w:vAlign w:val="bottom"/>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r>
      <w:tr>
        <w:trPr>
          <w:trHeight w:val="224"/>
        </w:trPr>
        <w:tc>
          <w:tcPr>
            <w:tcW w:w="688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 June 30</w:t>
            </w:r>
          </w:p>
        </w:tc>
      </w:tr>
      <w:tr>
        <w:trPr>
          <w:trHeight w:val="53"/>
        </w:trPr>
        <w:tc>
          <w:tcPr>
            <w:tcW w:w="68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187"/>
        </w:trPr>
        <w:tc>
          <w:tcPr>
            <w:tcW w:w="68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186"/>
        </w:trPr>
        <w:tc>
          <w:tcPr>
            <w:tcW w:w="68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A$</w:t>
            </w:r>
          </w:p>
        </w:tc>
      </w:tr>
      <w:tr>
        <w:trPr>
          <w:trHeight w:val="53"/>
        </w:trPr>
        <w:tc>
          <w:tcPr>
            <w:tcW w:w="68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7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2,764,940</w:t>
            </w:r>
          </w:p>
        </w:tc>
        <w:tc>
          <w:tcPr>
            <w:tcW w:w="38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54"/>
        </w:trPr>
        <w:tc>
          <w:tcPr>
            <w:tcW w:w="68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-222250</wp:posOffset>
            </wp:positionV>
            <wp:extent cx="2400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-222250</wp:posOffset>
            </wp:positionV>
            <wp:extent cx="1200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and amortization expenses were A$1,697,754 for the year ended June 30, 2021, compared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A$1,380,303 for the year ended June 30, 2020. The increase was largely due to an increase in PP&amp;E from</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A$9,620,797 for the year ended June 30, 2020, to A$31,578,445 for the year ended June 30, 2021, which primarily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related to the expansion of our production facilities in Chattanooga, Tennessee.</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 and Project Development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Marketing and project development costs were A$2,809,984 for the year ended June 30, 2021, compared to</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A$2,423,546 for the year ended June 30, 2020. The increase was largely due to increased investment in product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technology development for our NOVONIX Anode Materials business.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 Based Compensation</w:t>
      </w:r>
    </w:p>
    <w:p>
      <w:pPr>
        <w:spacing w:after="0" w:line="117"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Share based compensation was A$5,948,532 for the year ended June 30, 2021, compared to A$7,558,953 for the year ended June 30, 2020. As part of the fiscal year 2020 capital raise, the Group obtained agreement from holders of a total of 40,500,000 options to cancel the options for no consideration. The cancellation of the options resulted in an acceleration of the share-based payment expense, with the unexpensed portion of the share option fair values being expensed in full at the date of cancellation. The accelerated expense amounted to A$1,189,081.</w:t>
      </w:r>
    </w:p>
    <w:p>
      <w:pPr>
        <w:spacing w:after="0" w:line="53"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The following table presents the composition of share based payments expense for the years ended June 30, 2021 and June 30,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Consolidated</w:t>
            </w:r>
          </w:p>
        </w:tc>
      </w:tr>
      <w:tr>
        <w:trPr>
          <w:trHeight w:val="52"/>
        </w:trPr>
        <w:tc>
          <w:tcPr>
            <w:tcW w:w="6500" w:type="dxa"/>
            <w:vAlign w:val="bottom"/>
          </w:tcPr>
          <w:p>
            <w:pPr>
              <w:spacing w:after="0"/>
              <w:rPr>
                <w:sz w:val="4"/>
                <w:szCs w:val="4"/>
                <w:color w:val="auto"/>
              </w:rPr>
            </w:pPr>
          </w:p>
        </w:tc>
        <w:tc>
          <w:tcPr>
            <w:tcW w:w="1920" w:type="dxa"/>
            <w:vAlign w:val="bottom"/>
            <w:tcBorders>
              <w:bottom w:val="single" w:sz="8" w:color="auto"/>
            </w:tcBorders>
            <w:gridSpan w:val="3"/>
          </w:tcPr>
          <w:p>
            <w:pPr>
              <w:spacing w:after="0"/>
              <w:rPr>
                <w:sz w:val="4"/>
                <w:szCs w:val="4"/>
                <w:color w:val="auto"/>
              </w:rPr>
            </w:pPr>
          </w:p>
        </w:tc>
      </w:tr>
      <w:tr>
        <w:trPr>
          <w:trHeight w:val="225"/>
        </w:trPr>
        <w:tc>
          <w:tcPr>
            <w:tcW w:w="6500" w:type="dxa"/>
            <w:vAlign w:val="bottom"/>
          </w:tcPr>
          <w:p>
            <w:pPr>
              <w:spacing w:after="0"/>
              <w:rPr>
                <w:sz w:val="19"/>
                <w:szCs w:val="19"/>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 June 30</w:t>
            </w:r>
          </w:p>
        </w:tc>
      </w:tr>
      <w:tr>
        <w:trPr>
          <w:trHeight w:val="53"/>
        </w:trPr>
        <w:tc>
          <w:tcPr>
            <w:tcW w:w="65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7"/>
        </w:trPr>
        <w:tc>
          <w:tcPr>
            <w:tcW w:w="650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186"/>
        </w:trPr>
        <w:tc>
          <w:tcPr>
            <w:tcW w:w="650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A$</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w:t>
            </w:r>
          </w:p>
        </w:tc>
      </w:tr>
      <w:tr>
        <w:trPr>
          <w:trHeight w:val="52"/>
        </w:trPr>
        <w:tc>
          <w:tcPr>
            <w:tcW w:w="65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97"/>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based payments expense</w:t>
            </w:r>
          </w:p>
        </w:tc>
        <w:tc>
          <w:tcPr>
            <w:tcW w:w="7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r>
      <w:tr>
        <w:trPr>
          <w:trHeight w:val="256"/>
        </w:trPr>
        <w:tc>
          <w:tcPr>
            <w:tcW w:w="6500" w:type="dxa"/>
            <w:vAlign w:val="bottom"/>
          </w:tcPr>
          <w:p>
            <w:pPr>
              <w:spacing w:after="0"/>
              <w:rPr>
                <w:sz w:val="20"/>
                <w:szCs w:val="20"/>
                <w:color w:val="auto"/>
              </w:rPr>
            </w:pPr>
            <w:r>
              <w:rPr>
                <w:rFonts w:ascii="Arial" w:cs="Arial" w:eastAsia="Arial" w:hAnsi="Arial"/>
                <w:sz w:val="18"/>
                <w:szCs w:val="18"/>
                <w:color w:val="auto"/>
              </w:rPr>
              <w:t>Performance rights granted</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2,952,676</w:t>
            </w:r>
          </w:p>
        </w:tc>
        <w:tc>
          <w:tcPr>
            <w:tcW w:w="4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78,362</w:t>
            </w:r>
          </w:p>
        </w:tc>
      </w:tr>
      <w:tr>
        <w:trPr>
          <w:trHeight w:val="41"/>
        </w:trPr>
        <w:tc>
          <w:tcPr>
            <w:tcW w:w="6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77"/>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2,995,856</w:t>
            </w: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6,291,510</w:t>
            </w:r>
          </w:p>
        </w:tc>
      </w:tr>
      <w:tr>
        <w:trPr>
          <w:trHeight w:val="256"/>
        </w:trPr>
        <w:tc>
          <w:tcPr>
            <w:tcW w:w="6500" w:type="dxa"/>
            <w:vAlign w:val="bottom"/>
          </w:tcPr>
          <w:p>
            <w:pPr>
              <w:spacing w:after="0"/>
              <w:rPr>
                <w:sz w:val="20"/>
                <w:szCs w:val="20"/>
                <w:color w:val="auto"/>
              </w:rPr>
            </w:pPr>
            <w:r>
              <w:rPr>
                <w:rFonts w:ascii="Arial" w:cs="Arial" w:eastAsia="Arial" w:hAnsi="Arial"/>
                <w:sz w:val="18"/>
                <w:szCs w:val="18"/>
                <w:color w:val="auto"/>
              </w:rPr>
              <w:t>Options cancelled</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1,189,081</w:t>
            </w:r>
          </w:p>
        </w:tc>
      </w:tr>
      <w:tr>
        <w:trPr>
          <w:trHeight w:val="41"/>
        </w:trPr>
        <w:tc>
          <w:tcPr>
            <w:tcW w:w="6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share based compensation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5,948,532</w:t>
            </w:r>
          </w:p>
        </w:tc>
        <w:tc>
          <w:tcPr>
            <w:tcW w:w="46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7,558,953</w:t>
            </w:r>
          </w:p>
        </w:tc>
      </w:tr>
      <w:tr>
        <w:trPr>
          <w:trHeight w:val="54"/>
        </w:trPr>
        <w:tc>
          <w:tcPr>
            <w:tcW w:w="65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-976630</wp:posOffset>
            </wp:positionV>
            <wp:extent cx="2914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-976630</wp:posOffset>
            </wp:positionV>
            <wp:extent cx="1460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Employee Benefits Expense</w:t>
      </w:r>
    </w:p>
    <w:p>
      <w:pPr>
        <w:spacing w:after="0" w:line="117" w:lineRule="exact"/>
        <w:rPr>
          <w:sz w:val="20"/>
          <w:szCs w:val="20"/>
          <w:color w:val="auto"/>
        </w:rPr>
      </w:pPr>
    </w:p>
    <w:p>
      <w:pPr>
        <w:jc w:val="both"/>
        <w:ind w:left="300" w:right="439" w:firstLine="360"/>
        <w:spacing w:after="0" w:line="286" w:lineRule="auto"/>
        <w:rPr>
          <w:sz w:val="20"/>
          <w:szCs w:val="20"/>
          <w:color w:val="auto"/>
        </w:rPr>
      </w:pPr>
      <w:r>
        <w:rPr>
          <w:rFonts w:ascii="Arial" w:cs="Arial" w:eastAsia="Arial" w:hAnsi="Arial"/>
          <w:sz w:val="17"/>
          <w:szCs w:val="17"/>
          <w:color w:val="auto"/>
        </w:rPr>
        <w:t>Employee Benefits expense was A$5,837,926 for the year ended June 30, 2021, compared to A$4,072,223 for the year ended June 30, 2020. The increase was the result of an increase in employees from 36 as at June 30, 2020, to 81 as at June 30, 2021, in line with increased business activities.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Exchange Differences on Translation of Foreign Operations</w:t>
      </w:r>
    </w:p>
    <w:p>
      <w:pPr>
        <w:spacing w:after="0" w:line="117"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Net foreign exchange differences on translation of foreign operations were a loss of A$2,101,097 for the year ended June 30, 2021, compared to a gain of A$550,243 for the year ended June 30, 2020, and represent exchange differences arising on translation of foreign operations with functional currencies other than Australian dollars and is primarily driven by changes to the value of the U.S. dollar. These differences are recognized in other comprehensive income and included in the foreign currency translation reserve in the balance sheet.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 for the Fiscal Years Ended June 30, 2020 and 2019</w:t>
      </w:r>
    </w:p>
    <w:p>
      <w:pPr>
        <w:spacing w:after="0" w:line="121" w:lineRule="exact"/>
        <w:rPr>
          <w:sz w:val="20"/>
          <w:szCs w:val="20"/>
          <w:color w:val="auto"/>
        </w:rPr>
      </w:pPr>
    </w:p>
    <w:p>
      <w:pPr>
        <w:ind w:left="300" w:right="1359" w:firstLine="360"/>
        <w:spacing w:after="0" w:line="277" w:lineRule="auto"/>
        <w:rPr>
          <w:sz w:val="20"/>
          <w:szCs w:val="20"/>
          <w:color w:val="auto"/>
        </w:rPr>
      </w:pPr>
      <w:r>
        <w:rPr>
          <w:rFonts w:ascii="Arial" w:cs="Arial" w:eastAsia="Arial" w:hAnsi="Arial"/>
          <w:sz w:val="18"/>
          <w:szCs w:val="18"/>
          <w:color w:val="auto"/>
        </w:rPr>
        <w:t>The following table sets forth a summary of our consolidated statement of profit or loss and other comprehensive income for the periods presented.</w:t>
      </w:r>
    </w:p>
    <w:p>
      <w:pPr>
        <w:spacing w:after="0" w:line="121"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rPr>
              <w:t>June 30</w:t>
            </w:r>
          </w:p>
        </w:tc>
      </w:tr>
      <w:tr>
        <w:trPr>
          <w:trHeight w:val="37"/>
        </w:trPr>
        <w:tc>
          <w:tcPr>
            <w:tcW w:w="62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7"/>
        </w:trPr>
        <w:tc>
          <w:tcPr>
            <w:tcW w:w="6260" w:type="dxa"/>
            <w:vAlign w:val="bottom"/>
          </w:tcPr>
          <w:p>
            <w:pPr>
              <w:spacing w:after="0"/>
              <w:rPr>
                <w:sz w:val="16"/>
                <w:szCs w:val="16"/>
                <w:color w:val="auto"/>
              </w:rPr>
            </w:pPr>
          </w:p>
        </w:tc>
        <w:tc>
          <w:tcPr>
            <w:tcW w:w="92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24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2019</w:t>
            </w:r>
          </w:p>
        </w:tc>
      </w:tr>
      <w:tr>
        <w:trPr>
          <w:trHeight w:val="186"/>
        </w:trPr>
        <w:tc>
          <w:tcPr>
            <w:tcW w:w="6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A$</w:t>
            </w:r>
          </w:p>
        </w:tc>
      </w:tr>
      <w:tr>
        <w:trPr>
          <w:trHeight w:val="53"/>
        </w:trPr>
        <w:tc>
          <w:tcPr>
            <w:tcW w:w="62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311"/>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Revenue from contracts with customers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4,253,435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1,817,049</w:t>
            </w:r>
          </w:p>
        </w:tc>
      </w:tr>
      <w:tr>
        <w:trPr>
          <w:trHeight w:val="54"/>
        </w:trPr>
        <w:tc>
          <w:tcPr>
            <w:tcW w:w="6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 (exclusive of depreciation presented separately)</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(1,245,187)</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(741,280)</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Administrative and other expenses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(2,739,398)</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(1,671,006)</w:t>
            </w:r>
          </w:p>
        </w:tc>
      </w:tr>
      <w:tr>
        <w:trPr>
          <w:trHeight w:val="54"/>
        </w:trPr>
        <w:tc>
          <w:tcPr>
            <w:tcW w:w="6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(5,330,961)</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(1,565,032)</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Impairment losses</w:t>
            </w:r>
          </w:p>
        </w:tc>
        <w:tc>
          <w:tcPr>
            <w:tcW w:w="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(15,918,925)</w:t>
            </w:r>
          </w:p>
        </w:tc>
      </w:tr>
      <w:tr>
        <w:trPr>
          <w:trHeight w:val="54"/>
        </w:trPr>
        <w:tc>
          <w:tcPr>
            <w:tcW w:w="6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(1,380,303)</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(494,948)</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Marketing and project development costs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(2,423,546)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(1,560,551)</w:t>
            </w:r>
          </w:p>
        </w:tc>
      </w:tr>
      <w:tr>
        <w:trPr>
          <w:trHeight w:val="54"/>
        </w:trPr>
        <w:tc>
          <w:tcPr>
            <w:tcW w:w="6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(7,558,953)</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(6,673,510)</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Employee benefits expense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(4,072,223)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(2,104,176)</w:t>
            </w:r>
          </w:p>
        </w:tc>
      </w:tr>
      <w:tr>
        <w:trPr>
          <w:trHeight w:val="54"/>
        </w:trPr>
        <w:tc>
          <w:tcPr>
            <w:tcW w:w="6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(loss)/gain</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(376,267)</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134,109</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Share of net losses of joint ventures</w:t>
            </w:r>
          </w:p>
        </w:tc>
        <w:tc>
          <w:tcPr>
            <w:tcW w:w="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(751,981)</w:t>
            </w:r>
          </w:p>
        </w:tc>
      </w:tr>
      <w:tr>
        <w:trPr>
          <w:trHeight w:val="54"/>
        </w:trPr>
        <w:tc>
          <w:tcPr>
            <w:tcW w:w="6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844,877</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3,024,684</w:t>
            </w:r>
          </w:p>
        </w:tc>
      </w:tr>
      <w:tr>
        <w:trPr>
          <w:trHeight w:val="270"/>
        </w:trPr>
        <w:tc>
          <w:tcPr>
            <w:tcW w:w="626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(20,028,526)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(26,505,567)</w:t>
            </w:r>
          </w:p>
        </w:tc>
      </w:tr>
      <w:tr>
        <w:trPr>
          <w:trHeight w:val="54"/>
        </w:trPr>
        <w:tc>
          <w:tcPr>
            <w:tcW w:w="6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383,655</w:t>
            </w:r>
          </w:p>
        </w:tc>
      </w:tr>
      <w:tr>
        <w:trPr>
          <w:trHeight w:val="270"/>
        </w:trPr>
        <w:tc>
          <w:tcPr>
            <w:tcW w:w="626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(20,028,526)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(26,121,912)</w:t>
            </w:r>
          </w:p>
        </w:tc>
      </w:tr>
      <w:tr>
        <w:trPr>
          <w:trHeight w:val="54"/>
        </w:trPr>
        <w:tc>
          <w:tcPr>
            <w:tcW w:w="6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for the year, net of tax</w:t>
            </w: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18"/>
                <w:szCs w:val="18"/>
                <w:i w:val="1"/>
                <w:iCs w:val="1"/>
                <w:color w:val="auto"/>
              </w:rPr>
              <w:t>Items that may be reclassified to profit or loss</w:t>
            </w: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4"/>
        </w:trPr>
        <w:tc>
          <w:tcPr>
            <w:tcW w:w="6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differences on translation of foreign operations</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550,243</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809,396</w:t>
            </w: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Total comprehensive loss for the year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(19,478,283)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(25,312,516)</w:t>
            </w:r>
          </w:p>
        </w:tc>
      </w:tr>
      <w:tr>
        <w:trPr>
          <w:trHeight w:val="393"/>
        </w:trPr>
        <w:tc>
          <w:tcPr>
            <w:tcW w:w="6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Cents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Cents</w:t>
            </w:r>
          </w:p>
        </w:tc>
      </w:tr>
      <w:tr>
        <w:trPr>
          <w:trHeight w:val="53"/>
        </w:trPr>
        <w:tc>
          <w:tcPr>
            <w:tcW w:w="62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5"/>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Earnings/(loss) per share from continuing operations attributable to the</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8"/>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ordinary equity holders of NOVONIX:</w:t>
            </w:r>
          </w:p>
        </w:tc>
        <w:tc>
          <w:tcPr>
            <w:tcW w:w="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18"/>
                <w:szCs w:val="18"/>
                <w:color w:val="auto"/>
              </w:rPr>
              <w:t>Basic earnings/(loss) per share</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(14.7 cents)</w:t>
            </w:r>
          </w:p>
        </w:tc>
        <w:tc>
          <w:tcPr>
            <w:tcW w:w="300" w:type="dxa"/>
            <w:vAlign w:val="bottom"/>
          </w:tcPr>
          <w:p>
            <w:pPr>
              <w:spacing w:after="0"/>
              <w:rPr>
                <w:sz w:val="23"/>
                <w:szCs w:val="23"/>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(21.2 cents)</w:t>
            </w:r>
          </w:p>
        </w:tc>
      </w:tr>
      <w:tr>
        <w:trPr>
          <w:trHeight w:val="54"/>
        </w:trPr>
        <w:tc>
          <w:tcPr>
            <w:tcW w:w="6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earnings/(loss) per share</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(14.7 cents)</w:t>
            </w:r>
          </w:p>
        </w:tc>
        <w:tc>
          <w:tcPr>
            <w:tcW w:w="3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(21.2 cents)</w:t>
            </w:r>
          </w:p>
        </w:tc>
      </w:tr>
      <w:tr>
        <w:trPr>
          <w:trHeight w:val="54"/>
        </w:trPr>
        <w:tc>
          <w:tcPr>
            <w:tcW w:w="62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-5142865</wp:posOffset>
            </wp:positionV>
            <wp:extent cx="1885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-5142865</wp:posOffset>
            </wp:positionV>
            <wp:extent cx="939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-762000</wp:posOffset>
            </wp:positionV>
            <wp:extent cx="2400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-762000</wp:posOffset>
            </wp:positionV>
            <wp:extent cx="1200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from contracts with customers was A$1,817,049 for the year ended June 30, 2019, compared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A$4,253,435 for the year ended June 30, 2020. The increase was largely due to an increase in sales by the hardware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division of our BTS business, primarily driven by a single customer large value contract, and an increase in sales by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consulting services division of our BTS business, which was established in fiscal year 2019 and therefore had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full fiscal year of operations in 2020.</w:t>
      </w:r>
    </w:p>
    <w:p>
      <w:pPr>
        <w:sectPr>
          <w:pgSz w:w="11900" w:h="16838" w:orient="portrait"/>
          <w:cols w:equalWidth="0" w:num="1">
            <w:col w:w="9019"/>
          </w:cols>
          <w:pgMar w:left="1440" w:top="265" w:right="1440" w:bottom="885"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885" w:gutter="0" w:footer="0" w:header="0"/>
          <w:type w:val="continuous"/>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The following tables present the disaggregated revenue streams for the years ended June 30, 2020 and June 30, 2019.</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Graphite</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Battery</w:t>
            </w: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Battery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Mining and</w:t>
            </w:r>
          </w:p>
        </w:tc>
        <w:tc>
          <w:tcPr>
            <w:tcW w:w="9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Year Ended June 30, 2020</w:t>
            </w:r>
          </w:p>
        </w:tc>
        <w:tc>
          <w:tcPr>
            <w:tcW w:w="2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exploration</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Technology</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Materials</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A$</w:t>
            </w:r>
          </w:p>
        </w:tc>
        <w:tc>
          <w:tcPr>
            <w:tcW w:w="0" w:type="dxa"/>
            <w:vAlign w:val="bottom"/>
          </w:tcPr>
          <w:p>
            <w:pPr>
              <w:spacing w:after="0"/>
              <w:rPr>
                <w:sz w:val="1"/>
                <w:szCs w:val="1"/>
                <w:color w:val="auto"/>
              </w:rPr>
            </w:pPr>
          </w:p>
        </w:tc>
      </w:tr>
      <w:tr>
        <w:trPr>
          <w:trHeight w:val="53"/>
        </w:trPr>
        <w:tc>
          <w:tcPr>
            <w:tcW w:w="47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Hardware sales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2,113,416</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2,113,416</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Consulting sales</w:t>
            </w:r>
          </w:p>
        </w:tc>
        <w:tc>
          <w:tcPr>
            <w:tcW w:w="220" w:type="dxa"/>
            <w:vAlign w:val="bottom"/>
          </w:tcPr>
          <w:p>
            <w:pPr>
              <w:spacing w:after="0"/>
              <w:rPr>
                <w:sz w:val="23"/>
                <w:szCs w:val="2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2,140,019</w:t>
            </w:r>
          </w:p>
        </w:tc>
        <w:tc>
          <w:tcPr>
            <w:tcW w:w="200" w:type="dxa"/>
            <w:vAlign w:val="bottom"/>
          </w:tcPr>
          <w:p>
            <w:pPr>
              <w:spacing w:after="0"/>
              <w:rPr>
                <w:sz w:val="23"/>
                <w:szCs w:val="2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2,140,019</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4,253,435</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4,253,435</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Timing of revenue recognition</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At a point in time</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2,113,416</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2,113,416</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Over time</w:t>
            </w:r>
          </w:p>
        </w:tc>
        <w:tc>
          <w:tcPr>
            <w:tcW w:w="220" w:type="dxa"/>
            <w:vAlign w:val="bottom"/>
          </w:tcPr>
          <w:p>
            <w:pPr>
              <w:spacing w:after="0"/>
              <w:rPr>
                <w:sz w:val="23"/>
                <w:szCs w:val="2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2,140,019</w:t>
            </w:r>
          </w:p>
        </w:tc>
        <w:tc>
          <w:tcPr>
            <w:tcW w:w="200" w:type="dxa"/>
            <w:vAlign w:val="bottom"/>
          </w:tcPr>
          <w:p>
            <w:pPr>
              <w:spacing w:after="0"/>
              <w:rPr>
                <w:sz w:val="23"/>
                <w:szCs w:val="2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2,140,019</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4,253,435</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4,253,435</w:t>
            </w:r>
          </w:p>
        </w:tc>
        <w:tc>
          <w:tcPr>
            <w:tcW w:w="0" w:type="dxa"/>
            <w:vAlign w:val="bottom"/>
          </w:tcPr>
          <w:p>
            <w:pPr>
              <w:spacing w:after="0"/>
              <w:rPr>
                <w:sz w:val="1"/>
                <w:szCs w:val="1"/>
                <w:color w:val="auto"/>
              </w:rPr>
            </w:pPr>
          </w:p>
        </w:tc>
      </w:tr>
      <w:tr>
        <w:trPr>
          <w:trHeight w:val="301"/>
        </w:trPr>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Graphite</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Battery</w:t>
            </w: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Battery</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Mining and</w:t>
            </w:r>
          </w:p>
        </w:tc>
        <w:tc>
          <w:tcPr>
            <w:tcW w:w="9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exploration</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Technology</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Materials</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A$</w:t>
            </w:r>
          </w:p>
        </w:tc>
        <w:tc>
          <w:tcPr>
            <w:tcW w:w="0" w:type="dxa"/>
            <w:vAlign w:val="bottom"/>
          </w:tcPr>
          <w:p>
            <w:pPr>
              <w:spacing w:after="0"/>
              <w:rPr>
                <w:sz w:val="1"/>
                <w:szCs w:val="1"/>
                <w:color w:val="auto"/>
              </w:rPr>
            </w:pPr>
          </w:p>
        </w:tc>
      </w:tr>
      <w:tr>
        <w:trPr>
          <w:trHeight w:val="53"/>
        </w:trPr>
        <w:tc>
          <w:tcPr>
            <w:tcW w:w="47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Hardware sales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1,461,266</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1,461,266</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Consulting sales</w:t>
            </w:r>
          </w:p>
        </w:tc>
        <w:tc>
          <w:tcPr>
            <w:tcW w:w="220" w:type="dxa"/>
            <w:vAlign w:val="bottom"/>
          </w:tcPr>
          <w:p>
            <w:pPr>
              <w:spacing w:after="0"/>
              <w:rPr>
                <w:sz w:val="23"/>
                <w:szCs w:val="2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355,783</w:t>
            </w:r>
          </w:p>
        </w:tc>
        <w:tc>
          <w:tcPr>
            <w:tcW w:w="200" w:type="dxa"/>
            <w:vAlign w:val="bottom"/>
          </w:tcPr>
          <w:p>
            <w:pPr>
              <w:spacing w:after="0"/>
              <w:rPr>
                <w:sz w:val="23"/>
                <w:szCs w:val="2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355,783</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1,817,049</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1,817,049</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Timing of revenue recognition</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At a point in time</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1,461,266</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1,461,266</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Over time</w:t>
            </w:r>
          </w:p>
        </w:tc>
        <w:tc>
          <w:tcPr>
            <w:tcW w:w="220" w:type="dxa"/>
            <w:vAlign w:val="bottom"/>
          </w:tcPr>
          <w:p>
            <w:pPr>
              <w:spacing w:after="0"/>
              <w:rPr>
                <w:sz w:val="23"/>
                <w:szCs w:val="2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355,783</w:t>
            </w:r>
          </w:p>
        </w:tc>
        <w:tc>
          <w:tcPr>
            <w:tcW w:w="200" w:type="dxa"/>
            <w:vAlign w:val="bottom"/>
          </w:tcPr>
          <w:p>
            <w:pPr>
              <w:spacing w:after="0"/>
              <w:rPr>
                <w:sz w:val="23"/>
                <w:szCs w:val="2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355,783</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1,817,049</w:t>
            </w: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1,817,049</w:t>
            </w:r>
          </w:p>
        </w:tc>
        <w:tc>
          <w:tcPr>
            <w:tcW w:w="0" w:type="dxa"/>
            <w:vAlign w:val="bottom"/>
          </w:tcPr>
          <w:p>
            <w:pPr>
              <w:spacing w:after="0"/>
              <w:rPr>
                <w:sz w:val="1"/>
                <w:szCs w:val="1"/>
                <w:color w:val="auto"/>
              </w:rPr>
            </w:pPr>
          </w:p>
        </w:tc>
      </w:tr>
      <w:tr>
        <w:trPr>
          <w:trHeight w:val="54"/>
        </w:trPr>
        <w:tc>
          <w:tcPr>
            <w:tcW w:w="47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-3445510</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-3445510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-3445510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-3445510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-1456690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-1456690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-1456690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-1456690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Other income was A$3,024,684 for the year ended June 30, 2019, compared to A$844,877 for the year ended June 30, 2020. In fiscal year 2019, a gain on revaluation of equity accounted investment of A$2,576,131 was recorded, which represented a revaluation of the Group’s previously held 50% interest in NOVONIX Anode Materials on acquisition of the remaining 50% of the company in 2019.</w:t>
      </w:r>
    </w:p>
    <w:p>
      <w:pPr>
        <w:spacing w:after="0" w:line="79" w:lineRule="exact"/>
        <w:rPr>
          <w:sz w:val="20"/>
          <w:szCs w:val="20"/>
          <w:color w:val="auto"/>
        </w:rPr>
      </w:pPr>
    </w:p>
    <w:p>
      <w:pPr>
        <w:ind w:left="300" w:right="579" w:firstLine="360"/>
        <w:spacing w:after="0" w:line="263" w:lineRule="auto"/>
        <w:rPr>
          <w:sz w:val="20"/>
          <w:szCs w:val="20"/>
          <w:color w:val="auto"/>
        </w:rPr>
      </w:pPr>
      <w:r>
        <w:rPr>
          <w:rFonts w:ascii="Arial" w:cs="Arial" w:eastAsia="Arial" w:hAnsi="Arial"/>
          <w:sz w:val="18"/>
          <w:szCs w:val="18"/>
          <w:color w:val="auto"/>
        </w:rPr>
        <w:t>Grant funding income grew from A$329,573 in fiscal year 2019 to A$785,154 in fiscal year 2020, primarily driven by grant funding of CA$172,493 received through the CEWS in connection with COVID-19-related disruptions, and CA$144,141 research and development tax incentives received.</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ind w:left="300" w:right="439" w:firstLine="360"/>
        <w:spacing w:after="0" w:line="342" w:lineRule="auto"/>
        <w:rPr>
          <w:sz w:val="20"/>
          <w:szCs w:val="20"/>
          <w:color w:val="auto"/>
        </w:rPr>
      </w:pPr>
      <w:r>
        <w:rPr>
          <w:rFonts w:ascii="Arial" w:cs="Arial" w:eastAsia="Arial" w:hAnsi="Arial"/>
          <w:sz w:val="16"/>
          <w:szCs w:val="16"/>
          <w:color w:val="auto"/>
        </w:rPr>
        <w:t>Cost of goods sold was A$741,280 for the year ended June 30, 2019, compared to A$1,245,187 for the year ended June 30, 2020. This increase was primarily due to increased volumes of hardware sales in our BTS business.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Administrative and Other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Administrative and other expenses were A$1,671,006 for the year ended June 30, 2019, compared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A$2,739,398 for the year ended June 30, 2020. This increase was primarily due to increases in professional fees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required to support the business as it continued to invest in product development and capacity expansion activities.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Administrative and other expenses included significant increases between fiscal year 2019 and fiscal year 2020 for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legal fees (increase from A$242,874 to A$558,745), audit fees (increase from A$142,282 to A$263,074), minor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fixed assets written off (increase from A$90,540 to A$210,773) and insurance premiums (increase from A$102,385</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A$234,544).</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Borrowing Costs</w:t>
      </w:r>
    </w:p>
    <w:p>
      <w:pPr>
        <w:spacing w:after="0" w:line="117"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Borrowing costs were A$1,565,032 for the year ended June 30, 2019, compared to A$5,330,961 for the year ended June 30, 2020.</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519" w:firstLine="360"/>
        <w:spacing w:after="0" w:line="259" w:lineRule="auto"/>
        <w:rPr>
          <w:sz w:val="20"/>
          <w:szCs w:val="20"/>
          <w:color w:val="auto"/>
        </w:rPr>
      </w:pPr>
      <w:r>
        <w:rPr>
          <w:rFonts w:ascii="Arial" w:cs="Arial" w:eastAsia="Arial" w:hAnsi="Arial"/>
          <w:sz w:val="18"/>
          <w:szCs w:val="18"/>
          <w:color w:val="auto"/>
        </w:rPr>
        <w:t>During fiscal year 2020, we simplified our capital structure through the redemption of convertible notes and repayment of short-term loans. This resulted in a loss on redemption of the convertible loan notes of A$1,765,353 being recognized within borrowing costs, being the difference between the fair value and the carrying value of the convertible loan notes at settlement date.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accrued on convertible loan notes increased from A$1,373,581 in fiscal year 2019 to A$3,062,598 in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fiscal year 2020 as a result of an increase in the number of convertible loan notes on issue and also the number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days in the fiscal year that the convertible loan notes were on issue. This increase is due to an additional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A$4,000,000 in convertible loan notes being issued in fiscal year 2020 and A$6,900,000 in convertible loan notes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that were issued in March 2019.</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 loss was recognized in the year ended June 30, 2020.</w:t>
      </w:r>
    </w:p>
    <w:p>
      <w:pPr>
        <w:spacing w:after="0" w:line="117" w:lineRule="exact"/>
        <w:rPr>
          <w:sz w:val="20"/>
          <w:szCs w:val="20"/>
          <w:color w:val="auto"/>
        </w:rPr>
      </w:pPr>
    </w:p>
    <w:p>
      <w:pPr>
        <w:ind w:left="300" w:right="399" w:firstLine="360"/>
        <w:spacing w:after="0" w:line="286" w:lineRule="auto"/>
        <w:rPr>
          <w:sz w:val="20"/>
          <w:szCs w:val="20"/>
          <w:color w:val="auto"/>
        </w:rPr>
      </w:pPr>
      <w:r>
        <w:rPr>
          <w:rFonts w:ascii="Arial" w:cs="Arial" w:eastAsia="Arial" w:hAnsi="Arial"/>
          <w:sz w:val="17"/>
          <w:szCs w:val="17"/>
          <w:color w:val="auto"/>
        </w:rPr>
        <w:t>In the year ended June 30, 2019, we recognized an impairment loss of A$10,667,897 relating to the MDG Project exploration and evaluation assets. Our Directors determined that it was appropriate for the carrying value of the MDG Project to be written down to the Company’s assessment of recoverable amount.</w:t>
      </w:r>
    </w:p>
    <w:p>
      <w:pPr>
        <w:spacing w:after="0" w:line="57"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The future development of the MDG Project is currently on hold. The primary reasons behind this decision were our belief that, in the medium term, we expect that there will be an oversupply in the broader natural graphite concentrate market and more favorable investment opportunities in manufacturing advanced battery anode materials in our Chattanooga, Tennessee facility and providing battery technologies and services at our battery technology center in Canada.</w:t>
      </w:r>
    </w:p>
    <w:p>
      <w:pPr>
        <w:spacing w:after="0" w:line="80"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The MDG Project remains a strategic asset for the Group, and we continue to hold the project in good standing while monitoring the state of the global natural graphite market.</w:t>
      </w:r>
    </w:p>
    <w:p>
      <w:pPr>
        <w:spacing w:after="0" w:line="62" w:lineRule="exact"/>
        <w:rPr>
          <w:sz w:val="20"/>
          <w:szCs w:val="20"/>
          <w:color w:val="auto"/>
        </w:rPr>
      </w:pPr>
    </w:p>
    <w:p>
      <w:pPr>
        <w:ind w:left="300" w:right="639" w:firstLine="360"/>
        <w:spacing w:after="0" w:line="342" w:lineRule="auto"/>
        <w:rPr>
          <w:sz w:val="20"/>
          <w:szCs w:val="20"/>
          <w:color w:val="auto"/>
        </w:rPr>
      </w:pPr>
      <w:r>
        <w:rPr>
          <w:rFonts w:ascii="Arial" w:cs="Arial" w:eastAsia="Arial" w:hAnsi="Arial"/>
          <w:sz w:val="16"/>
          <w:szCs w:val="16"/>
          <w:color w:val="auto"/>
        </w:rPr>
        <w:t>The Directors have assessed that for the exploration and evaluation assets remaining recognized at June 30, 2020, the facts and circumstances do not suggest that the carrying amount may exceed its recoverable amount.</w:t>
      </w:r>
    </w:p>
    <w:p>
      <w:pPr>
        <w:spacing w:after="0" w:line="16" w:lineRule="exact"/>
        <w:rPr>
          <w:sz w:val="20"/>
          <w:szCs w:val="20"/>
          <w:color w:val="auto"/>
        </w:rPr>
      </w:pPr>
    </w:p>
    <w:p>
      <w:pPr>
        <w:ind w:left="300" w:right="879" w:firstLine="360"/>
        <w:spacing w:after="0" w:line="277" w:lineRule="auto"/>
        <w:rPr>
          <w:sz w:val="20"/>
          <w:szCs w:val="20"/>
          <w:color w:val="auto"/>
        </w:rPr>
      </w:pPr>
      <w:r>
        <w:rPr>
          <w:rFonts w:ascii="Arial" w:cs="Arial" w:eastAsia="Arial" w:hAnsi="Arial"/>
          <w:sz w:val="18"/>
          <w:szCs w:val="18"/>
          <w:color w:val="auto"/>
        </w:rPr>
        <w:t>Impairment losses in the year ended June 30, 2019, were also associated with goodwill, brand name and technology associated with BTS.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impairment losses recognised in the years ended June 30, 2019 and June 30, 2020.</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Consolidated</w:t>
            </w:r>
          </w:p>
        </w:tc>
      </w:tr>
      <w:tr>
        <w:trPr>
          <w:trHeight w:val="53"/>
        </w:trPr>
        <w:tc>
          <w:tcPr>
            <w:tcW w:w="6680" w:type="dxa"/>
            <w:vAlign w:val="bottom"/>
          </w:tcPr>
          <w:p>
            <w:pPr>
              <w:spacing w:after="0"/>
              <w:rPr>
                <w:sz w:val="4"/>
                <w:szCs w:val="4"/>
                <w:color w:val="auto"/>
              </w:rPr>
            </w:pPr>
          </w:p>
        </w:tc>
        <w:tc>
          <w:tcPr>
            <w:tcW w:w="1740" w:type="dxa"/>
            <w:vAlign w:val="bottom"/>
            <w:tcBorders>
              <w:bottom w:val="single" w:sz="8" w:color="auto"/>
            </w:tcBorders>
            <w:gridSpan w:val="3"/>
          </w:tcPr>
          <w:p>
            <w:pPr>
              <w:spacing w:after="0"/>
              <w:rPr>
                <w:sz w:val="4"/>
                <w:szCs w:val="4"/>
                <w:color w:val="auto"/>
              </w:rPr>
            </w:pPr>
          </w:p>
        </w:tc>
      </w:tr>
      <w:tr>
        <w:trPr>
          <w:trHeight w:val="225"/>
        </w:trPr>
        <w:tc>
          <w:tcPr>
            <w:tcW w:w="6680" w:type="dxa"/>
            <w:vAlign w:val="bottom"/>
          </w:tcPr>
          <w:p>
            <w:pPr>
              <w:spacing w:after="0"/>
              <w:rPr>
                <w:sz w:val="19"/>
                <w:szCs w:val="19"/>
                <w:color w:val="auto"/>
              </w:rPr>
            </w:pPr>
          </w:p>
        </w:tc>
        <w:tc>
          <w:tcPr>
            <w:tcW w:w="174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Year Ended June 30</w:t>
            </w:r>
          </w:p>
        </w:tc>
      </w:tr>
      <w:tr>
        <w:trPr>
          <w:trHeight w:val="53"/>
        </w:trPr>
        <w:tc>
          <w:tcPr>
            <w:tcW w:w="66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r>
      <w:tr>
        <w:trPr>
          <w:trHeight w:val="187"/>
        </w:trPr>
        <w:tc>
          <w:tcPr>
            <w:tcW w:w="668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4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2019</w:t>
            </w:r>
          </w:p>
        </w:tc>
      </w:tr>
      <w:tr>
        <w:trPr>
          <w:trHeight w:val="186"/>
        </w:trPr>
        <w:tc>
          <w:tcPr>
            <w:tcW w:w="668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60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A$</w:t>
            </w:r>
          </w:p>
        </w:tc>
      </w:tr>
      <w:tr>
        <w:trPr>
          <w:trHeight w:val="53"/>
        </w:trPr>
        <w:tc>
          <w:tcPr>
            <w:tcW w:w="66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311"/>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and evaluation assets</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10,667,897</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4,812,127</w:t>
            </w:r>
          </w:p>
        </w:tc>
      </w:tr>
      <w:tr>
        <w:trPr>
          <w:trHeight w:val="54"/>
        </w:trPr>
        <w:tc>
          <w:tcPr>
            <w:tcW w:w="6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04"/>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Identified intangibles - Brand Name</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374,126</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Identified intangibles - Technology</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64,775</w:t>
            </w:r>
          </w:p>
        </w:tc>
      </w:tr>
      <w:tr>
        <w:trPr>
          <w:trHeight w:val="54"/>
        </w:trPr>
        <w:tc>
          <w:tcPr>
            <w:tcW w:w="6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Impairment Losses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15,918,925</w:t>
            </w:r>
          </w:p>
        </w:tc>
      </w:tr>
      <w:tr>
        <w:trPr>
          <w:trHeight w:val="54"/>
        </w:trPr>
        <w:tc>
          <w:tcPr>
            <w:tcW w:w="66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-1045210</wp:posOffset>
            </wp:positionV>
            <wp:extent cx="771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and amortization expenses were A$494,948 for the year ended June 30, 2019, compared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A$1,380,303 for the year ended June 30, 2020. The increase was largely due to an increase in PP&amp;E from</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A$5,984,517 for the year ended June 30, 2019, to A$9,620,797 for the year ended June 30, 2020, which primarily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related to the expansion of our production facility in Chattanooga, Tennessee.</w:t>
      </w:r>
    </w:p>
    <w:p>
      <w:pPr>
        <w:spacing w:after="0" w:line="3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 and Project Development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Marketing and project development costs were A$1,560,551 for the year ended June 30, 2019, compared to</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A$2,423,546 for the year ended June 30, 2020. The increase was largely due to increased investment in product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technology development for our NOVONIX Anode Materials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 Based Compensation</w:t>
      </w:r>
    </w:p>
    <w:p>
      <w:pPr>
        <w:spacing w:after="0" w:line="117"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Share based compensation was A$6,673,510 for the year ended June 30, 2019, compared to A$7,558,953 for the year ended June 30, 2020. As part of the fiscal year 2020 capital raise, the Group obtained agreement from holders of a total of 40,500,000 options to cancel the options for no consideration. The cancellation of the options resulted in an acceleration of the share-based payment expense, with the unexpensed portion of the share option fair values being expensed in full at the date of cancellation. The accelerated expense amounted to A$1,189,081.</w:t>
      </w:r>
    </w:p>
    <w:p>
      <w:pPr>
        <w:spacing w:after="0" w:line="53"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The following table presents the composition of share based payments expense for the years ended June 30, 2019 and June 30,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92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Consolidated</w:t>
            </w:r>
          </w:p>
        </w:tc>
      </w:tr>
      <w:tr>
        <w:trPr>
          <w:trHeight w:val="53"/>
        </w:trPr>
        <w:tc>
          <w:tcPr>
            <w:tcW w:w="6500" w:type="dxa"/>
            <w:vAlign w:val="bottom"/>
          </w:tcPr>
          <w:p>
            <w:pPr>
              <w:spacing w:after="0"/>
              <w:rPr>
                <w:sz w:val="4"/>
                <w:szCs w:val="4"/>
                <w:color w:val="auto"/>
              </w:rPr>
            </w:pPr>
          </w:p>
        </w:tc>
        <w:tc>
          <w:tcPr>
            <w:tcW w:w="1920" w:type="dxa"/>
            <w:vAlign w:val="bottom"/>
            <w:tcBorders>
              <w:bottom w:val="single" w:sz="8" w:color="auto"/>
            </w:tcBorders>
            <w:gridSpan w:val="3"/>
          </w:tcPr>
          <w:p>
            <w:pPr>
              <w:spacing w:after="0"/>
              <w:rPr>
                <w:sz w:val="4"/>
                <w:szCs w:val="4"/>
                <w:color w:val="auto"/>
              </w:rPr>
            </w:pPr>
          </w:p>
        </w:tc>
      </w:tr>
      <w:tr>
        <w:trPr>
          <w:trHeight w:val="224"/>
        </w:trPr>
        <w:tc>
          <w:tcPr>
            <w:tcW w:w="6500" w:type="dxa"/>
            <w:vAlign w:val="bottom"/>
          </w:tcPr>
          <w:p>
            <w:pPr>
              <w:spacing w:after="0"/>
              <w:rPr>
                <w:sz w:val="19"/>
                <w:szCs w:val="19"/>
                <w:color w:val="auto"/>
              </w:rPr>
            </w:pPr>
          </w:p>
        </w:tc>
        <w:tc>
          <w:tcPr>
            <w:tcW w:w="192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Year Ended June 30</w:t>
            </w:r>
          </w:p>
        </w:tc>
      </w:tr>
      <w:tr>
        <w:trPr>
          <w:trHeight w:val="53"/>
        </w:trPr>
        <w:tc>
          <w:tcPr>
            <w:tcW w:w="65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7"/>
        </w:trPr>
        <w:tc>
          <w:tcPr>
            <w:tcW w:w="65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4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b w:val="1"/>
                <w:bCs w:val="1"/>
                <w:color w:val="auto"/>
              </w:rPr>
              <w:t>2019</w:t>
            </w:r>
          </w:p>
        </w:tc>
      </w:tr>
      <w:tr>
        <w:trPr>
          <w:trHeight w:val="186"/>
        </w:trPr>
        <w:tc>
          <w:tcPr>
            <w:tcW w:w="6500" w:type="dxa"/>
            <w:vAlign w:val="bottom"/>
          </w:tcPr>
          <w:p>
            <w:pPr>
              <w:spacing w:after="0"/>
              <w:rPr>
                <w:sz w:val="16"/>
                <w:szCs w:val="16"/>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w:t>
            </w:r>
          </w:p>
        </w:tc>
        <w:tc>
          <w:tcPr>
            <w:tcW w:w="740" w:type="dxa"/>
            <w:vAlign w:val="bottom"/>
          </w:tcPr>
          <w:p>
            <w:pPr>
              <w:jc w:val="right"/>
              <w:ind w:right="196"/>
              <w:spacing w:after="0"/>
              <w:rPr>
                <w:sz w:val="20"/>
                <w:szCs w:val="20"/>
                <w:color w:val="auto"/>
              </w:rPr>
            </w:pPr>
            <w:r>
              <w:rPr>
                <w:rFonts w:ascii="Arial" w:cs="Arial" w:eastAsia="Arial" w:hAnsi="Arial"/>
                <w:sz w:val="14"/>
                <w:szCs w:val="14"/>
                <w:b w:val="1"/>
                <w:bCs w:val="1"/>
                <w:color w:val="auto"/>
              </w:rPr>
              <w:t>A$</w:t>
            </w:r>
          </w:p>
        </w:tc>
      </w:tr>
      <w:tr>
        <w:trPr>
          <w:trHeight w:val="53"/>
        </w:trPr>
        <w:tc>
          <w:tcPr>
            <w:tcW w:w="65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11"/>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based payments expense</w:t>
            </w:r>
          </w:p>
        </w:tc>
        <w:tc>
          <w:tcPr>
            <w:tcW w:w="7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Performance rights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78,362</w:t>
            </w:r>
          </w:p>
        </w:tc>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39,025</w:t>
            </w:r>
          </w:p>
        </w:tc>
      </w:tr>
      <w:tr>
        <w:trPr>
          <w:trHeight w:val="54"/>
        </w:trPr>
        <w:tc>
          <w:tcPr>
            <w:tcW w:w="6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6,291,510</w:t>
            </w: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6,634,485</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Options cancelled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1,189,081</w:t>
            </w:r>
          </w:p>
        </w:tc>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share based compensation expense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7,558,953</w:t>
            </w:r>
          </w:p>
        </w:tc>
        <w:tc>
          <w:tcPr>
            <w:tcW w:w="4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6,673,510</w:t>
            </w:r>
          </w:p>
        </w:tc>
      </w:tr>
      <w:tr>
        <w:trPr>
          <w:trHeight w:val="54"/>
        </w:trPr>
        <w:tc>
          <w:tcPr>
            <w:tcW w:w="65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-1045210</wp:posOffset>
            </wp:positionV>
            <wp:extent cx="2914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-1045210</wp:posOffset>
            </wp:positionV>
            <wp:extent cx="1460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Employee Benefits Expense</w:t>
      </w:r>
    </w:p>
    <w:p>
      <w:pPr>
        <w:spacing w:after="0" w:line="117" w:lineRule="exact"/>
        <w:rPr>
          <w:sz w:val="20"/>
          <w:szCs w:val="20"/>
          <w:color w:val="auto"/>
        </w:rPr>
      </w:pPr>
    </w:p>
    <w:p>
      <w:pPr>
        <w:jc w:val="both"/>
        <w:ind w:left="300" w:right="439" w:firstLine="360"/>
        <w:spacing w:after="0" w:line="286" w:lineRule="auto"/>
        <w:rPr>
          <w:sz w:val="20"/>
          <w:szCs w:val="20"/>
          <w:color w:val="auto"/>
        </w:rPr>
      </w:pPr>
      <w:r>
        <w:rPr>
          <w:rFonts w:ascii="Arial" w:cs="Arial" w:eastAsia="Arial" w:hAnsi="Arial"/>
          <w:sz w:val="17"/>
          <w:szCs w:val="17"/>
          <w:color w:val="auto"/>
        </w:rPr>
        <w:t>Employee Benefits expense was A$2,104,176 for the year ended June 30, 2019, compared to A$4,072,223 for the year ended June 30, 2020. The increase was the result of an increase in employees from 19 as at June 30, 2019, to 36 as at June 30, 2020, in line with the increased activities of the Group.</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 Gain (Loss)</w:t>
      </w:r>
    </w:p>
    <w:p>
      <w:pPr>
        <w:spacing w:after="0" w:line="117"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Foreign currency loss for the year ended June 30, 2019 was A$376,105 compared to a foreign currency gain for the year ended June 30, 2020 of A$134,109. Our foreign currency gain/loss fluctuates based on our exposure to transactions denominated in currencies other than our functional currency. The fluctuation is due to changes in the underlying amounts of foreign currency transactions, predominantly USD transactions, and their respective rates.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 of Net Losses of Joint Ventures</w:t>
      </w:r>
    </w:p>
    <w:p>
      <w:pPr>
        <w:spacing w:after="0" w:line="117"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Share of net losses of joint ventures was A$751,981 for the year ended June 30, 2019, compared to zero for the year ended June 30, 2020. The share of net losses of joint ventures in the year ended June 30, 2019, was attributed to our 50% share of NOVONIX Anode Materials in 2019. In the year ended June 30, 2019, we exercised our “call option” and increased our ownership of NOVONIX Anode Materials from 50% to 100%.</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jc w:val="both"/>
        <w:ind w:left="300" w:right="739" w:firstLine="360"/>
        <w:spacing w:after="0" w:line="263" w:lineRule="auto"/>
        <w:rPr>
          <w:sz w:val="20"/>
          <w:szCs w:val="20"/>
          <w:color w:val="auto"/>
        </w:rPr>
      </w:pPr>
      <w:r>
        <w:rPr>
          <w:rFonts w:ascii="Arial" w:cs="Arial" w:eastAsia="Arial" w:hAnsi="Arial"/>
          <w:sz w:val="18"/>
          <w:szCs w:val="18"/>
          <w:color w:val="auto"/>
        </w:rPr>
        <w:t>Income tax benefit was A$383,655 for the year ended June 30, 2019, compared to zero for the year ended June 30, 2020. The income tax benefit in the year ended June 30, 2019, related primarily to the amortization of intangible assets, which have been subsequently written off.</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Exchange Differences on Translation of Foreign Operations</w:t>
      </w:r>
    </w:p>
    <w:p>
      <w:pPr>
        <w:spacing w:after="0" w:line="117"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Net foreign exchange differences on translation of foreign operations were a gain of A$809,396 for the year ended June 30, 2019, compared to a gain of A$550,243 for the year ended June 30, 2020, and represent exchange differences arising on translation of foreign operations with functional currencies other than Australian dollars and is primarily driven by changes to the value of the U.S. dollar. These differences are recognized in other comprehensive income and included in the foreign currency translation reserve in the balance sheet.</w:t>
      </w:r>
    </w:p>
    <w:p>
      <w:pPr>
        <w:spacing w:after="0" w:line="157" w:lineRule="exact"/>
        <w:rPr>
          <w:sz w:val="20"/>
          <w:szCs w:val="20"/>
          <w:color w:val="auto"/>
        </w:rPr>
      </w:pPr>
    </w:p>
    <w:p>
      <w:pPr>
        <w:ind w:left="640" w:hanging="348"/>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300" w:right="799" w:firstLine="360"/>
        <w:spacing w:after="0" w:line="311" w:lineRule="auto"/>
        <w:rPr>
          <w:sz w:val="20"/>
          <w:szCs w:val="20"/>
          <w:color w:val="auto"/>
        </w:rPr>
      </w:pPr>
      <w:r>
        <w:rPr>
          <w:rFonts w:ascii="Arial" w:cs="Arial" w:eastAsia="Arial" w:hAnsi="Arial"/>
          <w:sz w:val="16"/>
          <w:szCs w:val="16"/>
          <w:color w:val="auto"/>
        </w:rPr>
        <w:t>The liquidity and capital resources discussion that follows contains certain estimates as of the date of this registration statement of our estimated future sources and uses of liquidity (including estimated future capital resources and capital expenditures) and future financial and operating results. These estimates represent</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prospective financial information and reflect numerous assumptions made by us with respect to industry performance, general business, economic, regulatory, market and financial conditions and other future events, and matters specific to our businesses, all of which are difficult or impossible to predict and many of which are beyond our control. See “Special note regarding forward-looking statements”.</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Material Cash Commitments and Contractual Maturities</w:t>
      </w:r>
    </w:p>
    <w:p>
      <w:pPr>
        <w:spacing w:after="0" w:line="117" w:lineRule="exact"/>
        <w:rPr>
          <w:sz w:val="20"/>
          <w:szCs w:val="20"/>
          <w:color w:val="auto"/>
        </w:rPr>
      </w:pPr>
    </w:p>
    <w:p>
      <w:pPr>
        <w:ind w:left="300" w:right="299" w:firstLine="360"/>
        <w:spacing w:after="0" w:line="296" w:lineRule="auto"/>
        <w:rPr>
          <w:sz w:val="20"/>
          <w:szCs w:val="20"/>
          <w:color w:val="auto"/>
        </w:rPr>
      </w:pPr>
      <w:r>
        <w:rPr>
          <w:rFonts w:ascii="Arial" w:cs="Arial" w:eastAsia="Arial" w:hAnsi="Arial"/>
          <w:sz w:val="16"/>
          <w:szCs w:val="16"/>
          <w:color w:val="auto"/>
        </w:rPr>
        <w:t>The Company had commitments for payments under exploration permits of A$13,000, A$6,000, and A$5,000 as at June 30, 2021, June 30, 2020, and June 30, 2019, respectively. The Company also has contractual obligations in respect of a non-cancellable operating lease for its production facility “Corporate Place” in Chattanooga, Tennessee of A$7,531,188. The Company has recognized a right-of-use asset for this lease. No other material commitments or contractual obligations exist as at June 30, 2021, June 30, 2020 or June 30, 2019.</w:t>
      </w:r>
    </w:p>
    <w:p>
      <w:pPr>
        <w:spacing w:after="0" w:line="53" w:lineRule="exact"/>
        <w:rPr>
          <w:sz w:val="20"/>
          <w:szCs w:val="20"/>
          <w:color w:val="auto"/>
        </w:rPr>
      </w:pPr>
    </w:p>
    <w:p>
      <w:pPr>
        <w:ind w:left="300" w:right="859" w:firstLine="360"/>
        <w:spacing w:after="0" w:line="277" w:lineRule="auto"/>
        <w:rPr>
          <w:sz w:val="20"/>
          <w:szCs w:val="20"/>
          <w:color w:val="auto"/>
        </w:rPr>
      </w:pPr>
      <w:r>
        <w:rPr>
          <w:rFonts w:ascii="Arial" w:cs="Arial" w:eastAsia="Arial" w:hAnsi="Arial"/>
          <w:sz w:val="18"/>
          <w:szCs w:val="18"/>
          <w:color w:val="auto"/>
        </w:rPr>
        <w:t>As at June 30, 2021, the contractual maturities of the Group’s non-derivative financial liabilities were as follows: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Contractual</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Between</w:t>
            </w: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Between</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maturities of</w:t>
            </w: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Less than</w:t>
            </w: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6 – 12</w:t>
            </w:r>
          </w:p>
        </w:tc>
        <w:tc>
          <w:tcPr>
            <w:tcW w:w="9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Over</w:t>
            </w:r>
          </w:p>
        </w:tc>
        <w:tc>
          <w:tcPr>
            <w:tcW w:w="1020" w:type="dxa"/>
            <w:vAlign w:val="bottom"/>
            <w:gridSpan w:val="2"/>
            <w:vMerge w:val="continue"/>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financial</w:t>
            </w: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1 and 2</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2 and 5</w:t>
            </w: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liabilities</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6 months</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months</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5 years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cash flows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53"/>
        </w:trPr>
        <w:tc>
          <w:tcPr>
            <w:tcW w:w="17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At June 30, 2021</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4,356,556</w:t>
            </w: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4,356,556</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4,356,556</w:t>
            </w:r>
          </w:p>
        </w:tc>
        <w:tc>
          <w:tcPr>
            <w:tcW w:w="0" w:type="dxa"/>
            <w:vAlign w:val="bottom"/>
          </w:tcPr>
          <w:p>
            <w:pPr>
              <w:spacing w:after="0"/>
              <w:rPr>
                <w:sz w:val="1"/>
                <w:szCs w:val="1"/>
                <w:color w:val="auto"/>
              </w:rPr>
            </w:pPr>
          </w:p>
        </w:tc>
      </w:tr>
      <w:tr>
        <w:trPr>
          <w:trHeight w:val="270"/>
        </w:trPr>
        <w:tc>
          <w:tcPr>
            <w:tcW w:w="190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740" w:type="dxa"/>
            <w:vAlign w:val="bottom"/>
          </w:tcPr>
          <w:p>
            <w:pPr>
              <w:jc w:val="right"/>
              <w:spacing w:after="0"/>
              <w:rPr>
                <w:sz w:val="20"/>
                <w:szCs w:val="20"/>
                <w:color w:val="auto"/>
              </w:rPr>
            </w:pPr>
            <w:r>
              <w:rPr>
                <w:rFonts w:ascii="Arial" w:cs="Arial" w:eastAsia="Arial" w:hAnsi="Arial"/>
                <w:sz w:val="18"/>
                <w:szCs w:val="18"/>
                <w:color w:val="auto"/>
              </w:rPr>
              <w:t>360,437</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361,014</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742,275</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2,292,090</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6,048,571</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9,804,386</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7,531,188</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Borrowings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205,170</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228,598</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480,085</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1,440,256</w:t>
            </w: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4,001,909</w:t>
            </w: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6,356,018</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6,263,625</w:t>
            </w:r>
          </w:p>
        </w:tc>
        <w:tc>
          <w:tcPr>
            <w:tcW w:w="0" w:type="dxa"/>
            <w:vAlign w:val="bottom"/>
          </w:tcPr>
          <w:p>
            <w:pPr>
              <w:spacing w:after="0"/>
              <w:rPr>
                <w:sz w:val="1"/>
                <w:szCs w:val="1"/>
                <w:color w:val="auto"/>
              </w:rPr>
            </w:pPr>
          </w:p>
        </w:tc>
      </w:tr>
      <w:tr>
        <w:trPr>
          <w:trHeight w:val="270"/>
        </w:trPr>
        <w:tc>
          <w:tcPr>
            <w:tcW w:w="1900" w:type="dxa"/>
            <w:vAlign w:val="bottom"/>
            <w:gridSpan w:val="2"/>
          </w:tcPr>
          <w:p>
            <w:pPr>
              <w:spacing w:after="0"/>
              <w:rPr>
                <w:sz w:val="20"/>
                <w:szCs w:val="20"/>
                <w:color w:val="auto"/>
              </w:rPr>
            </w:pPr>
            <w:r>
              <w:rPr>
                <w:rFonts w:ascii="Arial" w:cs="Arial" w:eastAsia="Arial" w:hAnsi="Arial"/>
                <w:sz w:val="18"/>
                <w:szCs w:val="18"/>
                <w:color w:val="auto"/>
              </w:rPr>
              <w:t>Total non-derivatives</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4,902,051</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573,975</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1,391,369</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4,221,145</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11,355,948</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22,444,488</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18,151,369</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17"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As of September 30, 2021, we had cash and cash equivalents of A$290,971,003 (US$218,119,193). This number is unaudited and does not present all information necessary for an understanding of our financial condition as of September 30, 2021 and our results of operations for the three months ended September 30, 2021. PwC has not audited, reviewed, compiled or performed any procedures with respect to these results and does not express an opinion or any other form of assurance with respect thereto. We believe that our existing cash and cash equivalents, will enable us to fund our currently expected working capital and capital expenditure requirements, including those necessary to achieve our planned capacity expansion to an expected 10,000 tonnes per year by early 2023. We believe our recently consummated Phillips 66 Transaction will help support a capacity expansion of an additional 30,000 tonnes per year, which is expected to be completed by 2025.</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We believe that our existing cash and cash equivalents (including from the proceeds of our recent equity raises), together with financing that we believe will be available to us, will be sufficient to enable us to fund the continued expansion of our synthetic graphite annual production capacity beyond the 10,000 tonnes per year targeted by 2023. We believe our recently consummated Phillips 66 Transaction will help support a capacity expansion of an additional 30,000 tonnes per year, which is expected to be completed by 2025. We have based these estimates on assumptions that may prove to be wrong, and we could use our capital resources sooner, and require more funding, than we currently expect.</w:t>
      </w:r>
    </w:p>
    <w:p>
      <w:pPr>
        <w:spacing w:after="0" w:line="8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We expect our expenses to continue to increase in connection with our ongoing activities, particularly as we continue to acquire additional real property and purchase additional production equipment associated with the manufacture of synthetic graphite. For example, in May 2021, we purchased commercial land and buildings in Nova Scotia, Canada for C$3,550,000 from which the cathode business will operate. We entered into a C$4,375,000 loan facility to purchase and upgrade the land and buildings, of which C$3,169,216 has been drawn down as of the date of this registration statement. The full facility is repayable in monthly installments, commencing May 2022 and ending in April 2047. In addition, we expect to incur significant commercialization expenses related to sales, marketing, and distribution to the extent that such sales, marketing and distribution are not the responsibility of any future customers. Further, we expect to incur additional costs associated with operating as a public company in the United States. We may find that these efforts are more expensive than we</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419"/>
        <w:spacing w:after="0" w:line="286" w:lineRule="auto"/>
        <w:rPr>
          <w:sz w:val="20"/>
          <w:szCs w:val="20"/>
          <w:color w:val="auto"/>
        </w:rPr>
      </w:pPr>
      <w:r>
        <w:rPr>
          <w:rFonts w:ascii="Arial" w:cs="Arial" w:eastAsia="Arial" w:hAnsi="Arial"/>
          <w:sz w:val="17"/>
          <w:szCs w:val="17"/>
          <w:color w:val="auto"/>
        </w:rPr>
        <w:t>currently anticipate or that these efforts may not result in revenues, which would further increase our losses, impact our ability to repay our debt and require future capital raises to maintain the business. Accordingly, we will need to obtain substantial additional funding in connection with our continuing operations.</w:t>
      </w:r>
    </w:p>
    <w:p>
      <w:pPr>
        <w:spacing w:after="0" w:line="57"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We believe that we will continue to incur operating and net losses in each fiscal year until at least the time we begin significant production of our anode materials, which is not expected to occur earlier than 2023 and may occur later or not at all. These conditions give rise to substantial doubt over our ability to continue as a going concern. If we were not able to continue as a going concern, or if there were continued doubt about our ability to do so, additional financing may not be available to us. See “Risk Factors—</w:t>
      </w:r>
      <w:r>
        <w:rPr>
          <w:rFonts w:ascii="Arial" w:cs="Arial" w:eastAsia="Arial" w:hAnsi="Arial"/>
          <w:sz w:val="17"/>
          <w:szCs w:val="17"/>
          <w:b w:val="1"/>
          <w:bCs w:val="1"/>
          <w:i w:val="1"/>
          <w:iCs w:val="1"/>
          <w:color w:val="auto"/>
        </w:rPr>
        <w:t>We have a history of financial losses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expect to incur significant expenses and continuing losses in the near future.</w:t>
      </w:r>
      <w:r>
        <w:rPr>
          <w:rFonts w:ascii="Arial" w:cs="Arial" w:eastAsia="Arial" w:hAnsi="Arial"/>
          <w:sz w:val="17"/>
          <w:szCs w:val="17"/>
          <w:color w:val="auto"/>
        </w:rPr>
        <w:t>”</w:t>
      </w:r>
    </w:p>
    <w:p>
      <w:pPr>
        <w:spacing w:after="0" w:line="70" w:lineRule="exact"/>
        <w:rPr>
          <w:sz w:val="20"/>
          <w:szCs w:val="20"/>
          <w:color w:val="auto"/>
        </w:rPr>
      </w:pPr>
    </w:p>
    <w:p>
      <w:pPr>
        <w:ind w:left="300" w:right="339" w:firstLine="360"/>
        <w:spacing w:after="0" w:line="285" w:lineRule="auto"/>
        <w:rPr>
          <w:sz w:val="20"/>
          <w:szCs w:val="20"/>
          <w:color w:val="auto"/>
        </w:rPr>
      </w:pPr>
      <w:r>
        <w:rPr>
          <w:rFonts w:ascii="Arial" w:cs="Arial" w:eastAsia="Arial" w:hAnsi="Arial"/>
          <w:sz w:val="16"/>
          <w:szCs w:val="16"/>
          <w:color w:val="auto"/>
        </w:rPr>
        <w:t>Until we can generate a sufficient amount of revenue from the sale of synthetic graphite, if ever, we expect to finance our operating activities through our existing liquidity, proceeds from the Phillips 66 Transaction and future financing activities, including a combination of equity offerings, debt financings, collaborations, strategic partnerships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ADSs. Debt financing, if available, may involve agreements that include covenants limiting or restricting our ability to take specific actions, such as incurring additional debt, making capital expenditures or declaring dividends. If we raise funds through collaborations, strategic alliances or licensing arrangements with third parties, we may have to relinquish valuable rights to our technologies, intellectual property, future revenue streams or product candidates. If we are unable to raise additional funds through financings when needed, we may be required to delay, limit, reduce or terminate our product development or future commercialization efforts or grant rights to develop and market product candidates that we would otherwise prefer to develop and market ourselves. See “Risk Factors—</w:t>
      </w:r>
      <w:r>
        <w:rPr>
          <w:rFonts w:ascii="Arial" w:cs="Arial" w:eastAsia="Arial" w:hAnsi="Arial"/>
          <w:sz w:val="16"/>
          <w:szCs w:val="16"/>
          <w:b w:val="1"/>
          <w:bCs w:val="1"/>
          <w:i w:val="1"/>
          <w:iCs w:val="1"/>
          <w:color w:val="auto"/>
        </w:rPr>
        <w:t>We may need to obtain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funding from time to time to finance our growth and operations, which may not be available on acceptable terms, or at all. If we are unable to raise capital when needed, we may be forced to delay, reduce or eliminate certain operations, and we may be unable to adequately control their costs.</w:t>
      </w:r>
      <w:r>
        <w:rPr>
          <w:rFonts w:ascii="Arial" w:cs="Arial" w:eastAsia="Arial" w:hAnsi="Arial"/>
          <w:sz w:val="16"/>
          <w:szCs w:val="16"/>
          <w:color w:val="auto"/>
        </w:rPr>
        <w: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present and future funding requirements will depend on many factors, including, among other things:</w:t>
      </w:r>
    </w:p>
    <w:p>
      <w:pPr>
        <w:spacing w:after="0" w:line="129" w:lineRule="exact"/>
        <w:rPr>
          <w:sz w:val="20"/>
          <w:szCs w:val="20"/>
          <w:color w:val="auto"/>
        </w:rPr>
      </w:pPr>
    </w:p>
    <w:p>
      <w:pPr>
        <w:ind w:left="1000" w:right="579" w:hanging="348"/>
        <w:spacing w:after="0" w:line="311"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initiation, progress, timing, and costs associated with our planned capacity expansion, including but not limited to onboarding and training production operators, installation of production equipment, and installation and commissioning of required supporting building and equipment infrastructure;</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expanding our organization, including our management infrastructure;</w:t>
      </w:r>
    </w:p>
    <w:p>
      <w:pPr>
        <w:spacing w:after="0" w:line="117"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commercialization of our synthetic graphite product;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operating as a public listed company in both Australia and the United States.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3"/>
        </w:trPr>
        <w:tc>
          <w:tcPr>
            <w:tcW w:w="5260" w:type="dxa"/>
            <w:vAlign w:val="bottom"/>
          </w:tcPr>
          <w:p>
            <w:pPr>
              <w:spacing w:after="0"/>
              <w:rPr>
                <w:sz w:val="4"/>
                <w:szCs w:val="4"/>
                <w:color w:val="auto"/>
              </w:rPr>
            </w:pPr>
          </w:p>
        </w:tc>
        <w:tc>
          <w:tcPr>
            <w:tcW w:w="2240" w:type="dxa"/>
            <w:vAlign w:val="bottom"/>
            <w:tcBorders>
              <w:bottom w:val="single" w:sz="8" w:color="auto"/>
            </w:tcBorders>
            <w:gridSpan w:val="4"/>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25"/>
        </w:trPr>
        <w:tc>
          <w:tcPr>
            <w:tcW w:w="5260" w:type="dxa"/>
            <w:vAlign w:val="bottom"/>
          </w:tcPr>
          <w:p>
            <w:pPr>
              <w:spacing w:after="0"/>
              <w:rPr>
                <w:sz w:val="19"/>
                <w:szCs w:val="19"/>
                <w:color w:val="auto"/>
              </w:rPr>
            </w:pPr>
          </w:p>
        </w:tc>
        <w:tc>
          <w:tcPr>
            <w:tcW w:w="2240" w:type="dxa"/>
            <w:vAlign w:val="bottom"/>
            <w:gridSpan w:val="4"/>
          </w:tcPr>
          <w:p>
            <w:pPr>
              <w:jc w:val="center"/>
              <w:ind w:left="834"/>
              <w:spacing w:after="0"/>
              <w:rPr>
                <w:sz w:val="20"/>
                <w:szCs w:val="20"/>
                <w:color w:val="auto"/>
              </w:rPr>
            </w:pPr>
            <w:r>
              <w:rPr>
                <w:rFonts w:ascii="Arial" w:cs="Arial" w:eastAsia="Arial" w:hAnsi="Arial"/>
                <w:sz w:val="14"/>
                <w:szCs w:val="14"/>
                <w:b w:val="1"/>
                <w:bCs w:val="1"/>
                <w:color w:val="auto"/>
                <w:w w:val="93"/>
              </w:rPr>
              <w:t>Year Ended June 30,</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52"/>
        </w:trPr>
        <w:tc>
          <w:tcPr>
            <w:tcW w:w="52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25"/>
        </w:trPr>
        <w:tc>
          <w:tcPr>
            <w:tcW w:w="526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4"/>
                <w:szCs w:val="14"/>
                <w:b w:val="1"/>
                <w:bCs w:val="1"/>
                <w:color w:val="auto"/>
              </w:rPr>
              <w:t>2021 A$</w:t>
            </w:r>
          </w:p>
        </w:tc>
        <w:tc>
          <w:tcPr>
            <w:tcW w:w="22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2020 A$</w:t>
            </w:r>
          </w:p>
        </w:tc>
        <w:tc>
          <w:tcPr>
            <w:tcW w:w="40" w:type="dxa"/>
            <w:vAlign w:val="bottom"/>
          </w:tcPr>
          <w:p>
            <w:pPr>
              <w:spacing w:after="0"/>
              <w:rPr>
                <w:sz w:val="19"/>
                <w:szCs w:val="19"/>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2019 A$</w:t>
            </w:r>
          </w:p>
        </w:tc>
      </w:tr>
      <w:tr>
        <w:trPr>
          <w:trHeight w:val="53"/>
        </w:trPr>
        <w:tc>
          <w:tcPr>
            <w:tcW w:w="526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311"/>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outflow from operating activities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(8,172,064)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(5,593,517)</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(4,000,087)</w:t>
            </w:r>
          </w:p>
        </w:tc>
      </w:tr>
      <w:tr>
        <w:trPr>
          <w:trHeight w:val="270"/>
        </w:trPr>
        <w:tc>
          <w:tcPr>
            <w:tcW w:w="5260" w:type="dxa"/>
            <w:vAlign w:val="bottom"/>
          </w:tcPr>
          <w:p>
            <w:pPr>
              <w:spacing w:after="0"/>
              <w:rPr>
                <w:sz w:val="20"/>
                <w:szCs w:val="20"/>
                <w:color w:val="auto"/>
              </w:rPr>
            </w:pPr>
            <w:r>
              <w:rPr>
                <w:rFonts w:ascii="Arial" w:cs="Arial" w:eastAsia="Arial" w:hAnsi="Arial"/>
                <w:sz w:val="18"/>
                <w:szCs w:val="18"/>
                <w:b w:val="1"/>
                <w:bCs w:val="1"/>
                <w:color w:val="auto"/>
              </w:rPr>
              <w:t>Net cash outflow from investing activities</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(26,416,355)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(5,502,012)</w:t>
            </w:r>
          </w:p>
        </w:tc>
        <w:tc>
          <w:tcPr>
            <w:tcW w:w="1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5"/>
              </w:rPr>
              <w:t>(7,353,929)</w:t>
            </w:r>
          </w:p>
        </w:tc>
      </w:tr>
      <w:tr>
        <w:trPr>
          <w:trHeight w:val="54"/>
        </w:trPr>
        <w:tc>
          <w:tcPr>
            <w:tcW w:w="5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inflow from financing activities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132,692,546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44,001,975</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0"/>
              </w:rPr>
              <w:t>16,860,740</w:t>
            </w:r>
          </w:p>
        </w:tc>
      </w:tr>
      <w:tr>
        <w:trPr>
          <w:trHeight w:val="270"/>
        </w:trPr>
        <w:tc>
          <w:tcPr>
            <w:tcW w:w="52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98,104,127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32,906,446</w:t>
            </w:r>
          </w:p>
        </w:tc>
        <w:tc>
          <w:tcPr>
            <w:tcW w:w="180" w:type="dxa"/>
            <w:vAlign w:val="bottom"/>
          </w:tcPr>
          <w:p>
            <w:pPr>
              <w:spacing w:after="0"/>
              <w:rPr>
                <w:sz w:val="23"/>
                <w:szCs w:val="23"/>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8"/>
                <w:szCs w:val="18"/>
                <w:color w:val="auto"/>
              </w:rPr>
              <w:t>5,506,724</w:t>
            </w:r>
          </w:p>
        </w:tc>
      </w:tr>
      <w:tr>
        <w:trPr>
          <w:trHeight w:val="54"/>
        </w:trPr>
        <w:tc>
          <w:tcPr>
            <w:tcW w:w="5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Effects of foreign currency</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(247,813)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(153,448)</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182,348</w:t>
            </w: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38,807,662</w:t>
            </w: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6,054,664</w:t>
            </w:r>
          </w:p>
        </w:tc>
        <w:tc>
          <w:tcPr>
            <w:tcW w:w="180" w:type="dxa"/>
            <w:vAlign w:val="bottom"/>
          </w:tcPr>
          <w:p>
            <w:pPr>
              <w:spacing w:after="0"/>
              <w:rPr>
                <w:sz w:val="23"/>
                <w:szCs w:val="23"/>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8"/>
                <w:szCs w:val="18"/>
                <w:color w:val="auto"/>
              </w:rPr>
              <w:t>365,592</w:t>
            </w:r>
          </w:p>
        </w:tc>
      </w:tr>
      <w:tr>
        <w:trPr>
          <w:trHeight w:val="54"/>
        </w:trPr>
        <w:tc>
          <w:tcPr>
            <w:tcW w:w="5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136,663,976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38,807,662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6,054,664</w:t>
            </w:r>
          </w:p>
        </w:tc>
      </w:tr>
      <w:tr>
        <w:trPr>
          <w:trHeight w:val="54"/>
        </w:trPr>
        <w:tc>
          <w:tcPr>
            <w:tcW w:w="5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-1456690</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-1456690</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-1456690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For the year ended June 30, 2021, net cash used in operating activities was A$8.2 million, principally attributable to A$14.6 million in payments to suppliers and employees, and partially offset by receipts of customers of A$5.7 million.</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For the year ended June 30, 2020, net cash used in operating activities was A$5.6 million, principally attributable to A$9.7 million in payments to suppliers and employees, and partially offset by receipts of customers of A$3.5 million.</w:t>
      </w:r>
    </w:p>
    <w:p>
      <w:pPr>
        <w:spacing w:after="0" w:line="76"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For the year ended June 30, 2019, net cash used in operating activities was A$4.0 million, principally attributable to A$6.5 million in payments to suppliers and employees, and partially offset by receipts of customers of A$2.2 million.</w:t>
      </w:r>
    </w:p>
    <w:p>
      <w:pPr>
        <w:spacing w:after="0" w:line="76"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Receipts from customers increased from A$3.5 million in fiscal year 2020 to A$5.7 million in fiscal year 2021, in line with increased revenues achieved by BTS.</w:t>
      </w:r>
    </w:p>
    <w:p>
      <w:pPr>
        <w:spacing w:after="0" w:line="62"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Receipts from customers increased from A$2.2 million in fiscal year 2019 to A$3.5 million in fiscal year 2020, in line with increased revenues achieved by BTS.</w:t>
      </w:r>
    </w:p>
    <w:p>
      <w:pPr>
        <w:spacing w:after="0" w:line="62"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Payments to suppliers and employees increased from A$9.7 million in fiscal year 2020 to A$14.6 million in fiscal year 2021 in line with increased cost of goods sold and also increased investment in research and development activities, both in our BTS and NOVONIX Anode Materials businesses.</w:t>
      </w:r>
    </w:p>
    <w:p>
      <w:pPr>
        <w:spacing w:after="0" w:line="76"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Payments to suppliers and employees increased from A$6.5 million in fiscal year 2019 to A$9.7 million in fiscal year 2020 in line with increased cost of goods sold and also increased investment in research and development activities both in our BTS and NOVONIX Anode Materials businesses.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years ended June 30, 2021, and 2020, net cash used in investing activities was A$26.4 million and</w:t>
      </w:r>
    </w:p>
    <w:p>
      <w:pPr>
        <w:spacing w:after="0" w:line="35" w:lineRule="exact"/>
        <w:rPr>
          <w:sz w:val="20"/>
          <w:szCs w:val="20"/>
          <w:color w:val="auto"/>
        </w:rPr>
      </w:pPr>
    </w:p>
    <w:p>
      <w:pPr>
        <w:ind w:left="300" w:right="379"/>
        <w:spacing w:after="0" w:line="260" w:lineRule="auto"/>
        <w:rPr>
          <w:sz w:val="20"/>
          <w:szCs w:val="20"/>
          <w:color w:val="auto"/>
        </w:rPr>
      </w:pPr>
      <w:r>
        <w:rPr>
          <w:rFonts w:ascii="Arial" w:cs="Arial" w:eastAsia="Arial" w:hAnsi="Arial"/>
          <w:sz w:val="18"/>
          <w:szCs w:val="18"/>
          <w:color w:val="auto"/>
        </w:rPr>
        <w:t>A$5.5 million, respectively. The increase in cash used was principally due to a A$20.9 million increase in payments for property, plant and equipment during the year ended June 30, 2021.</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years ended June 30, 2019, and 2020, net cash used in investing activities was A$7.4 million and</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A$5.5 million, respectively. The reduction in cash used was principally due to a A$5.2 million net outflow from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acquisition of NOVONIX Anode Materials in the year ended June 30, 2019, which was offset by a A$3.5 million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increase in payments for property, plant and equipment during the year ended June 30, 2020.</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For the year ended June 30, 2021, net cash provided by financing activities was A$132.7 million, attributable to A$128.9 million (net of costs) from the issuance of new ordinary shares in a private placement to institutional investors in Australia and A$4 million proceeds from borrowings.</w:t>
      </w:r>
    </w:p>
    <w:p>
      <w:pPr>
        <w:spacing w:after="0" w:line="76"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For the year ended June 30, 2020, net cash provided by financing activities was A$44.0 million, attributable to A$45.9 million from the issuance of new ordinary shares in a private placement to institutional investors in Australia and A$6.6 million proceeds from borrowings. These inflows were partially offset by A$1.3 million of capital raising costs and were used to repay A$7.0 million of borrowings.</w:t>
      </w:r>
    </w:p>
    <w:p>
      <w:pPr>
        <w:spacing w:after="0" w:line="63" w:lineRule="exact"/>
        <w:rPr>
          <w:sz w:val="20"/>
          <w:szCs w:val="20"/>
          <w:color w:val="auto"/>
        </w:rPr>
      </w:pPr>
    </w:p>
    <w:p>
      <w:pPr>
        <w:ind w:left="300" w:right="839" w:firstLine="360"/>
        <w:spacing w:after="0" w:line="308" w:lineRule="auto"/>
        <w:rPr>
          <w:sz w:val="20"/>
          <w:szCs w:val="20"/>
          <w:color w:val="auto"/>
        </w:rPr>
      </w:pPr>
      <w:r>
        <w:rPr>
          <w:rFonts w:ascii="Arial" w:cs="Arial" w:eastAsia="Arial" w:hAnsi="Arial"/>
          <w:sz w:val="17"/>
          <w:szCs w:val="17"/>
          <w:color w:val="auto"/>
        </w:rPr>
        <w:t>For the year ended June 30, 2019, net cash provided by financing activities was A$16.9 million from the A$12.3 million proceeds of loan notes and the additional A$4.6 million proceeds from borrowings.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300" w:right="679"/>
        <w:spacing w:after="0" w:line="277" w:lineRule="auto"/>
        <w:rPr>
          <w:sz w:val="20"/>
          <w:szCs w:val="20"/>
          <w:color w:val="auto"/>
        </w:rPr>
      </w:pPr>
      <w:r>
        <w:rPr>
          <w:rFonts w:ascii="Arial" w:cs="Arial" w:eastAsia="Arial" w:hAnsi="Arial"/>
          <w:sz w:val="18"/>
          <w:szCs w:val="18"/>
          <w:b w:val="1"/>
          <w:bCs w:val="1"/>
          <w:i w:val="1"/>
          <w:iCs w:val="1"/>
          <w:color w:val="auto"/>
        </w:rPr>
        <w:t>Amendments to Accounting Standards that are Mandatorily Effective for the Financial Year Ended June 30, 2021</w:t>
      </w:r>
    </w:p>
    <w:p>
      <w:pPr>
        <w:spacing w:after="0" w:line="62"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We have adopted all of the new and revised Standards and Interpretations issued by the IASB that are relevant to our operations and effective for the financial year ended June 30, 2021.</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Pronouncements Adopted for the First Time in the Year Ended June 30, 2021</w:t>
      </w:r>
    </w:p>
    <w:p>
      <w:pPr>
        <w:spacing w:after="0" w:line="117"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During the fiscal year ended June 30, 2021, we applied a number of amendments to IFRS and Interpretations issued by the IASB that are effective for an annual period that begins on or after January 1, 2020. Their adoption has not had any material impact on the disclosures or on the amounts reported in our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Pronouncements Adopted for the First Time in the Year Ended June 30, 2021</w:t>
      </w:r>
    </w:p>
    <w:p>
      <w:pPr>
        <w:spacing w:after="0" w:line="117"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During the fiscal year ended June 30, 2021, we applied a number of amendments to IFRS and Interpretations issued by the IASB that are effective for an annual period that begins on or after January 1, 2020. Their adoption has not had any material impact on the disclosures or on the amounts reported in our consolidated financial statements.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New and Revised IFRS and Interpretations on Issue But not Yet Effective</w:t>
      </w:r>
    </w:p>
    <w:p>
      <w:pPr>
        <w:spacing w:after="0" w:line="117"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new and revised IFRS, Interpretations and amendments that have been issued but are not yet effective, are not expected to have a material impact on the amounts recognized or disclosures included in our consolidated financial statements.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As a company with less than US$1.07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79" w:lineRule="exact"/>
        <w:rPr>
          <w:sz w:val="20"/>
          <w:szCs w:val="20"/>
          <w:color w:val="auto"/>
        </w:rPr>
      </w:pPr>
    </w:p>
    <w:p>
      <w:pPr>
        <w:ind w:left="1000" w:right="459" w:hanging="348"/>
        <w:spacing w:after="0" w:line="342"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exemption from the auditor attestation requirement of Section 404 of the Sarbanes-Oxley Act of 2002, or the Sarbanes-Oxley Act, in the assessment of our internal controls over financial reporting; and</w:t>
      </w:r>
    </w:p>
    <w:p>
      <w:pPr>
        <w:spacing w:after="0" w:line="15" w:lineRule="exact"/>
        <w:rPr>
          <w:rFonts w:ascii="Arial" w:cs="Arial" w:eastAsia="Arial" w:hAnsi="Arial"/>
          <w:sz w:val="16"/>
          <w:szCs w:val="16"/>
          <w:color w:val="auto"/>
        </w:rPr>
      </w:pPr>
    </w:p>
    <w:p>
      <w:pPr>
        <w:ind w:left="1000" w:right="359" w:hanging="348"/>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76" w:lineRule="exact"/>
        <w:rPr>
          <w:sz w:val="20"/>
          <w:szCs w:val="20"/>
          <w:color w:val="auto"/>
        </w:rPr>
      </w:pPr>
    </w:p>
    <w:p>
      <w:pPr>
        <w:ind w:left="300" w:right="379" w:firstLine="360"/>
        <w:spacing w:after="0" w:line="271" w:lineRule="auto"/>
        <w:rPr>
          <w:sz w:val="20"/>
          <w:szCs w:val="20"/>
          <w:color w:val="auto"/>
        </w:rPr>
      </w:pPr>
      <w:r>
        <w:rPr>
          <w:rFonts w:ascii="Arial" w:cs="Arial" w:eastAsia="Arial" w:hAnsi="Arial"/>
          <w:sz w:val="17"/>
          <w:szCs w:val="17"/>
          <w:color w:val="auto"/>
        </w:rPr>
        <w:t>We may take advantage of these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 earliest to occur of (i) the last day of the fiscal year in which we have more than US$1.07 billion in annual revenue; (ii) the last day of the fiscal year in which we qualify as a “large accelerated filer”; (iii) the date on which we have, during the previous three-year period, issued more than US$1.0 billion in non-convertible debt securities; and (iv) the last day of the fiscal year in which the fifth anniversary of the completion of our first sale of common equity securities pursuant to an effective registration statement under the Securities Act.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 Status</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We are also considered a “foreign private issuer” under U.S. securities laws. In our capacity as a foreign private issuer, we are exempt from certain rules under the Securities Exchange Act of 1934, as amended, that impose certain disclosure obligations and procedural requirements for proxy solicitations under Section 14 of the Exchange Act. In addition, our senior management, the members of our board of directors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73"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 (i) the majority of the members of board of directors or our senior management are U.S. citizens or residents; (ii) more than 50% of our assets are located in the United States; or (iii) our business is administered principally in the United States.</w:t>
      </w:r>
    </w:p>
    <w:p>
      <w:pPr>
        <w:spacing w:after="0" w:line="68"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We have taken advantage of certain reduced reporting and other requirements in this registration statement. Accordingly, the information contained herein may be different from the information you receive from other public companies.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Group has no significant concentration of credit risk with respect to any counterparties or on a geographical basis. Amounts are considered as “past due” when the debt has not been settled, in line with the terms and conditions agreed between the Group and the customer to the transaction.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The Group assess impairment on trade and other receivables using the simplified approach of the expected credit loss (ECL) model under AASB 9. Due to the minimal history of bad debt write-offs and strong credit approval processes, the Group have determined that the incorporation of the ECL model will not have a material effect on impairment.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balance of receivables that remain within initial trade terms are considered to be of high credit quality.</w:t>
      </w:r>
    </w:p>
    <w:p>
      <w:pPr>
        <w:spacing w:after="0" w:line="3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Weaknesses</w:t>
      </w:r>
    </w:p>
    <w:p>
      <w:pPr>
        <w:spacing w:after="0" w:line="121"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Our management has not completed an assessment of the effectiveness of our internal control over financial reporting, and our independent registered public accounting firm has not conducted an audit of our internal control over financial reporting. In connection with the preparation of our financial statements as of and for the years ended June 30, 2021 and 2020, we identified certain control deficiencies in the design and implementation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 — Integrated Framework (2013).</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material weaknesses identified by management relate to the following:</w:t>
      </w:r>
    </w:p>
    <w:p>
      <w:pPr>
        <w:spacing w:after="0" w:line="117" w:lineRule="exact"/>
        <w:rPr>
          <w:sz w:val="20"/>
          <w:szCs w:val="20"/>
          <w:color w:val="auto"/>
        </w:rPr>
      </w:pPr>
    </w:p>
    <w:p>
      <w:pPr>
        <w:jc w:val="both"/>
        <w:ind w:left="1000" w:right="839" w:hanging="348"/>
        <w:spacing w:after="0" w:line="342"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Limited personnel in our accounting and finance functions have resulted in our inability to establish sufficient segregation of duties across the key business and financial processes of our organization;</w:t>
      </w:r>
    </w:p>
    <w:p>
      <w:pPr>
        <w:spacing w:after="0" w:line="15" w:lineRule="exact"/>
        <w:rPr>
          <w:rFonts w:ascii="Arial" w:cs="Arial" w:eastAsia="Arial" w:hAnsi="Arial"/>
          <w:sz w:val="16"/>
          <w:szCs w:val="16"/>
          <w:color w:val="auto"/>
        </w:rPr>
      </w:pPr>
    </w:p>
    <w:p>
      <w:pPr>
        <w:ind w:left="1000" w:right="439" w:hanging="348"/>
        <w:spacing w:after="0" w:line="25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Lack of appropriately designed, implemented and documented procedures and controls to allow us to achieve complete, accurate and timely financial reporting, including controls over the preparation and review of account reconciliations and journal entries, and controls over information technology including access and program change management to ensure access to financial data is adequately restricted to appropriate personnel; and</w:t>
      </w:r>
    </w:p>
    <w:p>
      <w:pPr>
        <w:spacing w:after="0" w:line="79"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Lack of personnel with the appropriate knowledge and experience related to SEC reporting requirements to enable us to design and maintain an effective financial reporting process.</w:t>
      </w:r>
    </w:p>
    <w:p>
      <w:pPr>
        <w:spacing w:after="0" w:line="62"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As of the date of this registration statement these remain material weaknesses. We cannot assure you that the measures that we have taken, and that will be taken, to remediate these material weaknesses will, in fact, remedy the material weaknesses or will be sufficient to prevent future material weaknesses from occurring. We also cannot assure you that we have identified all of our existing material weaknesses. Material weaknesses may still exist when we report on the effectiveness of our internal control over financial reporting as required under Section 404 of the Sarbanes-Oxley Act.</w:t>
      </w:r>
    </w:p>
    <w:p>
      <w:pPr>
        <w:spacing w:after="0" w:line="84"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As part of our plan to remediate these material weaknesses we intend to implement a number of measures to address the material weaknesses that have been identified including: (i) hiring additional accounting and financial reporting personnel with SEC reporting experience, (ii) expanding the capabilities of existing accounting and financial reporting personnel through training and education in SEC rules and regulations, (iii) establishing effective monitoring and oversight controls for non-recurring and complex transactions designed to ensure the accuracy and completeness of the Group’s consolidated financial statements and related disclosures, (iv) implementing formal processes and controls to identify, monitor and mitigate segregation of duties conflicts, and (v) improving our IT systems and monitoring of the IT function.</w:t>
      </w:r>
    </w:p>
    <w:p>
      <w:pPr>
        <w:spacing w:after="0" w:line="70"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presence of material weaknesses could result in financial statement errors which, in turn, could lead to errors in our financial reports or delays in our financial reporting, which could require us to restate our financial statements or result in our auditors issuing a qualified audit report. Remediating material weaknesses will absorb management time and will require us to incur additional expenses, which could have a negative effect on the trading price of our ordinary shares and the ADSs. In order to establish and maintain effective disclosure controls and procedures and internal controls over financial reporting, we will need to expend significant resources and provide significant management oversight. Developing, implementing and testing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7"/>
          <w:szCs w:val="17"/>
          <w:color w:val="auto"/>
        </w:rPr>
        <w:t>It is possible that, had we and our independent registered public accounting firm performed a formal assessment of the effectiveness of our internal control over financial reporting in accordance with the provisions of the Sarbanes-Oxley Act, additional material weaknesses may have been identified.</w:t>
      </w:r>
    </w:p>
    <w:p>
      <w:pPr>
        <w:spacing w:after="0" w:line="57"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If either we are unable to conclude that we have effective internal controls over financial reporting or our independent registered public accounting firm are unable to provide us with an unqualified report on the effectiveness of our internal controls over financial reporting as required by Section 404(b) of the Sarbanes-Oxley Act, investors may lose confidence in our operating results, the price of our ordinary shares and the ADSs could decline and we may be subject to litigation or regulatory enforcement actions. In addition, if we are unable to meet the requirements of Section 404 of the Sarbanes-Oxley Act, we may not be able to remain listed on Nasdaq.</w:t>
      </w:r>
    </w:p>
    <w:p>
      <w:pPr>
        <w:spacing w:after="0" w:line="56" w:lineRule="exact"/>
        <w:rPr>
          <w:sz w:val="20"/>
          <w:szCs w:val="20"/>
          <w:color w:val="auto"/>
        </w:rPr>
      </w:pPr>
    </w:p>
    <w:p>
      <w:pPr>
        <w:ind w:left="300" w:right="299" w:firstLine="360"/>
        <w:spacing w:after="0" w:line="313" w:lineRule="auto"/>
        <w:rPr>
          <w:sz w:val="20"/>
          <w:szCs w:val="20"/>
          <w:color w:val="auto"/>
        </w:rPr>
      </w:pPr>
      <w:r>
        <w:rPr>
          <w:rFonts w:ascii="Arial" w:cs="Arial" w:eastAsia="Arial" w:hAnsi="Arial"/>
          <w:sz w:val="15"/>
          <w:szCs w:val="15"/>
          <w:color w:val="auto"/>
        </w:rPr>
        <w:t>See “Risk Factors—</w:t>
      </w:r>
      <w:r>
        <w:rPr>
          <w:rFonts w:ascii="Arial" w:cs="Arial" w:eastAsia="Arial" w:hAnsi="Arial"/>
          <w:sz w:val="15"/>
          <w:szCs w:val="15"/>
          <w:b w:val="1"/>
          <w:bCs w:val="1"/>
          <w:i w:val="1"/>
          <w:iCs w:val="1"/>
          <w:color w:val="auto"/>
        </w:rPr>
        <w:t>We identified a material weakness in our internal control over financial reporting in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connection with the audit of our financial statements for the fiscal year ended June 30, 2021, and we may identify additional material weaknesses in the future that may cause us to fail to meet our reporting obligations or result in material misstatements of our financial statements. 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negatively impacted.</w:t>
      </w:r>
      <w:r>
        <w:rPr>
          <w:rFonts w:ascii="Arial" w:cs="Arial" w:eastAsia="Arial" w:hAnsi="Arial"/>
          <w:sz w:val="15"/>
          <w:szCs w:val="15"/>
          <w:color w:val="auto"/>
        </w:rPr>
        <w:t>”</w:t>
      </w:r>
    </w:p>
    <w:p>
      <w:pPr>
        <w:spacing w:after="0" w:line="149"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121"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Information regarding our research and development and patent matters are detailed in Item 4.B. Business Overview.</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7"/>
          <w:szCs w:val="17"/>
          <w:b w:val="1"/>
          <w:bCs w:val="1"/>
          <w:color w:val="auto"/>
        </w:rPr>
        <w:t>Trend Information</w:t>
      </w:r>
    </w:p>
    <w:p>
      <w:pPr>
        <w:spacing w:after="0" w:line="121" w:lineRule="exact"/>
        <w:rPr>
          <w:sz w:val="20"/>
          <w:szCs w:val="20"/>
          <w:color w:val="auto"/>
        </w:rPr>
      </w:pPr>
    </w:p>
    <w:p>
      <w:pPr>
        <w:jc w:val="both"/>
        <w:ind w:left="300" w:right="399" w:firstLine="360"/>
        <w:spacing w:after="0" w:line="259" w:lineRule="auto"/>
        <w:rPr>
          <w:sz w:val="20"/>
          <w:szCs w:val="20"/>
          <w:color w:val="auto"/>
        </w:rPr>
      </w:pPr>
      <w:r>
        <w:rPr>
          <w:rFonts w:ascii="Arial" w:cs="Arial" w:eastAsia="Arial" w:hAnsi="Arial"/>
          <w:sz w:val="18"/>
          <w:szCs w:val="18"/>
          <w:color w:val="auto"/>
        </w:rPr>
        <w:t>Our growth strategy and industry trends are detailed in Item 3. Key Information – B. Business Overview. The uncertainties and material commitments such as financial instruments that are likely to have a material effect on our financial condition are described in Item 3. Key Information – D. Risk Factors and Item 5. Operating and Financial Review and Prospects – B. Liquidity and Capital resources.</w:t>
      </w:r>
    </w:p>
    <w:p>
      <w:pPr>
        <w:spacing w:after="0" w:line="183" w:lineRule="exact"/>
        <w:rPr>
          <w:sz w:val="20"/>
          <w:szCs w:val="20"/>
          <w:color w:val="auto"/>
        </w:rPr>
      </w:pPr>
    </w:p>
    <w:p>
      <w:pPr>
        <w:ind w:left="640" w:hanging="348"/>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The preparation of the financial statements requires the use of certain critical accounting estimates. It also requires management to exercise its judgment in the process of applying the Group’s accounting policies. The areas involving a higher degree of judgment or complexity, or areas where assumptions and estimates are significant to the financial statements, are disclosed below.</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Exploration and evaluation costs</w:t>
      </w:r>
    </w:p>
    <w:p>
      <w:pPr>
        <w:spacing w:after="0" w:line="117"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Exploration and evaluation costs have been capitalized on the basis that the Group intend to commence commercial production in the future, from which time the costs will be amortized in proportion to the depletion of the mineral resources. Key judgments are applied in considering costs to be capitalized which includes determining expenditures directly related to these activities and allocating overheads between those that are expensed and capitalized.</w:t>
      </w:r>
    </w:p>
    <w:p>
      <w:pPr>
        <w:spacing w:after="0" w:line="80"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In addition, costs are only capitalized that are expected to be recovered either through successful development or sale of the relevant mining interest. Factors that could impact the future commercial production at the mine include the level of reserves and resources, future technology changes, which could impact the cost of mining, future legal changes and changes in commodity prices. To the extent that capitalized costs are determined not to be recoverable in the future, they will be written off in the period in which this determination is made.</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Value of intangible assets relating to acquisitions</w:t>
      </w:r>
    </w:p>
    <w:p>
      <w:pPr>
        <w:spacing w:after="0" w:line="117"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The Group has allocated portions of the cost of acquisitions to technology intangibles, valued using the relief from royalty method. These calculations require the use of assumptions including future revenue forecasts and a royalty rate. Technology is amortized over its useful life of 5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Impairment of goodwill and identifiable intangible assets</w:t>
      </w:r>
    </w:p>
    <w:p>
      <w:pPr>
        <w:spacing w:after="0" w:line="117"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The Group determines whether goodwill is impaired on an annual basis. This assessment requires an estimation of the recoverable amount of the cash-generating units to which the goodwill is allocated.</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 based payment transactions</w:t>
      </w:r>
    </w:p>
    <w:p>
      <w:pPr>
        <w:spacing w:after="0" w:line="117"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The Group measures the cost of equity settled transactions with employees by reference to the fair value of the equity instruments at the date at which they are granted. The fair value is determined by using either a binomial or Monte Carlo option pricing model taking into account the terms and conditions upon which the instruments were granted. The accounting estimates and assumptions, including share price volatility, interest rates and vesting periods would have no impact on the carrying amounts of assets and liabilities within the next annual reporting period but may impact the profit or loss and equity.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Directors and Senior Management</w:t>
      </w:r>
    </w:p>
    <w:p>
      <w:pPr>
        <w:spacing w:after="0" w:line="121"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The following table sets forth information relating to our directors and senior management as of the date of this registration statement.</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4540" w:type="dxa"/>
            <w:vAlign w:val="bottom"/>
          </w:tcPr>
          <w:p>
            <w:pPr>
              <w:ind w:left="202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3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Senior Management</w:t>
            </w: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4"/>
                <w:szCs w:val="24"/>
                <w:color w:val="auto"/>
              </w:rPr>
            </w:pP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Christopher Burns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Nicholas Liveris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Jeff Dahn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Scientific Advisor</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Rashda Buttar</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Vice President &amp; General Counsel</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Anthony Bellas</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Deputy Chairman and Non-executive Director</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Robert Cooper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24"/>
        </w:trPr>
        <w:tc>
          <w:tcPr>
            <w:tcW w:w="314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Zhanna Golodryga</w:t>
            </w:r>
            <w:r>
              <w:rPr>
                <w:rFonts w:ascii="Arial" w:cs="Arial" w:eastAsia="Arial" w:hAnsi="Arial"/>
                <w:sz w:val="29"/>
                <w:szCs w:val="29"/>
                <w:color w:val="auto"/>
                <w:vertAlign w:val="superscript"/>
              </w:rPr>
              <w:t>(1)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Non-executive Director</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Andrew Liveris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Non-executive Director</w:t>
            </w:r>
          </w:p>
        </w:tc>
      </w:tr>
      <w:tr>
        <w:trPr>
          <w:trHeight w:val="54"/>
        </w:trPr>
        <w:tc>
          <w:tcPr>
            <w:tcW w:w="3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Natter</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and Non-executive Director</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Trevor St Baker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Non-executive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-2451100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-2451100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2" w:lineRule="exact"/>
        <w:rPr>
          <w:sz w:val="20"/>
          <w:szCs w:val="20"/>
          <w:color w:val="auto"/>
        </w:rPr>
      </w:pPr>
    </w:p>
    <w:p>
      <w:pPr>
        <w:ind w:left="640" w:right="499" w:hanging="348"/>
        <w:spacing w:after="0" w:line="238"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Ms. Golodryga was nominated in October 2021 by Phillips 66 as part of the consummation of the Phillips 66 Transaction, which granted Phillips 66 the right to appoint one member to the Company’s Board of Directors. She was elected by the Company’s shareholders on November 30, 2021.</w:t>
      </w:r>
    </w:p>
    <w:p>
      <w:pPr>
        <w:spacing w:after="0" w:line="79"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The business addresses for our senior management and board of directors is NOVONIX Limited, Level 8, 46 Edward Street, Brisbane, Queensland 4000, Australia.</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Christopher Burns</w:t>
      </w:r>
    </w:p>
    <w:p>
      <w:pPr>
        <w:spacing w:after="0" w:line="121" w:lineRule="exact"/>
        <w:rPr>
          <w:sz w:val="20"/>
          <w:szCs w:val="20"/>
          <w:color w:val="auto"/>
        </w:rPr>
      </w:pPr>
    </w:p>
    <w:p>
      <w:pPr>
        <w:ind w:left="300" w:right="619" w:firstLine="360"/>
        <w:spacing w:after="0" w:line="296" w:lineRule="auto"/>
        <w:rPr>
          <w:sz w:val="20"/>
          <w:szCs w:val="20"/>
          <w:color w:val="auto"/>
        </w:rPr>
      </w:pPr>
      <w:r>
        <w:rPr>
          <w:rFonts w:ascii="Arial" w:cs="Arial" w:eastAsia="Arial" w:hAnsi="Arial"/>
          <w:sz w:val="16"/>
          <w:szCs w:val="16"/>
          <w:color w:val="auto"/>
        </w:rPr>
        <w:t>Dr. Christopher Burns is the company’s CEO. He is the founder, president and CEO of NOVONIX Battery Technology Solutions, which he co-founded in Canada in 2013, as well as CEO of NOVONIX Anode Materials. During his candidacy for his PhD at Dalhousie University, he co-developed Ultra-High-Precision-Coulometry (UHPC) technology. Dr. Burns also manages NOVONIX’s sponsorship of Dr. Mark Obrovac’s laboratory at Dalhousie University. He was also formerly a Senior Research Engineer with TESLA.</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Nicholas Liveris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Mr. Nicholas Liveris is the company’s CFO. Mr. Liveris was previously the operational CFO for NOVONIX Anode Materials and NOVONIX Battery Technology Solutions. He has also led business development initiatives for the company. Mr. Liveris has more than ten years of experience in investment banking and management consulting. He was previously a Senior Engagement Manager at McKinsey where he led transformation programs for automotive and manufacturing companies. Before joining McKinsey, he was an Investment Banking Analyst at Merrill Lynch covering the transportation sector.</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Jeff Dahn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Dr. Jeff Dahn is a leading researcher with over 43 years of experience in the field of lithium-ion batteries and materials who currently serves as our Chief Scientific Advisor. Dr. Dahn obtained a B.Sc. degree in Physics from Dalhousie University in 1978 and completed his Ph.D. at the University of British Columbia in 1982. After completing his Ph.D., Dr. Dahn worked at the National Research Council of Canada (between 1982 and 1984) and at Moli Energy Limited (between 1985 and 1990), where he did pioneering work on lithium-ion battery technology. In 1990, Dr. Dahn accepted a faculty position within the Physics department of Simon Fraser University. In 1996, Dr. Dahr returned to Dalhousie University.</w:t>
      </w:r>
    </w:p>
    <w:p>
      <w:pPr>
        <w:spacing w:after="0" w:line="87"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In 2016, Dahn commenced a research partnership with Tesla, which has since been extended until 2026. Dr. Dahn is the author or co-author of over 730 refereed academic publications and 73 inventions with patents issued or filed.</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96" w:lineRule="auto"/>
        <w:rPr>
          <w:sz w:val="20"/>
          <w:szCs w:val="20"/>
          <w:color w:val="auto"/>
        </w:rPr>
      </w:pPr>
      <w:r>
        <w:rPr>
          <w:rFonts w:ascii="Arial" w:cs="Arial" w:eastAsia="Arial" w:hAnsi="Arial"/>
          <w:sz w:val="16"/>
          <w:szCs w:val="16"/>
          <w:color w:val="auto"/>
        </w:rPr>
        <w:t>Dr. Dahn has received a number of national and international awards and recognitions, including the Battery Division Research Award from The Electrochemical Society in 1996, the “Technology Award” from the ECS Battery Division in 2011, the Governor General’s Innovation Award in 2016 and the Gerhard Herzberg Gold Medal in Science and Engineering, which is regarded as Canada’s top science award, in 2017. Dr. Dahn was appointed Fellow of the Royal Society of Canada in 2001 and named an Officer of the Order of Canada in 2020.</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Rashda Buttar</w:t>
      </w:r>
    </w:p>
    <w:p>
      <w:pPr>
        <w:spacing w:after="0" w:line="121" w:lineRule="exact"/>
        <w:rPr>
          <w:sz w:val="20"/>
          <w:szCs w:val="20"/>
          <w:color w:val="auto"/>
        </w:rPr>
      </w:pPr>
    </w:p>
    <w:p>
      <w:pPr>
        <w:ind w:left="300" w:right="519" w:firstLine="360"/>
        <w:spacing w:after="0" w:line="254" w:lineRule="auto"/>
        <w:rPr>
          <w:sz w:val="20"/>
          <w:szCs w:val="20"/>
          <w:color w:val="auto"/>
        </w:rPr>
      </w:pPr>
      <w:r>
        <w:rPr>
          <w:rFonts w:ascii="Arial" w:cs="Arial" w:eastAsia="Arial" w:hAnsi="Arial"/>
          <w:sz w:val="18"/>
          <w:szCs w:val="18"/>
          <w:color w:val="auto"/>
        </w:rPr>
        <w:t>Rashda M. Buttar is the company’s Senior Vice President &amp; General Counsel. Before joining the company in April 2021, Ms. Buttar served as Senior Vice President - General Counsel &amp; Corporate Secretary of Foresight Energy LP from 2011 to 2017. Ms. Buttar served as Vice President, Associate General Counsel and Corporate Secretary of Patriot Coal Corporation from 2007 to 2011 and Assistant General Counsel and Assistant Corporate Secretary of TALX Corporation from 2003 to 2007. Ms. Buttar received her Juris Doctor from Saint Louis University School of Law and her undergraduate degree in Russian and Eastern European Studies and Political Science from Saint Louis University.</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Non-executive Directors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Anthony Bellas</w:t>
      </w:r>
    </w:p>
    <w:p>
      <w:pPr>
        <w:spacing w:after="0" w:line="121" w:lineRule="exact"/>
        <w:rPr>
          <w:sz w:val="20"/>
          <w:szCs w:val="20"/>
          <w:color w:val="auto"/>
        </w:rPr>
      </w:pPr>
    </w:p>
    <w:p>
      <w:pPr>
        <w:ind w:left="300" w:right="359" w:firstLine="360"/>
        <w:spacing w:after="0" w:line="284" w:lineRule="auto"/>
        <w:rPr>
          <w:sz w:val="20"/>
          <w:szCs w:val="20"/>
          <w:color w:val="auto"/>
        </w:rPr>
      </w:pPr>
      <w:r>
        <w:rPr>
          <w:rFonts w:ascii="Arial" w:cs="Arial" w:eastAsia="Arial" w:hAnsi="Arial"/>
          <w:sz w:val="16"/>
          <w:szCs w:val="16"/>
          <w:color w:val="auto"/>
        </w:rPr>
        <w:t>Mr. Anthony Bellas was appointed as Deputy Chairman of the Company on November 30, 2021. Mr. Bellas previously served as Chairman of the Company since August 11, 2015. He brings over 30 years of experience in the public and private sectors. Mr. Bellas was previously CEO of the Seymour Group, one of Queensland’s largest private investment and development companies. Prior to joining the Seymour Group, Mr. Bellas held the position of CEO of Ergon Energy, a Queensland Government-owned corporation involved in electricity distribution and retailing. Before that, he was CEO of CS Energy, also a Queensland Government-owned corporation and the State’s largest electricity generation company, operating over 3,500 MW of gas-fired and coal-fired plant at four locations. Mr. Bellas had a long career with Queensland Treasury, achieving the position of Deputy Under Treasurer.</w:t>
      </w:r>
    </w:p>
    <w:p>
      <w:pPr>
        <w:spacing w:after="0" w:line="1" w:lineRule="exact"/>
        <w:rPr>
          <w:sz w:val="20"/>
          <w:szCs w:val="20"/>
          <w:color w:val="auto"/>
        </w:rPr>
      </w:pPr>
    </w:p>
    <w:p>
      <w:pPr>
        <w:ind w:left="300" w:right="519"/>
        <w:spacing w:after="0" w:line="260" w:lineRule="auto"/>
        <w:rPr>
          <w:sz w:val="20"/>
          <w:szCs w:val="20"/>
          <w:color w:val="auto"/>
        </w:rPr>
      </w:pPr>
      <w:r>
        <w:rPr>
          <w:rFonts w:ascii="Arial" w:cs="Arial" w:eastAsia="Arial" w:hAnsi="Arial"/>
          <w:sz w:val="18"/>
          <w:szCs w:val="18"/>
          <w:color w:val="auto"/>
        </w:rPr>
        <w:t>Mr. Bellas is also a director of Loch Exploration Pty Ltd, Colonial Goldfields Pty Ltd and West Bengal Resources (Australia) Pty Ltd.</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Robert Cooper</w:t>
      </w:r>
    </w:p>
    <w:p>
      <w:pPr>
        <w:spacing w:after="0" w:line="121" w:lineRule="exact"/>
        <w:rPr>
          <w:sz w:val="20"/>
          <w:szCs w:val="20"/>
          <w:color w:val="auto"/>
        </w:rPr>
      </w:pPr>
    </w:p>
    <w:p>
      <w:pPr>
        <w:ind w:left="300" w:right="399" w:firstLine="360"/>
        <w:spacing w:after="0" w:line="271" w:lineRule="auto"/>
        <w:rPr>
          <w:sz w:val="20"/>
          <w:szCs w:val="20"/>
          <w:color w:val="auto"/>
        </w:rPr>
      </w:pPr>
      <w:r>
        <w:rPr>
          <w:rFonts w:ascii="Arial" w:cs="Arial" w:eastAsia="Arial" w:hAnsi="Arial"/>
          <w:sz w:val="17"/>
          <w:szCs w:val="17"/>
          <w:color w:val="auto"/>
        </w:rPr>
        <w:t>Mr. Robert Cooper is a Non-Executive Director of the Company. Mr. Cooper is a mining engineer with almost 30 years’ industry experience, having held leadership roles across a diverse range of commodities, both in Australia and overseas. He has a broad foundation of operating and technical experience in both operations and project development. Mr. Cooper has previously held leadership positions with BHP Billiton as General Manager of Leinster Nickel Operations within Nickel West, and as Asset President of Ekati Diamonds in Canada. He also held positions with Discovery Metals as General Manager-Operations in Botswana and as General Manager-Development in their Brisbane office. Robert is currently the CEO of Round Oak Minerals Pty Limited, a 100% owned subsidiary of the Washington H Soul Pattinson Group of companies.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Zhanna Golodryga</w:t>
      </w:r>
    </w:p>
    <w:p>
      <w:pPr>
        <w:spacing w:after="0" w:line="121"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Ms. Zhanna Golodryga is a Non-Executive Director of the Company. Ms. Golodryga is the Senior Vice President and Chief Digital and Administrative Officer of Phillips 66. Prior to joining Phillips 66, Ms. Golodryga served as Chief Information Officer and Senior Vice President, Services at Hess Corporation with responsibility for managing the company’s service organizations including global supply chain, global business transformation program, and global office services, as well as information management, enterprise architecture, infrastructure and cybersecurity.</w:t>
      </w:r>
    </w:p>
    <w:p>
      <w:pPr>
        <w:spacing w:after="0" w:line="84" w:lineRule="exact"/>
        <w:rPr>
          <w:sz w:val="20"/>
          <w:szCs w:val="20"/>
          <w:color w:val="auto"/>
        </w:rPr>
      </w:pPr>
    </w:p>
    <w:p>
      <w:pPr>
        <w:jc w:val="both"/>
        <w:ind w:left="300" w:right="519" w:firstLine="360"/>
        <w:spacing w:after="0" w:line="263" w:lineRule="auto"/>
        <w:rPr>
          <w:sz w:val="20"/>
          <w:szCs w:val="20"/>
          <w:color w:val="auto"/>
        </w:rPr>
      </w:pPr>
      <w:r>
        <w:rPr>
          <w:rFonts w:ascii="Arial" w:cs="Arial" w:eastAsia="Arial" w:hAnsi="Arial"/>
          <w:sz w:val="18"/>
          <w:szCs w:val="18"/>
          <w:color w:val="auto"/>
        </w:rPr>
        <w:t>Ms. Golodryga was nominated in October 2021 by Phillips 66 as part of the consummation of the Phillips 66 Transaction, which granted Phillips 66 the right to appoint one member to the Company’s Board of Directors. She was elected by the Company’s shareholders on November 30, 2021.</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Andrew Liveris AO</w:t>
      </w:r>
    </w:p>
    <w:p>
      <w:pPr>
        <w:spacing w:after="0" w:line="121" w:lineRule="exact"/>
        <w:rPr>
          <w:sz w:val="20"/>
          <w:szCs w:val="20"/>
          <w:color w:val="auto"/>
        </w:rPr>
      </w:pPr>
    </w:p>
    <w:p>
      <w:pPr>
        <w:ind w:left="300" w:right="459" w:firstLine="360"/>
        <w:spacing w:after="0" w:line="274" w:lineRule="auto"/>
        <w:rPr>
          <w:sz w:val="20"/>
          <w:szCs w:val="20"/>
          <w:color w:val="auto"/>
        </w:rPr>
      </w:pPr>
      <w:r>
        <w:rPr>
          <w:rFonts w:ascii="Arial" w:cs="Arial" w:eastAsia="Arial" w:hAnsi="Arial"/>
          <w:sz w:val="17"/>
          <w:szCs w:val="17"/>
          <w:color w:val="auto"/>
        </w:rPr>
        <w:t>Mr. Andrew Liveris AO is a Non-Executive Director of the Company. Mr. Liveris is the former Chairman and Chief Executive Officer of The Dow Chemical Company and former Executive Chairman of DowDuPont.</w:t>
      </w:r>
    </w:p>
    <w:p>
      <w:pPr>
        <w:ind w:left="300" w:right="359"/>
        <w:spacing w:after="0" w:line="260" w:lineRule="auto"/>
        <w:rPr>
          <w:sz w:val="20"/>
          <w:szCs w:val="20"/>
          <w:color w:val="auto"/>
        </w:rPr>
      </w:pPr>
      <w:r>
        <w:rPr>
          <w:rFonts w:ascii="Arial" w:cs="Arial" w:eastAsia="Arial" w:hAnsi="Arial"/>
          <w:sz w:val="18"/>
          <w:szCs w:val="18"/>
          <w:color w:val="auto"/>
        </w:rPr>
        <w:t>Mr. Liveris is a recognized global business leader with more than 42 years at Dow and experience in manufacturing, engineering, sales, marketing, and business and general management.</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Mr. Liveris is also a Director at IBM and Saudi Aramco, Deputy Chairman at Worley, and Chairman at Lucid Motors and the Minderoo Foundation. He is on the advisory board of Sumitomo Mitsui Banking Corporation, Teneo (a global CEO consulting and advisory firm), and NEOM (an initiative driven by Saudi Vision 2030). He is Chairman of the BlackRock Long Term Private Capital Fund and a Special Advisor to the Public Investment Fund. Mr. Liveris serves as a Trustee for the King Abdullah University of Science and Technology and is a member of the Concordia Leadership Council.</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Robert Natter</w:t>
      </w:r>
    </w:p>
    <w:p>
      <w:pPr>
        <w:spacing w:after="0" w:line="121" w:lineRule="exact"/>
        <w:rPr>
          <w:sz w:val="20"/>
          <w:szCs w:val="20"/>
          <w:color w:val="auto"/>
        </w:rPr>
      </w:pPr>
    </w:p>
    <w:p>
      <w:pPr>
        <w:ind w:left="300" w:right="619" w:firstLine="360"/>
        <w:spacing w:after="0" w:line="259" w:lineRule="auto"/>
        <w:rPr>
          <w:sz w:val="20"/>
          <w:szCs w:val="20"/>
          <w:color w:val="auto"/>
        </w:rPr>
      </w:pPr>
      <w:r>
        <w:rPr>
          <w:rFonts w:ascii="Arial" w:cs="Arial" w:eastAsia="Arial" w:hAnsi="Arial"/>
          <w:sz w:val="18"/>
          <w:szCs w:val="18"/>
          <w:color w:val="auto"/>
        </w:rPr>
        <w:t>Admiral Robert J. Natter serves as our Chairman and Non-executive Director effective as of November 30, 2021. He previously served as an Executive Director from September 30, 2020. He retired from active military service in 2003 and has significant experience in both the government and private sectors in the North American market.</w:t>
      </w:r>
    </w:p>
    <w:p>
      <w:pPr>
        <w:spacing w:after="0" w:line="79"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During his Navy career, Admiral Natter served as the Commander of the U.S. Seventh Fleet operating throughout Asia and the Indian Ocean, Commander in Chief of the U.S Atlantic Fleet and the first Commander of U.S. Fleet Forces Command, overseeing all Continental U.S. Navy bases, facilities and training operations. For six years until 2018, Admiral Natter was Chairman of the U.S. Naval Academy Alumni Association Board of Trustees, representing about 60,000 living graduates. He currently serves on the Board of the Naval Academy Foundation, and also served on the Boards of the National Navy SEAL Museum and the Yellow Ribbon Fund.</w:t>
      </w:r>
    </w:p>
    <w:p>
      <w:pPr>
        <w:spacing w:after="0" w:line="70"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Admiral Natter also serves on the Board of Directors of Allied Universal Security Company with over 720,000 employees world-wide. He was previously a Director of Corporate Travel Management, specializing in corporate employee travel throughout Australia, Asia, Europe, and the United States. Until December 2020, Admiral Natter was also the Chairman of the Board of Physical Optics Corp (POC) in Torrance, California.</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Trevor St Baker AO</w:t>
      </w:r>
    </w:p>
    <w:p>
      <w:pPr>
        <w:spacing w:after="0" w:line="121"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Mr. Trevor St Baker AO is a Non-Executive Director of the Company. Mr. St Baker has over 60 years’ experience in the energy industry, including 23 years in planning and leadership roles within NSW and Queensland Electricity Commissions, 12 years as Principal of ERM Consultants then founding ERM Power Ltd which was acquired by Shell for A$617 million in November 2019.</w:t>
      </w:r>
    </w:p>
    <w:p>
      <w:pPr>
        <w:spacing w:after="0" w:line="79"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Mr. St Baker is currently Chairman of Sunset Power International t/a Delta Electricity and the founder and a Director of the St Baker Energy Innovation Fund.</w:t>
      </w:r>
    </w:p>
    <w:p>
      <w:pPr>
        <w:spacing w:after="0" w:line="62" w:lineRule="exact"/>
        <w:rPr>
          <w:sz w:val="20"/>
          <w:szCs w:val="20"/>
          <w:color w:val="auto"/>
        </w:rPr>
      </w:pPr>
    </w:p>
    <w:p>
      <w:pPr>
        <w:ind w:left="300" w:right="639" w:firstLine="360"/>
        <w:spacing w:after="0" w:line="255" w:lineRule="auto"/>
        <w:rPr>
          <w:sz w:val="20"/>
          <w:szCs w:val="20"/>
          <w:color w:val="auto"/>
        </w:rPr>
      </w:pPr>
      <w:r>
        <w:rPr>
          <w:rFonts w:ascii="Arial" w:cs="Arial" w:eastAsia="Arial" w:hAnsi="Arial"/>
          <w:sz w:val="18"/>
          <w:szCs w:val="18"/>
          <w:color w:val="auto"/>
        </w:rPr>
        <w:t>Mr. St Baker is an investor and director of leading global electric vehicle DC fast charge developer and manufacturer, Tritium Pty Ltd. He is also Chairman of Nth Degree Worldwide Technologies Inc, and of Printed Energy Pty Ltd, both of Tempe Arizona, and a Director of CareWear Corp, of Reno NY. Mr. St Baker is also a founding director of SMR Nuclear Technology Pty Ltd. Mr. St Baker also co-founded the St Baker Wilkes Indigenous Educational Foundation Limited, and he and his wife have established the Trevor &amp; Judith St. Baker Philanthropic Trust.</w:t>
      </w:r>
    </w:p>
    <w:p>
      <w:pPr>
        <w:spacing w:after="0" w:line="84"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Mr. St Baker has appointed Mr. Chris Hay to act as his alternate on the Board of the Company. Mr. Hay is an experienced senior executive and investment professional with direct investment experience with private equity and venture capital. As Mr. St Baker’s alternate, Mr. Hay is entitled to attend meetings of the directors of the Company, and exercises Mr. St Baker’s powers as a director, when Mr. St. Baker is not able to do so.</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Andrew Liveris, a non-executive director, is the father of the Group’s Chief Financial Officer, Nick Liveris.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Until September 2020, Mr. St Baker’s son, Philip St Baker, served as the Group’s Managing Director.</w:t>
      </w:r>
    </w:p>
    <w:p>
      <w:pPr>
        <w:spacing w:after="0" w:line="207" w:lineRule="exact"/>
        <w:rPr>
          <w:sz w:val="20"/>
          <w:szCs w:val="20"/>
          <w:color w:val="auto"/>
        </w:rPr>
      </w:pPr>
    </w:p>
    <w:p>
      <w:pPr>
        <w:ind w:left="640" w:hanging="348"/>
        <w:spacing w:after="0"/>
        <w:tabs>
          <w:tab w:leader="none" w:pos="6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Our remuneration policy is to align director and senior management objectives with shareholder and business objectives by providing a fixed remuneration component and typically offering short-term and long-term incentives based on key performance areas. Our board of directors believes the remuneration policy to be appropriate and effective in its ability to attract and retain the best executives and directors to run and manage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59"/>
        <w:spacing w:after="0" w:line="286" w:lineRule="auto"/>
        <w:rPr>
          <w:sz w:val="20"/>
          <w:szCs w:val="20"/>
          <w:color w:val="auto"/>
        </w:rPr>
      </w:pPr>
      <w:r>
        <w:rPr>
          <w:rFonts w:ascii="Arial" w:cs="Arial" w:eastAsia="Arial" w:hAnsi="Arial"/>
          <w:sz w:val="17"/>
          <w:szCs w:val="17"/>
          <w:color w:val="auto"/>
        </w:rPr>
        <w:t>the consolidated entity, as well as create goal congruence between directors, executives and shareholders. Our board of directors and the Remuneration Committee are responsible for determining the appropriate remuneration package for our directors and senior management, including our Chief Executive Officer.</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Remuneration of Senior Management</w:t>
      </w:r>
    </w:p>
    <w:p>
      <w:pPr>
        <w:spacing w:after="0" w:line="117" w:lineRule="exact"/>
        <w:rPr>
          <w:sz w:val="20"/>
          <w:szCs w:val="20"/>
          <w:color w:val="auto"/>
        </w:rPr>
      </w:pPr>
    </w:p>
    <w:p>
      <w:pPr>
        <w:ind w:left="300" w:right="759" w:firstLine="360"/>
        <w:spacing w:after="0" w:line="342" w:lineRule="auto"/>
        <w:rPr>
          <w:sz w:val="20"/>
          <w:szCs w:val="20"/>
          <w:color w:val="auto"/>
        </w:rPr>
      </w:pPr>
      <w:r>
        <w:rPr>
          <w:rFonts w:ascii="Arial" w:cs="Arial" w:eastAsia="Arial" w:hAnsi="Arial"/>
          <w:sz w:val="16"/>
          <w:szCs w:val="16"/>
          <w:color w:val="auto"/>
        </w:rPr>
        <w:t>Our senior management receive fixed annual remuneration of cash salary and employee benefit coverage, short-term incentives under our annual bonus program and long-term incentives in the form of equity awards.</w:t>
      </w:r>
    </w:p>
    <w:p>
      <w:pPr>
        <w:spacing w:after="0" w:line="16"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All senior management are eligible to receive an annual cash bonus at the end of the financial year subject to the executive achieving the key performance indicators set for them during the financial year. We reserve the right to pay any annual cash bonus in the form of fully paid ordinary shares at the sole discretion of our board of directors. For the purpose of calculating the number of shares to be issued to the executive, the issue price of the ordinary shares is based on the 10-day volume weighted average price of ordinary shares immediately prior to the issue.</w:t>
      </w:r>
    </w:p>
    <w:p>
      <w:pPr>
        <w:spacing w:after="0" w:line="53"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Our senior management participate at the discretion of our board of directors in our Long Term Incentive Program (or “LTIP”), consisting of one-off grants of options or performance rights, with varying vesting conditions. We do not have a formal grant practice under the LTIP; rather, incentives are awarded at the discretion of our board of directors. Performance rights convertible into 1,500,000 ordinary shares (in the case of our Chief Executive Officer) and 750,000 ordinary shares (in the case of our Chief Financial Officer) were awarded to senior management during the fiscal year ended June 30, 2021. Performance rights convertible into 200,000 ordinary shares were awarded to each of our Chief Executive Officer and Chief Financial Officer on November 30, 2021. Performance rights convertible into 1,000,000 ordinary shares were awarded to our Chief Scientific Advisor on July 1, 2021, subject to a vesting schedule of one-quarter per year starting July 1, 2022. Performance rights convertible into 150,000 ordinary shares were awarded to our Senior Vice President &amp; General Counsel on October 6, 2021, subject to a vesting schedule of one-quarter per year starting April 22, 2022.</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Remuneration of Non-Executive Directors</w:t>
      </w:r>
    </w:p>
    <w:p>
      <w:pPr>
        <w:spacing w:after="0" w:line="117" w:lineRule="exact"/>
        <w:rPr>
          <w:sz w:val="20"/>
          <w:szCs w:val="20"/>
          <w:color w:val="auto"/>
        </w:rPr>
      </w:pPr>
    </w:p>
    <w:p>
      <w:pPr>
        <w:ind w:left="300" w:right="439" w:firstLine="360"/>
        <w:spacing w:after="0" w:line="273" w:lineRule="auto"/>
        <w:rPr>
          <w:sz w:val="20"/>
          <w:szCs w:val="20"/>
          <w:color w:val="auto"/>
        </w:rPr>
      </w:pPr>
      <w:r>
        <w:rPr>
          <w:rFonts w:ascii="Arial" w:cs="Arial" w:eastAsia="Arial" w:hAnsi="Arial"/>
          <w:sz w:val="17"/>
          <w:szCs w:val="17"/>
          <w:color w:val="auto"/>
        </w:rPr>
        <w:t>The non-executive chairman receives cash fees of USD$106,000 per year including superannuation. The non-executive deputy chairman receives cash fees of USD$70,000 per year including superannuation. Other non-executive directors receive USD$50,000 per year inclusive of superannuation. Committee Chair fees range from USD$12,500 to USD$20,000 and Committee Membership fees range from USD$6,750 to USD$10,000 per year inclusive of superannuation, are also paid. Fees are reviewed annually by the board taking into account comparable roles. The current base fees were reviewed with effect from July 1, 2021.</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non-executive Directors’ fee pool is USD$600,000 (excluding share based payments).</w:t>
      </w:r>
    </w:p>
    <w:p>
      <w:pPr>
        <w:spacing w:after="0" w:line="117"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In addition to the cash fees noted above, non-executive directors receive an annual reward of USD$110,000 of Share Rights.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Employment Agreements with Senior Management</w:t>
      </w:r>
    </w:p>
    <w:p>
      <w:pPr>
        <w:spacing w:after="0" w:line="117"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We entered into employment agreements with our Chief Executive Officer, Chief Financial Officer and Senior Vice President &amp; General Counsel as of July 1, 2021. The employment agreements generally provide for the following remuneration:</w:t>
      </w:r>
    </w:p>
    <w:p>
      <w:pPr>
        <w:spacing w:after="0" w:line="76" w:lineRule="exact"/>
        <w:rPr>
          <w:sz w:val="20"/>
          <w:szCs w:val="20"/>
          <w:color w:val="auto"/>
        </w:rPr>
      </w:pPr>
    </w:p>
    <w:p>
      <w:pPr>
        <w:ind w:left="1000" w:right="47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base salary of US$646,800 (in the case of our Chief Executive Officer), US$400,000 (in the case of our Chief Financial Officer) and US$361,500 (in the case of our Senior Vice President &amp; General Counsel), which is to be reviewed annually by our board of directors;</w:t>
      </w:r>
    </w:p>
    <w:p>
      <w:pPr>
        <w:spacing w:after="0" w:line="75" w:lineRule="exact"/>
        <w:rPr>
          <w:rFonts w:ascii="Arial" w:cs="Arial" w:eastAsia="Arial" w:hAnsi="Arial"/>
          <w:sz w:val="18"/>
          <w:szCs w:val="18"/>
          <w:color w:val="auto"/>
        </w:rPr>
      </w:pPr>
    </w:p>
    <w:p>
      <w:pPr>
        <w:ind w:left="1000" w:right="339" w:hanging="348"/>
        <w:spacing w:after="0" w:line="25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Annual bonus of up to 100% of base salary (in the case of our Chief Executive Officer and Chief Financial Officer) and up to 50% of base salary (in the case of our Senior Vice President &amp; General Counsel) (which may be increased or decreased in extraordinary circumstances, in the complete discretion of the board of directors), based on the achievement of key performance indicators approved by the board of directors; and</w:t>
      </w:r>
    </w:p>
    <w:p>
      <w:pPr>
        <w:spacing w:after="0" w:line="79" w:lineRule="exact"/>
        <w:rPr>
          <w:rFonts w:ascii="Arial" w:cs="Arial" w:eastAsia="Arial" w:hAnsi="Arial"/>
          <w:sz w:val="18"/>
          <w:szCs w:val="18"/>
          <w:color w:val="auto"/>
        </w:rPr>
      </w:pPr>
    </w:p>
    <w:p>
      <w:pPr>
        <w:ind w:left="1000" w:right="559" w:hanging="348"/>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Annual long-term incentive opportunity with a target value based on a number of shares with a value of US$1,796,000 (in the case of our Chief Executive Officer), US$526,900 (in the case of our Chief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499"/>
        <w:spacing w:after="0" w:line="259" w:lineRule="auto"/>
        <w:rPr>
          <w:sz w:val="20"/>
          <w:szCs w:val="20"/>
          <w:color w:val="auto"/>
        </w:rPr>
      </w:pPr>
      <w:r>
        <w:rPr>
          <w:rFonts w:ascii="Arial" w:cs="Arial" w:eastAsia="Arial" w:hAnsi="Arial"/>
          <w:sz w:val="18"/>
          <w:szCs w:val="18"/>
          <w:color w:val="auto"/>
        </w:rPr>
        <w:t>Financial Officer) and US$442,100 (in the case of our Senior Vice President &amp; General Counsel) for the three-year performance period commencing July 1, 2021; and an initial grant of performance rights of 150,000 shares (in the case of our Senior Vice President &amp; General Counsel) and subject to a vesting schedule of one-quarter per year starting April 22, 2022.</w:t>
      </w:r>
    </w:p>
    <w:p>
      <w:pPr>
        <w:spacing w:after="0" w:line="79"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In the event we terminate the executive without cause or the executive terminates for good reason (as defined in the executive’s agreement), the executive will be entitled to receive the sum of twelve months of base salary and the executive’s target annual bonus for the year of termination, plus a prorated portion of the executive’s annual bonus for the year of termination (subject to achievement of the key performance indicators, unless the termination occurs within twelve months following a change in control) and continuation of health and welfare benefits for twelve months.</w:t>
      </w:r>
    </w:p>
    <w:p>
      <w:pPr>
        <w:spacing w:after="0" w:line="84"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In addition, upon termination without cause or for good reason, the executive will be entitled to vesting of a portion of the executive’s outstanding long-term incentive awards, to the same extent as if the executive had continued in employment for an additional twelve months, and all outstanding long-term incentive awards will fully vest on the occurrence of a change in control.</w:t>
      </w:r>
    </w:p>
    <w:p>
      <w:pPr>
        <w:spacing w:after="0" w:line="79"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In connection with their employment agreements, our Chief Executive Officer, Chief Financial Officer and Senior Vice President &amp; General Counsel also entered into restrictive covenant agreements, which generally provide the executive will not compete with us nor solicit our customers, suppliers or employees during the term of employment and following termination for any reason for a period of one year.</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Remuneration of Our Directors and Senior Management During the Fiscal Year Ended June 30, 2021</w:t>
      </w:r>
    </w:p>
    <w:p>
      <w:pPr>
        <w:spacing w:after="0" w:line="129"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Details of the remuneration of our non-executive directors and senior management for our fiscal year ended June 30, 2021, are set forth below.</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Short-</w:t>
            </w:r>
          </w:p>
        </w:tc>
        <w:tc>
          <w:tcPr>
            <w:tcW w:w="140" w:type="dxa"/>
            <w:vAlign w:val="bottom"/>
          </w:tcPr>
          <w:p>
            <w:pPr>
              <w:spacing w:after="0"/>
              <w:rPr>
                <w:sz w:val="14"/>
                <w:szCs w:val="14"/>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Long-Term</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Termination</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Discretionary</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Superannuation</w:t>
            </w:r>
          </w:p>
        </w:tc>
        <w:tc>
          <w:tcPr>
            <w:tcW w:w="140" w:type="dxa"/>
            <w:vAlign w:val="bottom"/>
          </w:tcPr>
          <w:p>
            <w:pPr>
              <w:spacing w:after="0"/>
              <w:rPr>
                <w:sz w:val="12"/>
                <w:szCs w:val="12"/>
                <w:color w:val="auto"/>
              </w:rPr>
            </w:pPr>
          </w:p>
        </w:tc>
        <w:tc>
          <w:tcPr>
            <w:tcW w:w="7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benefits</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payments</w:t>
            </w: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5"/>
              </w:rPr>
              <w:t>(A$)</w:t>
            </w:r>
          </w:p>
        </w:tc>
        <w:tc>
          <w:tcPr>
            <w:tcW w:w="14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w:t>
            </w: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6"/>
                <w:szCs w:val="16"/>
                <w:color w:val="auto"/>
              </w:rPr>
            </w:pP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53"/>
        </w:trPr>
        <w:tc>
          <w:tcPr>
            <w:tcW w:w="1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Directors</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gridSpan w:val="2"/>
          </w:tcPr>
          <w:p>
            <w:pPr>
              <w:spacing w:after="0" w:line="324" w:lineRule="exact"/>
              <w:rPr>
                <w:sz w:val="20"/>
                <w:szCs w:val="20"/>
                <w:color w:val="auto"/>
              </w:rPr>
            </w:pPr>
            <w:r>
              <w:rPr>
                <w:rFonts w:ascii="Arial" w:cs="Arial" w:eastAsia="Arial" w:hAnsi="Arial"/>
                <w:sz w:val="18"/>
                <w:szCs w:val="18"/>
                <w:color w:val="auto"/>
              </w:rPr>
              <w:t>Philip St. Baker</w:t>
            </w:r>
            <w:r>
              <w:rPr>
                <w:rFonts w:ascii="Arial" w:cs="Arial" w:eastAsia="Arial" w:hAnsi="Arial"/>
                <w:sz w:val="29"/>
                <w:szCs w:val="29"/>
                <w:color w:val="auto"/>
                <w:vertAlign w:val="superscript"/>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22,951</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1,536</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w w:val="94"/>
              </w:rPr>
              <w:t>99,487</w:t>
            </w:r>
          </w:p>
        </w:tc>
        <w:tc>
          <w:tcPr>
            <w:tcW w:w="0" w:type="dxa"/>
            <w:vAlign w:val="bottom"/>
          </w:tcPr>
          <w:p>
            <w:pPr>
              <w:spacing w:after="0"/>
              <w:rPr>
                <w:sz w:val="1"/>
                <w:szCs w:val="1"/>
                <w:color w:val="auto"/>
              </w:rPr>
            </w:pPr>
          </w:p>
        </w:tc>
      </w:tr>
      <w:tr>
        <w:trPr>
          <w:trHeight w:val="324"/>
        </w:trPr>
        <w:tc>
          <w:tcPr>
            <w:tcW w:w="21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Robert Natter</w:t>
            </w:r>
            <w:r>
              <w:rPr>
                <w:rFonts w:ascii="Arial" w:cs="Arial" w:eastAsia="Arial" w:hAnsi="Arial"/>
                <w:sz w:val="29"/>
                <w:szCs w:val="29"/>
                <w:color w:val="auto"/>
                <w:vertAlign w:val="superscript"/>
              </w:rPr>
              <w:t>(4)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163,194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213,194</w:t>
            </w:r>
          </w:p>
        </w:tc>
        <w:tc>
          <w:tcPr>
            <w:tcW w:w="0" w:type="dxa"/>
            <w:vAlign w:val="bottom"/>
          </w:tcPr>
          <w:p>
            <w:pPr>
              <w:spacing w:after="0"/>
              <w:rPr>
                <w:sz w:val="1"/>
                <w:szCs w:val="1"/>
                <w:color w:val="auto"/>
              </w:rPr>
            </w:pPr>
          </w:p>
        </w:tc>
      </w:tr>
      <w:tr>
        <w:trPr>
          <w:trHeight w:val="270"/>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Other Senior Management</w:t>
            </w: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Christopher Burns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365,560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1,590,000</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2,165,560</w:t>
            </w:r>
          </w:p>
        </w:tc>
        <w:tc>
          <w:tcPr>
            <w:tcW w:w="0" w:type="dxa"/>
            <w:vAlign w:val="bottom"/>
          </w:tcPr>
          <w:p>
            <w:pPr>
              <w:spacing w:after="0"/>
              <w:rPr>
                <w:sz w:val="1"/>
                <w:szCs w:val="1"/>
                <w:color w:val="auto"/>
              </w:rPr>
            </w:pPr>
          </w:p>
        </w:tc>
      </w:tr>
      <w:tr>
        <w:trPr>
          <w:trHeight w:val="270"/>
        </w:trPr>
        <w:tc>
          <w:tcPr>
            <w:tcW w:w="2160" w:type="dxa"/>
            <w:vAlign w:val="bottom"/>
            <w:gridSpan w:val="2"/>
          </w:tcPr>
          <w:p>
            <w:pPr>
              <w:spacing w:after="0"/>
              <w:rPr>
                <w:sz w:val="20"/>
                <w:szCs w:val="20"/>
                <w:color w:val="auto"/>
              </w:rPr>
            </w:pPr>
            <w:r>
              <w:rPr>
                <w:rFonts w:ascii="Arial" w:cs="Arial" w:eastAsia="Arial" w:hAnsi="Arial"/>
                <w:sz w:val="18"/>
                <w:szCs w:val="18"/>
                <w:color w:val="auto"/>
              </w:rPr>
              <w:t>Nicholas Liveris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299,433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192,000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795,000</w:t>
            </w:r>
          </w:p>
        </w:tc>
        <w:tc>
          <w:tcPr>
            <w:tcW w:w="14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3"/>
                <w:szCs w:val="23"/>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1,286,433</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1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Rashda Buttar</w:t>
            </w:r>
            <w:r>
              <w:rPr>
                <w:rFonts w:ascii="Arial" w:cs="Arial" w:eastAsia="Arial" w:hAnsi="Arial"/>
                <w:sz w:val="29"/>
                <w:szCs w:val="29"/>
                <w:color w:val="auto"/>
                <w:vertAlign w:val="superscript"/>
              </w:rPr>
              <w:t>(3)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61,962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84,662</w:t>
            </w:r>
          </w:p>
        </w:tc>
        <w:tc>
          <w:tcPr>
            <w:tcW w:w="0" w:type="dxa"/>
            <w:vAlign w:val="bottom"/>
          </w:tcPr>
          <w:p>
            <w:pPr>
              <w:spacing w:after="0"/>
              <w:rPr>
                <w:sz w:val="1"/>
                <w:szCs w:val="1"/>
                <w:color w:val="auto"/>
              </w:rPr>
            </w:pPr>
          </w:p>
        </w:tc>
      </w:tr>
      <w:tr>
        <w:trPr>
          <w:trHeight w:val="270"/>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Non-Executive Directors</w:t>
            </w: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1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Anthony Bellas</w:t>
            </w:r>
            <w:r>
              <w:rPr>
                <w:rFonts w:ascii="Arial" w:cs="Arial" w:eastAsia="Arial" w:hAnsi="Arial"/>
                <w:sz w:val="29"/>
                <w:szCs w:val="29"/>
                <w:color w:val="auto"/>
                <w:vertAlign w:val="superscript"/>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71,005</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6,714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127,719</w:t>
            </w:r>
          </w:p>
        </w:tc>
        <w:tc>
          <w:tcPr>
            <w:tcW w:w="0" w:type="dxa"/>
            <w:vAlign w:val="bottom"/>
          </w:tcPr>
          <w:p>
            <w:pPr>
              <w:spacing w:after="0"/>
              <w:rPr>
                <w:sz w:val="1"/>
                <w:szCs w:val="1"/>
                <w:color w:val="auto"/>
              </w:rPr>
            </w:pPr>
          </w:p>
        </w:tc>
      </w:tr>
      <w:tr>
        <w:trPr>
          <w:trHeight w:val="324"/>
        </w:trPr>
        <w:tc>
          <w:tcPr>
            <w:tcW w:w="2160" w:type="dxa"/>
            <w:vAlign w:val="bottom"/>
            <w:gridSpan w:val="2"/>
          </w:tcPr>
          <w:p>
            <w:pPr>
              <w:spacing w:after="0" w:line="324" w:lineRule="exact"/>
              <w:rPr>
                <w:sz w:val="20"/>
                <w:szCs w:val="20"/>
                <w:color w:val="auto"/>
              </w:rPr>
            </w:pPr>
            <w:r>
              <w:rPr>
                <w:rFonts w:ascii="Arial" w:cs="Arial" w:eastAsia="Arial" w:hAnsi="Arial"/>
                <w:sz w:val="18"/>
                <w:szCs w:val="18"/>
                <w:color w:val="auto"/>
              </w:rPr>
              <w:t>Gregory Baynton</w:t>
            </w:r>
            <w:r>
              <w:rPr>
                <w:rFonts w:ascii="Arial" w:cs="Arial" w:eastAsia="Arial" w:hAnsi="Arial"/>
                <w:sz w:val="29"/>
                <w:szCs w:val="29"/>
                <w:color w:val="auto"/>
                <w:vertAlign w:val="superscript"/>
              </w:rPr>
              <w:t>(2)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60,300</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5,729</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w w:val="94"/>
              </w:rPr>
              <w:t>66,029</w:t>
            </w:r>
          </w:p>
        </w:tc>
        <w:tc>
          <w:tcPr>
            <w:tcW w:w="0" w:type="dxa"/>
            <w:vAlign w:val="bottom"/>
          </w:tcPr>
          <w:p>
            <w:pPr>
              <w:spacing w:after="0"/>
              <w:rPr>
                <w:sz w:val="1"/>
                <w:szCs w:val="1"/>
                <w:color w:val="auto"/>
              </w:rPr>
            </w:pPr>
          </w:p>
        </w:tc>
      </w:tr>
      <w:tr>
        <w:trPr>
          <w:trHeight w:val="304"/>
        </w:trPr>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Cooper</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71,005</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6,745</w:t>
            </w:r>
          </w:p>
        </w:tc>
        <w:tc>
          <w:tcPr>
            <w:tcW w:w="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4"/>
              </w:rPr>
              <w:t>77,750</w:t>
            </w:r>
          </w:p>
        </w:tc>
        <w:tc>
          <w:tcPr>
            <w:tcW w:w="0" w:type="dxa"/>
            <w:vAlign w:val="bottom"/>
          </w:tcPr>
          <w:p>
            <w:pPr>
              <w:spacing w:after="0"/>
              <w:rPr>
                <w:sz w:val="1"/>
                <w:szCs w:val="1"/>
                <w:color w:val="auto"/>
              </w:rPr>
            </w:pPr>
          </w:p>
        </w:tc>
      </w:tr>
      <w:tr>
        <w:trPr>
          <w:trHeight w:val="270"/>
        </w:trPr>
        <w:tc>
          <w:tcPr>
            <w:tcW w:w="2160" w:type="dxa"/>
            <w:vAlign w:val="bottom"/>
            <w:gridSpan w:val="2"/>
          </w:tcPr>
          <w:p>
            <w:pPr>
              <w:spacing w:after="0"/>
              <w:rPr>
                <w:sz w:val="20"/>
                <w:szCs w:val="20"/>
                <w:color w:val="auto"/>
              </w:rPr>
            </w:pPr>
            <w:r>
              <w:rPr>
                <w:rFonts w:ascii="Arial" w:cs="Arial" w:eastAsia="Arial" w:hAnsi="Arial"/>
                <w:sz w:val="18"/>
                <w:szCs w:val="18"/>
                <w:color w:val="auto"/>
              </w:rPr>
              <w:t>Andrew Liveris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51,005</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4,845</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w w:val="94"/>
              </w:rPr>
              <w:t>55,850</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Trevor St Baker</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39,245</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3,728</w:t>
            </w:r>
          </w:p>
        </w:tc>
        <w:tc>
          <w:tcPr>
            <w:tcW w:w="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4"/>
              </w:rPr>
              <w:t>42,973</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-2794000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-2794000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-2794000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-2794000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-2794000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-2794000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-2794000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 w:lineRule="exact"/>
        <w:rPr>
          <w:sz w:val="20"/>
          <w:szCs w:val="20"/>
          <w:color w:val="auto"/>
        </w:rPr>
      </w:pPr>
    </w:p>
    <w:p>
      <w:pPr>
        <w:ind w:left="640" w:hanging="348"/>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Philip St. Baker ceased serving as our Managing Director effective September 23, 2020.</w:t>
      </w:r>
    </w:p>
    <w:p>
      <w:pPr>
        <w:spacing w:after="0" w:line="41" w:lineRule="exact"/>
        <w:rPr>
          <w:rFonts w:ascii="Arial" w:cs="Arial" w:eastAsia="Arial" w:hAnsi="Arial"/>
          <w:sz w:val="14"/>
          <w:szCs w:val="14"/>
          <w:color w:val="auto"/>
        </w:rPr>
      </w:pPr>
    </w:p>
    <w:p>
      <w:pPr>
        <w:ind w:left="640" w:right="519" w:hanging="348"/>
        <w:spacing w:after="0" w:line="253"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Baynton ceased serving as an Executive Director effective September 30, 2020 and a non-executive director effective November 30, 2021.</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Buttar was appointed to the position of Senior Vice President and General Counsel on April 22, 2021.</w:t>
      </w:r>
    </w:p>
    <w:p>
      <w:pPr>
        <w:spacing w:after="0" w:line="41" w:lineRule="exact"/>
        <w:rPr>
          <w:rFonts w:ascii="Arial" w:cs="Arial" w:eastAsia="Arial" w:hAnsi="Arial"/>
          <w:sz w:val="14"/>
          <w:szCs w:val="14"/>
          <w:color w:val="auto"/>
        </w:rPr>
      </w:pPr>
    </w:p>
    <w:p>
      <w:pPr>
        <w:ind w:left="640" w:right="559" w:hanging="348"/>
        <w:spacing w:after="0" w:line="253"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Admiral Natter became our Executive Director effective September 23, 2020 and a Non-Executive Director and our Chairman effective November 30, 2021.</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Mr. Bellas served as the Company’s Chairman until November 30, 2021. Mr. Bellas currently serves as the Company’s Deputy Chairman.</w:t>
      </w:r>
    </w:p>
    <w:p>
      <w:pPr>
        <w:spacing w:after="0" w:line="215" w:lineRule="exact"/>
        <w:rPr>
          <w:sz w:val="20"/>
          <w:szCs w:val="20"/>
          <w:color w:val="auto"/>
        </w:rPr>
      </w:pPr>
    </w:p>
    <w:p>
      <w:pPr>
        <w:ind w:left="300" w:right="7159" w:hanging="8"/>
        <w:spacing w:after="0" w:line="463" w:lineRule="auto"/>
        <w:tabs>
          <w:tab w:leader="none" w:pos="651"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Board Practices Board of Directors</w:t>
      </w:r>
    </w:p>
    <w:p>
      <w:pPr>
        <w:ind w:left="300" w:right="359" w:firstLine="360"/>
        <w:spacing w:after="0" w:line="308" w:lineRule="auto"/>
        <w:rPr>
          <w:sz w:val="20"/>
          <w:szCs w:val="20"/>
          <w:color w:val="auto"/>
        </w:rPr>
      </w:pPr>
      <w:r>
        <w:rPr>
          <w:rFonts w:ascii="Arial" w:cs="Arial" w:eastAsia="Arial" w:hAnsi="Arial"/>
          <w:sz w:val="17"/>
          <w:szCs w:val="17"/>
          <w:color w:val="auto"/>
        </w:rPr>
        <w:t>Our board of directors currently consists of six members and one alternate director. Under our Constitution and the ASX Listing Rules, we must hold an election of directors each year at our annual general meeting of</w:t>
      </w:r>
    </w:p>
    <w:p>
      <w:pPr>
        <w:sectPr>
          <w:pgSz w:w="11900" w:h="16838" w:orient="portrait"/>
          <w:cols w:equalWidth="0" w:num="1">
            <w:col w:w="9019"/>
          </w:cols>
          <w:pgMar w:left="1440" w:top="265"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73" w:lineRule="auto"/>
        <w:rPr>
          <w:sz w:val="20"/>
          <w:szCs w:val="20"/>
          <w:color w:val="auto"/>
        </w:rPr>
      </w:pPr>
      <w:r>
        <w:rPr>
          <w:rFonts w:ascii="Arial" w:cs="Arial" w:eastAsia="Arial" w:hAnsi="Arial"/>
          <w:sz w:val="17"/>
          <w:szCs w:val="17"/>
          <w:color w:val="auto"/>
        </w:rPr>
        <w:t>shareholders. A director (other than our managing director) must not hold office (without re-election) past the third annual general meeting following the director’s appointment or three years, whichever is longer. If there would otherwise not be a vacancy on the board, and no director is required to retire, then the director who has been longest in office since last being elected must retire. The retirement of a director from office under the Constitution and the re-election of a director or the election of another person to that office (as the case may be) takes effect at the conclusion of the meeting at which the retirement and re-election or election occurs.</w:t>
      </w:r>
    </w:p>
    <w:p>
      <w:pPr>
        <w:spacing w:after="0" w:line="70"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The membership of our board of directors is directed by the following recommendations and requirements as set forth in the Corporations Act, the ASX Listing Rules and Corporate Governance Principles and Recommendations, our Constitution and our Board Charter, as applicable:</w:t>
      </w:r>
    </w:p>
    <w:p>
      <w:pPr>
        <w:spacing w:after="0" w:line="76" w:lineRule="exact"/>
        <w:rPr>
          <w:sz w:val="20"/>
          <w:szCs w:val="20"/>
          <w:color w:val="auto"/>
        </w:rPr>
      </w:pPr>
    </w:p>
    <w:p>
      <w:pPr>
        <w:ind w:left="1000" w:right="339" w:hanging="348"/>
        <w:spacing w:after="0" w:line="301"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 will be a minimum of three directors, half of our directors should be non-executive directors, and, unless shareholders in a general meeting resolve otherwise, there will be a maximum of 12 directors. The appointment of an alternate director does not count towards the total number of directors. Within those limits, our board of directors may determine the number of directors to serve on our board at any one time;</w:t>
      </w:r>
    </w:p>
    <w:p>
      <w:pPr>
        <w:spacing w:after="0" w:line="49" w:lineRule="exact"/>
        <w:rPr>
          <w:rFonts w:ascii="Arial" w:cs="Arial" w:eastAsia="Arial" w:hAnsi="Arial"/>
          <w:sz w:val="16"/>
          <w:szCs w:val="16"/>
          <w:color w:val="auto"/>
        </w:rPr>
      </w:pPr>
    </w:p>
    <w:p>
      <w:pPr>
        <w:ind w:left="1000" w:right="499" w:hanging="348"/>
        <w:spacing w:after="0" w:line="311"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majority of our board of directors should be (but is not required to be) independent, as recommended by recommendation 2.4 of the ASX Corporate Governance Principles and Recommendations, which differs from the independence standards under Nasdaq corporate governance listing standards;</w:t>
      </w:r>
    </w:p>
    <w:p>
      <w:pPr>
        <w:spacing w:after="0" w:line="40" w:lineRule="exact"/>
        <w:rPr>
          <w:rFonts w:ascii="Arial" w:cs="Arial" w:eastAsia="Arial" w:hAnsi="Arial"/>
          <w:sz w:val="16"/>
          <w:szCs w:val="16"/>
          <w:color w:val="auto"/>
        </w:rPr>
      </w:pPr>
    </w:p>
    <w:p>
      <w:pPr>
        <w:ind w:left="1000" w:right="359" w:hanging="348"/>
        <w:spacing w:after="0" w:line="279"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board of directors has the power to appoint any person to be a director, either to fill a vacancy or as an additional director (provided that the total number of directors does not exceed the maximum number of directors permitted), and any director so appointed will hold office until the end of the next annual general meeting when he or she must go for re-election by way of ordinary resolution;</w:t>
      </w:r>
    </w:p>
    <w:p>
      <w:pPr>
        <w:spacing w:after="0" w:line="63" w:lineRule="exact"/>
        <w:rPr>
          <w:rFonts w:ascii="Arial" w:cs="Arial" w:eastAsia="Arial" w:hAnsi="Arial"/>
          <w:sz w:val="17"/>
          <w:szCs w:val="17"/>
          <w:color w:val="auto"/>
        </w:rPr>
      </w:pPr>
    </w:p>
    <w:p>
      <w:pPr>
        <w:ind w:left="1000" w:right="359" w:hanging="348"/>
        <w:spacing w:after="0" w:line="296"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director may, with the approval of a majority of the board of directors, appoint a person to be that director’s alternate director for any period that director decides, whom in the appointing directors absence may exercise any power that the appointer may exercise and attend and vote in place of or on behalf of the appointing director, and will hold office until the office of the appointing director is vacated or the alternate director’s appointment is terminated or suspended by a majority of the board of directors; and</w:t>
      </w:r>
    </w:p>
    <w:p>
      <w:pPr>
        <w:spacing w:after="0" w:line="53" w:lineRule="exact"/>
        <w:rPr>
          <w:rFonts w:ascii="Arial" w:cs="Arial" w:eastAsia="Arial" w:hAnsi="Arial"/>
          <w:sz w:val="16"/>
          <w:szCs w:val="16"/>
          <w:color w:val="auto"/>
        </w:rPr>
      </w:pPr>
    </w:p>
    <w:p>
      <w:pPr>
        <w:ind w:left="1000" w:right="37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board of directors should, collectively, have a broad range of experience, expertise, skills and contacts relevant to the Group and its business.</w:t>
      </w:r>
    </w:p>
    <w:p>
      <w:pPr>
        <w:spacing w:after="0" w:line="62" w:lineRule="exact"/>
        <w:rPr>
          <w:sz w:val="20"/>
          <w:szCs w:val="20"/>
          <w:color w:val="auto"/>
        </w:rPr>
      </w:pPr>
    </w:p>
    <w:p>
      <w:pPr>
        <w:ind w:left="300" w:right="499" w:firstLine="360"/>
        <w:spacing w:after="0" w:line="286" w:lineRule="auto"/>
        <w:rPr>
          <w:sz w:val="20"/>
          <w:szCs w:val="20"/>
          <w:color w:val="auto"/>
        </w:rPr>
      </w:pPr>
      <w:r>
        <w:rPr>
          <w:rFonts w:ascii="Arial" w:cs="Arial" w:eastAsia="Arial" w:hAnsi="Arial"/>
          <w:sz w:val="17"/>
          <w:szCs w:val="17"/>
          <w:color w:val="auto"/>
        </w:rPr>
        <w:t>Our board of directors has delegated responsibility for the strategic and operational management of our businesses to the Chief Executive Officer but remains responsible for overseeing the performance of management. The principal roles and responsibilities of our board of directors include the following:</w:t>
      </w:r>
    </w:p>
    <w:p>
      <w:pPr>
        <w:spacing w:after="0" w:line="57" w:lineRule="exact"/>
        <w:rPr>
          <w:sz w:val="20"/>
          <w:szCs w:val="20"/>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leadership and setting the strategic objectives of the Group;</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determining the board’s composition, including appointment and retirement or removal of the Chairman and Deputy Chairman (if applicable);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oversight of the Group (including its control and accountability systems);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appointing and removing the Chief Executive Officer or equivalent;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where appropriate, ratifying the appointment and the removal of senior executives of the Company;</w:t>
      </w:r>
    </w:p>
    <w:p>
      <w:pPr>
        <w:spacing w:after="0" w:line="128" w:lineRule="exact"/>
        <w:rPr>
          <w:rFonts w:ascii="Arial" w:cs="Arial" w:eastAsia="Arial" w:hAnsi="Arial"/>
          <w:sz w:val="17"/>
          <w:szCs w:val="17"/>
          <w:color w:val="auto"/>
        </w:rPr>
      </w:pPr>
    </w:p>
    <w:p>
      <w:pPr>
        <w:ind w:left="1000" w:right="53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ratifying and monitoring the risk management framework and setting the risk appetite within which the board expects management to operate;</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approving and formulating company strategy and policy, monitoring senior executive’s implementation of strategy;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approving and monitoring operating budgets and major capital expenditure</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overseeing the integrity of the Group’s accounting and corporate reporting systems, including the external audit;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monitoring industry developments relevant to the Group and its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developing suitable key indicators of financial performance for the Group and its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overseeing the Group’s corporate strategy and performance objectives developed by management;</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overseeing the Group’s compliance with its continuous disclosure obligations;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the Group’s remuneration framework;</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monitoring the overall corporate governance of the Group (including its strategic direction and goals for management, and the achievement of these goals);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oversight of committees of the board.</w:t>
      </w:r>
    </w:p>
    <w:p>
      <w:pPr>
        <w:spacing w:after="0" w:line="117"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Our board of directors has established delegated limits of authority, which define the matters that are delegated to management and those that require board of director approval. Under the Corporations Act, at least one of our directors must be a resident Australian. None of our non-executive directors have any service contracts with us that provide for benefits upon termination of employment. Under our Board Charter, the board of directors is required to meet at least six times per year.</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300" w:right="479" w:firstLine="360"/>
        <w:spacing w:after="0" w:line="296" w:lineRule="auto"/>
        <w:rPr>
          <w:sz w:val="20"/>
          <w:szCs w:val="20"/>
          <w:color w:val="auto"/>
        </w:rPr>
      </w:pPr>
      <w:r>
        <w:rPr>
          <w:rFonts w:ascii="Arial" w:cs="Arial" w:eastAsia="Arial" w:hAnsi="Arial"/>
          <w:sz w:val="16"/>
          <w:szCs w:val="16"/>
          <w:color w:val="auto"/>
        </w:rPr>
        <w:t>To assist with the effective discharge of its duties, the board of directors has established an Audit and Risk Committee and a Remuneration Committee. The Audit and Risk Committee, Remuneration Committee and any other committee that is established by the board from time to time, operates under a charter approved by our board of directors, which sets forth the purposes and responsibilities of the committee as well as qualifications for committee membership, committee structure and operations and committee reporting to the board of directors.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17"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The members of our Audit and Risk Committee are Mr. Anthony Bellas, Mr. Robert Cooper and Ms. Zhanna Golodryga. The chairperson of our Audit and Risk Committee is Mr. Bellas effective November 30, 2021. Mr. Cooper previously served as the chairperson of our Audit and Risk Committee. Each member of our Audit and Risk Committee can read and understand fundamental financial statements in accordance with applicable requirements. The board of directors has determined that Mr. Bellas qualifies as an “audit committee financial expert,” as such term is defined in the rules of the SEC, and that Mr. Bellas and Mr. Cooper are independent, as independence is defined under the rules of the SEC and the Nasdaq applicable to foreign private issuers.</w:t>
      </w:r>
    </w:p>
    <w:p>
      <w:pPr>
        <w:spacing w:after="0" w:line="58"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The charter for our Audit and Risk Committee requires the committee to consist of at least three directors, a majority of whom must be non-executive directors who should also be independent directors. The chairperson of our Audit and Risk Committee must be an independent director and cannot be the chairperson of our board of directors. The Audit and Risk Committee is required to hold at least three meetings per financial year.</w:t>
      </w:r>
    </w:p>
    <w:p>
      <w:pPr>
        <w:spacing w:after="0" w:line="63"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The role of the Audit and Risk Committee is to advise our board of directors on the establishment and maintenance of a framework of internal controls for the Group’s management and assist our board of directors with policy on the quality and reliability of financial information prepared for use by the board. Specific responsibilities of our Audit and Risk Committee include:</w:t>
      </w:r>
    </w:p>
    <w:p>
      <w:pPr>
        <w:spacing w:after="0" w:line="79" w:lineRule="exact"/>
        <w:rPr>
          <w:sz w:val="20"/>
          <w:szCs w:val="20"/>
          <w:color w:val="auto"/>
        </w:rPr>
      </w:pPr>
    </w:p>
    <w:p>
      <w:pPr>
        <w:ind w:left="1000" w:right="33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monitoring the establishment of an appropriate internal control framework, including information systems, and its operation and considering enhancements;</w:t>
      </w:r>
    </w:p>
    <w:p>
      <w:pPr>
        <w:spacing w:after="0" w:line="62"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assessing corporate risk (including economic, environmental and social sustainability risks) and compliance with internal controls;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business continuity planning and risk mitigation arrangements;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assessing the objectivity and performance of the internal audit function and considering enhancements;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reports on any material misappropriation, frauds and thefts from the Group;</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reports on the adequacy of insurance coverage;</w:t>
      </w:r>
    </w:p>
    <w:p>
      <w:pPr>
        <w:spacing w:after="0" w:line="117" w:lineRule="exact"/>
        <w:rPr>
          <w:rFonts w:ascii="Arial" w:cs="Arial" w:eastAsia="Arial" w:hAnsi="Arial"/>
          <w:sz w:val="18"/>
          <w:szCs w:val="18"/>
          <w:color w:val="auto"/>
        </w:rPr>
      </w:pPr>
    </w:p>
    <w:p>
      <w:pPr>
        <w:ind w:left="1000" w:right="759" w:hanging="348"/>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monitoring compliance with relevant legislative and regulatory requirements (including continuous disclosure obligations) and declarations by the committee secretary in relation to those requirements;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material transactions which are not a normal part of the Group’s business;</w:t>
      </w:r>
    </w:p>
    <w:p>
      <w:pPr>
        <w:spacing w:after="0" w:line="117" w:lineRule="exact"/>
        <w:rPr>
          <w:rFonts w:ascii="Arial" w:cs="Arial" w:eastAsia="Arial" w:hAnsi="Arial"/>
          <w:sz w:val="18"/>
          <w:szCs w:val="18"/>
          <w:color w:val="auto"/>
        </w:rPr>
      </w:pPr>
    </w:p>
    <w:p>
      <w:pPr>
        <w:ind w:left="1000" w:right="49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the nomination, performance and independence of the external auditors, including recommendations to the board for the appointment or removal of any external auditor and the rotation of the audit engagement partner;</w:t>
      </w:r>
    </w:p>
    <w:p>
      <w:pPr>
        <w:spacing w:after="0" w:line="75"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liaising with the external auditors and monitoring the conduct, scope and adequacy of the annual external audit;</w:t>
      </w:r>
    </w:p>
    <w:p>
      <w:pPr>
        <w:spacing w:after="0" w:line="62" w:lineRule="exact"/>
        <w:rPr>
          <w:rFonts w:ascii="Arial" w:cs="Arial" w:eastAsia="Arial" w:hAnsi="Arial"/>
          <w:sz w:val="18"/>
          <w:szCs w:val="18"/>
          <w:color w:val="auto"/>
        </w:rPr>
      </w:pPr>
    </w:p>
    <w:p>
      <w:pPr>
        <w:ind w:left="1000" w:right="53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management corporate reporting processes supporting external reporting, including the appropriateness of the accounting judgments or choices made by management in preparing the financial reports and statements;</w:t>
      </w:r>
    </w:p>
    <w:p>
      <w:pPr>
        <w:spacing w:after="0" w:line="75"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reviewing financial statements and other financial information distributed externally, including considering whether the financial statements reflect the understanding of the ARM Committee and otherwise provide a true and fair view of the financial position and performance of the Group;</w:t>
      </w:r>
    </w:p>
    <w:p>
      <w:pPr>
        <w:spacing w:after="0" w:line="57" w:lineRule="exact"/>
        <w:rPr>
          <w:rFonts w:ascii="Arial" w:cs="Arial" w:eastAsia="Arial" w:hAnsi="Arial"/>
          <w:sz w:val="17"/>
          <w:szCs w:val="17"/>
          <w:color w:val="auto"/>
        </w:rPr>
      </w:pPr>
    </w:p>
    <w:p>
      <w:pPr>
        <w:ind w:left="1000" w:right="43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preparing and recommending for approval by the Board the corporate governance statement for inclusion in the annual report or any other public document;</w:t>
      </w:r>
    </w:p>
    <w:p>
      <w:pPr>
        <w:spacing w:after="0" w:line="62"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external audit reports and monitoring, where major deficiencies or breakdowns in controls or procedures have been identified, remedial action taken by management;</w:t>
      </w:r>
    </w:p>
    <w:p>
      <w:pPr>
        <w:spacing w:after="0" w:line="62"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any proposal for the external auditor to provide non-audit services and whether it might compromise the independence of the external auditor;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monitoring compliance with the Code of Conduct.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7"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The members of our Remuneration Committee are Mr. Anthony Bellas, Mr. Robert Cooper and Mr. Andrew Liveris. The chairperson of our Remuneration Committee is Mr. Cooper. The role of the Remuneration Committee is to advise our board of directors on remuneration and issues relevant to remuneration policies and practices, including for our senior management and non-executive directors. The Remuneration Committee is required to hold at least two regular meetings each year. Specific responsibilities of our Remuneration Committee include:</w:t>
      </w:r>
    </w:p>
    <w:p>
      <w:pPr>
        <w:spacing w:after="0" w:line="53" w:lineRule="exact"/>
        <w:rPr>
          <w:sz w:val="20"/>
          <w:szCs w:val="20"/>
          <w:color w:val="auto"/>
        </w:rPr>
      </w:pPr>
    </w:p>
    <w:p>
      <w:pPr>
        <w:ind w:left="1000" w:hanging="348"/>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reviewing and evaluating relevant market practices and trends for remuneration relevant to the Group;</w:t>
      </w:r>
    </w:p>
    <w:p>
      <w:pPr>
        <w:spacing w:after="0" w:line="128" w:lineRule="exact"/>
        <w:rPr>
          <w:rFonts w:ascii="Arial" w:cs="Arial" w:eastAsia="Arial" w:hAnsi="Arial"/>
          <w:sz w:val="17"/>
          <w:szCs w:val="17"/>
          <w:color w:val="auto"/>
        </w:rPr>
      </w:pPr>
    </w:p>
    <w:p>
      <w:pPr>
        <w:ind w:left="1000" w:right="33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for our remuneration practices, policies and framework, including in relation to equity-based remuneration plans and superannuation arrangements and the allocation of the directors’ fee pool;</w:t>
      </w:r>
    </w:p>
    <w:p>
      <w:pPr>
        <w:spacing w:after="0" w:line="75"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overseeing the performance and reviewing and making recommendations to our board of directors for the remuneration packages of our senior management and non-executive directors;</w:t>
      </w:r>
    </w:p>
    <w:p>
      <w:pPr>
        <w:spacing w:after="0" w:line="38" w:lineRule="exact"/>
        <w:rPr>
          <w:rFonts w:ascii="Arial" w:cs="Arial" w:eastAsia="Arial" w:hAnsi="Arial"/>
          <w:sz w:val="17"/>
          <w:szCs w:val="17"/>
          <w:color w:val="auto"/>
        </w:rPr>
      </w:pPr>
    </w:p>
    <w:p>
      <w:pPr>
        <w:ind w:left="1000" w:right="459" w:hanging="348"/>
        <w:spacing w:after="0" w:line="286"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preparing for our board of directors any report that may be required under applicable legal or regulatory requirements about remuneration matters and reviewing our reporting and disclosure practices in relation to the remuneration of our senior management and non-executive directors; and</w:t>
      </w:r>
    </w:p>
    <w:p>
      <w:pPr>
        <w:spacing w:after="0" w:line="57" w:lineRule="exact"/>
        <w:rPr>
          <w:rFonts w:ascii="Arial" w:cs="Arial" w:eastAsia="Arial" w:hAnsi="Arial"/>
          <w:sz w:val="17"/>
          <w:szCs w:val="17"/>
          <w:color w:val="auto"/>
        </w:rPr>
      </w:pPr>
    </w:p>
    <w:p>
      <w:pPr>
        <w:ind w:left="1000" w:right="519" w:hanging="348"/>
        <w:spacing w:after="0" w:line="301"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reviewing, making recommendations to our board of directors on remuneration by gender and other diversity criteria, reporting to our board of directors as necessary to facilitate compliance with our diversity policy, and reviewing and reporting to the board, at least annually, on the proportion of women and men in the workforce at all levels of the Group, and their relative levels of remuneration.</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 Exemption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We qualify as a “foreign private issuer” as defined in Section 405 of the Securities Act of 1933, as amended. As a foreign private issuer, we are exempt from certain rules under the Exchange Act that impose disclosure requirements as well as procedural requirements for proxy solicitations under Section 14 of the Exchange Act. In addition, the members of our board of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 to the extent applicable.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foreign private issuer exemption will also permit us to follow home country corporate governance practices or requirements instead of certain Nasdaq listing requirements, including the following:</w:t>
      </w:r>
    </w:p>
    <w:p>
      <w:pPr>
        <w:spacing w:after="0" w:line="62" w:lineRule="exact"/>
        <w:rPr>
          <w:sz w:val="20"/>
          <w:szCs w:val="20"/>
          <w:color w:val="auto"/>
        </w:rPr>
      </w:pPr>
    </w:p>
    <w:p>
      <w:pPr>
        <w:ind w:left="1000" w:right="43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expect to rely on an exemption from the requirements that a majority of our directors be independent. The ASX Listing Rules and the Corporations Act do not have such a requirement, although it is recommended.</w:t>
      </w:r>
    </w:p>
    <w:p>
      <w:pPr>
        <w:spacing w:after="0" w:line="75" w:lineRule="exact"/>
        <w:rPr>
          <w:rFonts w:ascii="Arial" w:cs="Arial" w:eastAsia="Arial" w:hAnsi="Arial"/>
          <w:sz w:val="18"/>
          <w:szCs w:val="18"/>
          <w:color w:val="auto"/>
        </w:rPr>
      </w:pPr>
    </w:p>
    <w:p>
      <w:pPr>
        <w:ind w:left="1000" w:right="459" w:hanging="348"/>
        <w:spacing w:after="0" w:line="311"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expect to rely on an exemption from the requirement that our independent directors meet regularly in executive sessions under Nasdaq listing rules. The ASX Listing Rules and the Corporations Act do not require the independent directors of an Australian company to have such executive sessions.</w:t>
      </w:r>
    </w:p>
    <w:p>
      <w:pPr>
        <w:spacing w:after="0" w:line="40" w:lineRule="exact"/>
        <w:rPr>
          <w:rFonts w:ascii="Arial" w:cs="Arial" w:eastAsia="Arial" w:hAnsi="Arial"/>
          <w:sz w:val="16"/>
          <w:szCs w:val="16"/>
          <w:color w:val="auto"/>
        </w:rPr>
      </w:pPr>
    </w:p>
    <w:p>
      <w:pPr>
        <w:ind w:left="1000" w:right="319" w:hanging="348"/>
        <w:spacing w:after="0" w:line="255"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expect to rely on an exemption from the quorum requirements applicable to meetings of shareholders under Nasdaq listing rules. In compliance with Australian law, our Constitution provides that two shareholders present, in person or by proxy, attorney or a representative, shall constitute a quorum for a general meeting. Nasdaq listing rules require that an issuer provide for a quorum as specified in its by-laws for any meeting of the holders of ordinary shares, which quorum may not be less than 33 1/3% of the outstanding voting ordinary shares.</w:t>
      </w:r>
    </w:p>
    <w:p>
      <w:pPr>
        <w:spacing w:after="0" w:line="84" w:lineRule="exact"/>
        <w:rPr>
          <w:rFonts w:ascii="Arial" w:cs="Arial" w:eastAsia="Arial" w:hAnsi="Arial"/>
          <w:sz w:val="18"/>
          <w:szCs w:val="18"/>
          <w:color w:val="auto"/>
        </w:rPr>
      </w:pPr>
    </w:p>
    <w:p>
      <w:pPr>
        <w:ind w:left="1000" w:right="379" w:hanging="348"/>
        <w:spacing w:after="0" w:line="287"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expect to follow applicable Australian law and the ASX Listing Rules regarding prior shareholder approval in lieu of the requirement prescribed by Nasdaq listing rules that issuers obtain shareholder approval prior to the issuance of securities in connection with certain acquisitions, private placements of securities, or the establishment or amendment of certain stock option, purchase or other compensation plans. Applicable Australian law and the ASX Listing Rules differ from Nasdaq requirements, with the ASX Listing Rules requiring prior shareholder approval for issuance of equity securities in a number of circumstances, including (i) issuance of equity securities exceeding 15% of our issued share capital in any 12-month period (but, in determining the 15% limit, securities issued under certain exceptions to the rule or with shareholder approval are not counted), (ii) subject to certain exceptions, issuance of equity securities to related parties (as defined in the ASX Listing Rules) and (iii) issuances of securities to directors or their associates under an employee incentive plan.</w:t>
      </w:r>
    </w:p>
    <w:p>
      <w:pPr>
        <w:spacing w:after="0" w:line="63" w:lineRule="exact"/>
        <w:rPr>
          <w:rFonts w:ascii="Arial" w:cs="Arial" w:eastAsia="Arial" w:hAnsi="Arial"/>
          <w:sz w:val="16"/>
          <w:szCs w:val="16"/>
          <w:color w:val="auto"/>
        </w:rPr>
      </w:pPr>
    </w:p>
    <w:p>
      <w:pPr>
        <w:ind w:left="1000" w:right="499" w:hanging="348"/>
        <w:spacing w:after="0" w:line="25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expect to maintain a Remuneration Committee, but certain members may be non-independent directors; however, we do not expect to maintain a Nominating and Corporate Governance Committee. The ASX Listing Rules and the Corporations Act do not require the establishment of a Remuneration Committee or a Nominating and Corporate Governance Committee, and if established, do not require all members to be independent directors.</w:t>
      </w:r>
    </w:p>
    <w:p>
      <w:pPr>
        <w:spacing w:after="0" w:line="80"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These exemptions do not modify the independence requirements for our Audit and Risk Committee, and we intend to comply with the requirements of the Sarbanes-Oxley Act and the Nasdaq listing rules, which require that our Audit and Risk Committee be composed of at least three independent members. Rule 10A-3 under the Exchange Act provides that the Audit and Risk Committee must have direct responsibility for the nomination, compensation and choice of our auditors, as well as control over the performance of their duties, management of complaints made, and selection of consultants. Under Rule 10A-3, if the laws of a foreign private issuer’s home country require that any such matter be approved by the board of directors or the shareholders of the Company, the Audit and Risk Committee’s responsibilities or powers with respect to such matter may instead be advisory.</w:t>
      </w:r>
    </w:p>
    <w:p>
      <w:pPr>
        <w:spacing w:after="0" w:line="57" w:lineRule="exact"/>
        <w:rPr>
          <w:sz w:val="20"/>
          <w:szCs w:val="20"/>
          <w:color w:val="auto"/>
        </w:rPr>
      </w:pPr>
    </w:p>
    <w:p>
      <w:pPr>
        <w:jc w:val="both"/>
        <w:ind w:left="300" w:right="699" w:firstLine="360"/>
        <w:spacing w:after="0" w:line="263" w:lineRule="auto"/>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the rules adopted by the SEC and the listing rules of Nasdaq.</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We have adopted a Code of Conduct applicable to all of our directors that is contained within our Corporate Governance Charter, which is available on our website at www.novonixgroup.com. Our Board of Directors intends to adopt a code of conduct applicable to our officers, senior executives, employees, consultants and contractors to become effective following the listing of our ordinary shares on Nasdaq. We will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registration statement.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Andrew Liveris, a non-executive director, is the father of the Group’s Chief Financial Officer, Nick Liveris.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Until September 2020, Mr. St Baker’s son, Philip St Baker, served as the Group’s Managing Director.</w:t>
      </w:r>
    </w:p>
    <w:p>
      <w:pPr>
        <w:spacing w:after="0" w:line="20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121"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We had 81 employees as of June 30, 2021, 34 of whom were located in the United States and 47 were located in Canada. We believe we offer our employees competitive compensation packages and a dynamic work environment. We have generally been able to attract and retain qualified employees and maintain a core management team. We plan to hire additional experienced and talented employees in areas such as research and development, production, finance, and marketing as we grow our business.</w:t>
      </w:r>
    </w:p>
    <w:p>
      <w:pPr>
        <w:spacing w:after="0" w:line="80"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We believe that we maintain a good working relationship with our employees, and we have not experienced any major labor disputes.</w:t>
      </w:r>
    </w:p>
    <w:p>
      <w:pPr>
        <w:spacing w:after="0" w:line="58" w:lineRule="exact"/>
        <w:rPr>
          <w:sz w:val="20"/>
          <w:szCs w:val="20"/>
          <w:color w:val="auto"/>
        </w:rPr>
      </w:pPr>
    </w:p>
    <w:p>
      <w:pPr>
        <w:ind w:left="640" w:hanging="348"/>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with respect to the beneficial ownership of our ordinary shares as of</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September 30, 2021, for:</w:t>
      </w:r>
    </w:p>
    <w:p>
      <w:pPr>
        <w:spacing w:after="0" w:line="103" w:lineRule="exact"/>
        <w:rPr>
          <w:sz w:val="20"/>
          <w:szCs w:val="20"/>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member of our senior management;</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directors and senior management as a group.</w:t>
      </w:r>
    </w:p>
    <w:p>
      <w:pPr>
        <w:spacing w:after="0" w:line="117"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color w:val="auto"/>
        </w:rPr>
        <w:t>To our knowledge, as of September 30, 2021, approximately 139,946,432 ordinary shares, or 29% of our ordinary shares, were held of record by 22 residents of the United States.</w:t>
      </w:r>
    </w:p>
    <w:p>
      <w:pPr>
        <w:spacing w:after="0" w:line="62" w:lineRule="exact"/>
        <w:rPr>
          <w:sz w:val="20"/>
          <w:szCs w:val="20"/>
          <w:color w:val="auto"/>
        </w:rPr>
      </w:pPr>
    </w:p>
    <w:p>
      <w:pPr>
        <w:ind w:left="300" w:right="519" w:firstLine="360"/>
        <w:spacing w:after="0" w:line="301" w:lineRule="auto"/>
        <w:rPr>
          <w:sz w:val="20"/>
          <w:szCs w:val="20"/>
          <w:color w:val="auto"/>
        </w:rPr>
      </w:pPr>
      <w:r>
        <w:rPr>
          <w:rFonts w:ascii="Arial" w:cs="Arial" w:eastAsia="Arial" w:hAnsi="Arial"/>
          <w:sz w:val="16"/>
          <w:szCs w:val="16"/>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w:t>
      </w:r>
    </w:p>
    <w:p>
      <w:pPr>
        <w:spacing w:after="0" w:line="49"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Applicable percentage ownership is based on 482,563,962 ordinary shares outstanding as of September 30, 2021. In computing the number of shares beneficially owned by a person or entity and the percentage ownership of such person or entity, we deemed to be outstanding all shares subject to options and performance rights held by the person or entity that are currently exercisable, or exercisable within 60 days of September 30, 2021. However, except as described above, we did not deem such shares outstanding for the purpose of computing the percentage ownership of any other person or entity. The information contained in the following table is not necessarily indicative of beneficial ownership for any other purpose, and the inclusion of any shares in the table does not constitute an admission of beneficial ownership of those shares. Each of our shareholders is entitled to one vote per ordinary share. None of the holders of our ordinary shares have different voting rights from other holders of ordinary shares. We are not aware of any arrangement that may, at a subsequent date, result in a change of control of our company. For further information regarding options to purchase ordinary shares and performance rights held by our directors and senior management, see “Management—Remuneration.”</w:t>
      </w:r>
    </w:p>
    <w:p>
      <w:pPr>
        <w:spacing w:after="0" w:line="10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Number of Ordinary</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Percentage of Shares</w:t>
            </w:r>
          </w:p>
        </w:tc>
        <w:tc>
          <w:tcPr>
            <w:tcW w:w="0" w:type="dxa"/>
            <w:vAlign w:val="bottom"/>
          </w:tcPr>
          <w:p>
            <w:pPr>
              <w:spacing w:after="0"/>
              <w:rPr>
                <w:sz w:val="1"/>
                <w:szCs w:val="1"/>
                <w:color w:val="auto"/>
              </w:rPr>
            </w:pPr>
          </w:p>
        </w:tc>
      </w:tr>
      <w:tr>
        <w:trPr>
          <w:trHeight w:val="148"/>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Shares Beneficially</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500" w:type="dxa"/>
            <w:vAlign w:val="bottom"/>
            <w:gridSpan w:val="2"/>
            <w:vMerge w:val="continue"/>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Owned</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6"/>
              </w:rPr>
              <w:t>Beneficially Owned</w:t>
            </w:r>
          </w:p>
        </w:tc>
        <w:tc>
          <w:tcPr>
            <w:tcW w:w="0" w:type="dxa"/>
            <w:vAlign w:val="bottom"/>
          </w:tcPr>
          <w:p>
            <w:pPr>
              <w:spacing w:after="0"/>
              <w:rPr>
                <w:sz w:val="1"/>
                <w:szCs w:val="1"/>
                <w:color w:val="auto"/>
              </w:rPr>
            </w:pPr>
          </w:p>
        </w:tc>
      </w:tr>
      <w:tr>
        <w:trPr>
          <w:trHeight w:val="53"/>
        </w:trPr>
        <w:tc>
          <w:tcPr>
            <w:tcW w:w="52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50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Mr. &amp; Mrs. Trevor C. St. Baker</w:t>
            </w:r>
            <w:r>
              <w:rPr>
                <w:rFonts w:ascii="Arial" w:cs="Arial" w:eastAsia="Arial" w:hAnsi="Arial"/>
                <w:sz w:val="29"/>
                <w:szCs w:val="29"/>
                <w:color w:val="auto"/>
                <w:vertAlign w:val="superscript"/>
              </w:rPr>
              <w:t>(1)</w:t>
            </w: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64,222,832</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line="324" w:lineRule="exact"/>
              <w:rPr>
                <w:sz w:val="20"/>
                <w:szCs w:val="20"/>
                <w:color w:val="auto"/>
              </w:rPr>
            </w:pPr>
            <w:r>
              <w:rPr>
                <w:rFonts w:ascii="Arial" w:cs="Arial" w:eastAsia="Arial" w:hAnsi="Arial"/>
                <w:sz w:val="18"/>
                <w:szCs w:val="18"/>
                <w:color w:val="auto"/>
              </w:rPr>
              <w:t>Mr. Gregory AJ Baynton</w:t>
            </w:r>
            <w:r>
              <w:rPr>
                <w:rFonts w:ascii="Arial" w:cs="Arial" w:eastAsia="Arial" w:hAnsi="Arial"/>
                <w:sz w:val="29"/>
                <w:szCs w:val="29"/>
                <w:color w:val="auto"/>
                <w:vertAlign w:val="superscript"/>
              </w:rPr>
              <w:t>(2)</w:t>
            </w:r>
          </w:p>
        </w:tc>
        <w:tc>
          <w:tcPr>
            <w:tcW w:w="1300" w:type="dxa"/>
            <w:vAlign w:val="bottom"/>
          </w:tcPr>
          <w:p>
            <w:pPr>
              <w:jc w:val="right"/>
              <w:ind w:right="115"/>
              <w:spacing w:after="0"/>
              <w:rPr>
                <w:sz w:val="20"/>
                <w:szCs w:val="20"/>
                <w:color w:val="auto"/>
              </w:rPr>
            </w:pPr>
            <w:r>
              <w:rPr>
                <w:rFonts w:ascii="Arial" w:cs="Arial" w:eastAsia="Arial" w:hAnsi="Arial"/>
                <w:sz w:val="18"/>
                <w:szCs w:val="18"/>
                <w:color w:val="auto"/>
              </w:rPr>
              <w:t>25,290,019</w:t>
            </w:r>
          </w:p>
        </w:tc>
        <w:tc>
          <w:tcPr>
            <w:tcW w:w="300" w:type="dxa"/>
            <w:vAlign w:val="bottom"/>
          </w:tcPr>
          <w:p>
            <w:pPr>
              <w:spacing w:after="0"/>
              <w:rPr>
                <w:sz w:val="24"/>
                <w:szCs w:val="24"/>
                <w:color w:val="auto"/>
              </w:rPr>
            </w:pP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55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Mr. Andrew Liveris</w:t>
            </w:r>
            <w:r>
              <w:rPr>
                <w:rFonts w:ascii="Arial" w:cs="Arial" w:eastAsia="Arial" w:hAnsi="Arial"/>
                <w:sz w:val="29"/>
                <w:szCs w:val="29"/>
                <w:color w:val="auto"/>
                <w:vertAlign w:val="superscript"/>
              </w:rPr>
              <w:t>(3)</w:t>
            </w: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13,632,794</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line="324" w:lineRule="exact"/>
              <w:rPr>
                <w:sz w:val="20"/>
                <w:szCs w:val="20"/>
                <w:color w:val="auto"/>
              </w:rPr>
            </w:pPr>
            <w:r>
              <w:rPr>
                <w:rFonts w:ascii="Arial" w:cs="Arial" w:eastAsia="Arial" w:hAnsi="Arial"/>
                <w:sz w:val="18"/>
                <w:szCs w:val="18"/>
                <w:color w:val="auto"/>
              </w:rPr>
              <w:t>Dr. Christopher Burns</w:t>
            </w:r>
            <w:r>
              <w:rPr>
                <w:rFonts w:ascii="Arial" w:cs="Arial" w:eastAsia="Arial" w:hAnsi="Arial"/>
                <w:sz w:val="29"/>
                <w:szCs w:val="29"/>
                <w:color w:val="auto"/>
                <w:vertAlign w:val="superscript"/>
              </w:rPr>
              <w:t>(4)</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3,856,936</w:t>
            </w:r>
          </w:p>
        </w:tc>
        <w:tc>
          <w:tcPr>
            <w:tcW w:w="300" w:type="dxa"/>
            <w:vAlign w:val="bottom"/>
          </w:tcPr>
          <w:p>
            <w:pPr>
              <w:spacing w:after="0"/>
              <w:rPr>
                <w:sz w:val="24"/>
                <w:szCs w:val="24"/>
                <w:color w:val="auto"/>
              </w:rPr>
            </w:pPr>
          </w:p>
        </w:tc>
        <w:tc>
          <w:tcPr>
            <w:tcW w:w="132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Admiral Robert J Natter</w:t>
            </w:r>
            <w:r>
              <w:rPr>
                <w:rFonts w:ascii="Arial" w:cs="Arial" w:eastAsia="Arial" w:hAnsi="Arial"/>
                <w:sz w:val="29"/>
                <w:szCs w:val="29"/>
                <w:color w:val="auto"/>
                <w:vertAlign w:val="superscript"/>
              </w:rPr>
              <w:t>(5)</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3,025,258</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line="324" w:lineRule="exact"/>
              <w:rPr>
                <w:sz w:val="20"/>
                <w:szCs w:val="20"/>
                <w:color w:val="auto"/>
              </w:rPr>
            </w:pPr>
            <w:r>
              <w:rPr>
                <w:rFonts w:ascii="Arial" w:cs="Arial" w:eastAsia="Arial" w:hAnsi="Arial"/>
                <w:sz w:val="18"/>
                <w:szCs w:val="18"/>
                <w:color w:val="auto"/>
              </w:rPr>
              <w:t>Mr. Anthony G Bellas</w:t>
            </w:r>
            <w:r>
              <w:rPr>
                <w:rFonts w:ascii="Arial" w:cs="Arial" w:eastAsia="Arial" w:hAnsi="Arial"/>
                <w:sz w:val="29"/>
                <w:szCs w:val="29"/>
                <w:color w:val="auto"/>
                <w:vertAlign w:val="superscript"/>
              </w:rPr>
              <w:t>(6)</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2,146,374</w:t>
            </w:r>
          </w:p>
        </w:tc>
        <w:tc>
          <w:tcPr>
            <w:tcW w:w="300" w:type="dxa"/>
            <w:vAlign w:val="bottom"/>
          </w:tcPr>
          <w:p>
            <w:pPr>
              <w:spacing w:after="0"/>
              <w:rPr>
                <w:sz w:val="24"/>
                <w:szCs w:val="24"/>
                <w:color w:val="auto"/>
              </w:rPr>
            </w:pPr>
          </w:p>
        </w:tc>
        <w:tc>
          <w:tcPr>
            <w:tcW w:w="132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Mr. Nicholas Liveris</w:t>
            </w:r>
            <w:r>
              <w:rPr>
                <w:rFonts w:ascii="Arial" w:cs="Arial" w:eastAsia="Arial" w:hAnsi="Arial"/>
                <w:sz w:val="29"/>
                <w:szCs w:val="29"/>
                <w:color w:val="auto"/>
                <w:vertAlign w:val="superscript"/>
              </w:rPr>
              <w:t>(7)</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1,400,000</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line="324" w:lineRule="exact"/>
              <w:rPr>
                <w:sz w:val="20"/>
                <w:szCs w:val="20"/>
                <w:color w:val="auto"/>
              </w:rPr>
            </w:pPr>
            <w:r>
              <w:rPr>
                <w:rFonts w:ascii="Arial" w:cs="Arial" w:eastAsia="Arial" w:hAnsi="Arial"/>
                <w:sz w:val="18"/>
                <w:szCs w:val="18"/>
                <w:color w:val="auto"/>
              </w:rPr>
              <w:t>Mr. Robert Cooper</w:t>
            </w:r>
            <w:r>
              <w:rPr>
                <w:rFonts w:ascii="Arial" w:cs="Arial" w:eastAsia="Arial" w:hAnsi="Arial"/>
                <w:sz w:val="29"/>
                <w:szCs w:val="29"/>
                <w:color w:val="auto"/>
                <w:vertAlign w:val="superscript"/>
              </w:rPr>
              <w:t>(8)</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786,612</w:t>
            </w:r>
          </w:p>
        </w:tc>
        <w:tc>
          <w:tcPr>
            <w:tcW w:w="300" w:type="dxa"/>
            <w:vAlign w:val="bottom"/>
          </w:tcPr>
          <w:p>
            <w:pPr>
              <w:spacing w:after="0"/>
              <w:rPr>
                <w:sz w:val="24"/>
                <w:szCs w:val="24"/>
                <w:color w:val="auto"/>
              </w:rPr>
            </w:pPr>
          </w:p>
        </w:tc>
        <w:tc>
          <w:tcPr>
            <w:tcW w:w="132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senior management as a group (11 persons)</w:t>
            </w: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114,360,825</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-1833880</wp:posOffset>
            </wp:positionV>
            <wp:extent cx="1885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-1833880</wp:posOffset>
            </wp:positionV>
            <wp:extent cx="1885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319" w:hanging="348"/>
        <w:spacing w:after="0" w:line="281" w:lineRule="auto"/>
        <w:tabs>
          <w:tab w:leader="none" w:pos="6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Consists of 60,084,901 ordinary shares held by St Baker Energy Holdings Pty Ltd as trustee for the St Baker Energy Innovation Trust, an entity Mr. Trevor St Baker, a member of our board of directors, controls. It also includes 4,137,931 ordinary shares issued on May 11, 2021.</w:t>
      </w:r>
    </w:p>
    <w:p>
      <w:pPr>
        <w:ind w:left="640" w:right="319" w:hanging="348"/>
        <w:spacing w:after="0" w:line="264" w:lineRule="auto"/>
        <w:tabs>
          <w:tab w:leader="none" w:pos="6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Consists of 24,828,494 ordinary shares held by Allegro Capital Nominees Pty Ltd, 428,192 ordinary shares held by Intercontinental Pty Ltd and 33,333 ordinary shares held by Baynton Brothers Pty Ltd, all of which are entities that are controlled by Gregory Baynton, a former member of our board of directors. Mr. Baynton ceased serving as a non-executive director effective November 30, 2021.</w:t>
      </w:r>
    </w:p>
    <w:p>
      <w:pPr>
        <w:spacing w:after="0" w:line="6" w:lineRule="exact"/>
        <w:rPr>
          <w:rFonts w:ascii="Arial" w:cs="Arial" w:eastAsia="Arial" w:hAnsi="Arial"/>
          <w:sz w:val="13"/>
          <w:szCs w:val="13"/>
          <w:color w:val="auto"/>
        </w:rPr>
      </w:pPr>
    </w:p>
    <w:p>
      <w:pPr>
        <w:ind w:left="640" w:right="419" w:hanging="348"/>
        <w:spacing w:after="0" w:line="238"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Consists of 4,132,794 ordinary shares held by Mutual Trust Pty Ltd, an entity that manages the investment of Mr. Andrew Liveris, a member of our board of directors, in the Company and 5,000,000 ordinary shares held by Mr. Andrew Liveris beneficially. It also includes 4,500,000 ordinary shares issuable upon exercise of vested options.</w:t>
      </w:r>
    </w:p>
    <w:p>
      <w:pPr>
        <w:spacing w:after="0" w:line="20" w:lineRule="exact"/>
        <w:rPr>
          <w:rFonts w:ascii="Arial" w:cs="Arial" w:eastAsia="Arial" w:hAnsi="Arial"/>
          <w:sz w:val="14"/>
          <w:szCs w:val="14"/>
          <w:color w:val="auto"/>
        </w:rPr>
      </w:pPr>
    </w:p>
    <w:p>
      <w:pPr>
        <w:ind w:left="640" w:right="599" w:hanging="348"/>
        <w:spacing w:after="0" w:line="253"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Consists of 3,356,936 ordinary shares held beneficially by Dr. Christopher Burns, our Chief Executive Officer. It also includes 500,000 ordinary shares issuable upon exercise of vested options.</w:t>
      </w:r>
    </w:p>
    <w:p>
      <w:pPr>
        <w:spacing w:after="0" w:line="11" w:lineRule="exact"/>
        <w:rPr>
          <w:rFonts w:ascii="Arial" w:cs="Arial" w:eastAsia="Arial" w:hAnsi="Arial"/>
          <w:sz w:val="14"/>
          <w:szCs w:val="14"/>
          <w:color w:val="auto"/>
        </w:rPr>
      </w:pPr>
    </w:p>
    <w:p>
      <w:pPr>
        <w:ind w:left="640" w:right="359" w:hanging="348"/>
        <w:spacing w:after="0" w:line="238"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Consists of 1,501,724 ordinary shares held by HSBC Custody Nominees (Australia) Limited, an entity that manages the investment of Admiral Robert Natter, a member and Chairman of our board of directors, in the Company and 523,534 ordinary shares by Admiral Robert Natter beneficially. It also includes 1,000,000 ordinary shares issuable upon exercise of vested options.</w:t>
      </w:r>
    </w:p>
    <w:p>
      <w:pPr>
        <w:spacing w:after="0" w:line="20" w:lineRule="exact"/>
        <w:rPr>
          <w:rFonts w:ascii="Arial" w:cs="Arial" w:eastAsia="Arial" w:hAnsi="Arial"/>
          <w:sz w:val="14"/>
          <w:szCs w:val="14"/>
          <w:color w:val="auto"/>
        </w:rPr>
      </w:pPr>
    </w:p>
    <w:p>
      <w:pPr>
        <w:ind w:left="640" w:right="559" w:hanging="348"/>
        <w:spacing w:after="0" w:line="253"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Consists of 2,077,551 ordinary shares held by Loch Explorations Pty Ltd, and 68,823 ordinary shares held by AG Bellas Super Pty Ltd, entities which a member and Deputy Chairman of our board of directors, Mr. Anthony Bellas, controls.</w:t>
      </w:r>
    </w:p>
    <w:p>
      <w:pPr>
        <w:spacing w:after="0" w:line="11" w:lineRule="exact"/>
        <w:rPr>
          <w:rFonts w:ascii="Arial" w:cs="Arial" w:eastAsia="Arial" w:hAnsi="Arial"/>
          <w:sz w:val="14"/>
          <w:szCs w:val="14"/>
          <w:color w:val="auto"/>
        </w:rPr>
      </w:pPr>
    </w:p>
    <w:p>
      <w:pPr>
        <w:ind w:left="640" w:right="819" w:hanging="348"/>
        <w:spacing w:after="0" w:line="253"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Consists of 900,000 ordinary shares held beneficially by Mr. Nicholas Liveris, our Chief Financial Officer. It also includes 500,000 ordinary shares issuable upon exercise of vested options.</w:t>
      </w:r>
    </w:p>
    <w:p>
      <w:pPr>
        <w:spacing w:after="0" w:line="11" w:lineRule="exact"/>
        <w:rPr>
          <w:rFonts w:ascii="Arial" w:cs="Arial" w:eastAsia="Arial" w:hAnsi="Arial"/>
          <w:sz w:val="14"/>
          <w:szCs w:val="14"/>
          <w:color w:val="auto"/>
        </w:rPr>
      </w:pPr>
    </w:p>
    <w:p>
      <w:pPr>
        <w:ind w:left="640" w:right="479" w:hanging="348"/>
        <w:spacing w:after="0" w:line="253"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Consists of 586,612 ordinary shares held beneficially by Mr. Robert Cooper, a member of our board of directors. It also includes 200,000 ordinary shares issuable upon exercise of vested options.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Major Shareholders</w:t>
      </w:r>
    </w:p>
    <w:p>
      <w:pPr>
        <w:spacing w:after="0" w:line="121"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September 30, 2021, for each person or group of affiliated persons known by us to beneficially own more than 5% of our ordinary shares;</w:t>
      </w:r>
    </w:p>
    <w:p>
      <w:pPr>
        <w:spacing w:after="0" w:line="76" w:lineRule="exact"/>
        <w:rPr>
          <w:sz w:val="20"/>
          <w:szCs w:val="20"/>
          <w:color w:val="auto"/>
        </w:rPr>
      </w:pPr>
    </w:p>
    <w:p>
      <w:pPr>
        <w:ind w:left="300" w:right="519" w:firstLine="360"/>
        <w:spacing w:after="0" w:line="301" w:lineRule="auto"/>
        <w:rPr>
          <w:sz w:val="20"/>
          <w:szCs w:val="20"/>
          <w:color w:val="auto"/>
        </w:rPr>
      </w:pPr>
      <w:r>
        <w:rPr>
          <w:rFonts w:ascii="Arial" w:cs="Arial" w:eastAsia="Arial" w:hAnsi="Arial"/>
          <w:sz w:val="16"/>
          <w:szCs w:val="16"/>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w:t>
      </w:r>
    </w:p>
    <w:p>
      <w:pPr>
        <w:spacing w:after="0" w:line="49"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Applicable percentage ownership is based on 482,563,962 ordinary shares outstanding as of September 30, 2021. In computing the number of shares beneficially owned by a person or entity and the percentage ownership of such person or entity, we deemed to be outstanding all shares subject to options and performance rights held by the person or entity that are currently exercisable, or exercisable within 60 days of September 30, 2021. However, except as described above, we did not deem such shares outstanding for the purpose of computing the percentage ownership of any other person or entity. The information contained in the following table is not necessarily indicative of beneficial ownership for any other purpose, and the inclusion of any shares in the table does not constitute an admission of beneficial ownership of those shares. Each of our shareholders is entitled to one vote per ordinary share. None of the holders of our ordinary shares have different voting rights from other holders of ordinary shares. We are not aware of any arrangement that may, at a subsequent date, result in a change of control of our company. For further information regarding options to purchase ordinary shares and performance rights held by our directors and senior management, see “Management—Remuneration.”</w:t>
      </w:r>
    </w:p>
    <w:p>
      <w:pPr>
        <w:spacing w:after="0" w:line="60"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Unless otherwise indicated, the address of each beneficial owner listed below is c/o NOVONIX Limited, Level 8, 46 Edward Street, Brisbane, Queensland 4000, Australia.</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Number of Ordinary</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Percentage of Shares</w:t>
            </w: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Beneficially</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720" w:type="dxa"/>
            <w:vAlign w:val="bottom"/>
            <w:gridSpan w:val="3"/>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4"/>
              </w:rPr>
              <w:t>Beneficially Owned</w:t>
            </w:r>
          </w:p>
        </w:tc>
        <w:tc>
          <w:tcPr>
            <w:tcW w:w="0" w:type="dxa"/>
            <w:vAlign w:val="bottom"/>
          </w:tcPr>
          <w:p>
            <w:pPr>
              <w:spacing w:after="0"/>
              <w:rPr>
                <w:sz w:val="1"/>
                <w:szCs w:val="1"/>
                <w:color w:val="auto"/>
              </w:rPr>
            </w:pPr>
          </w:p>
        </w:tc>
      </w:tr>
      <w:tr>
        <w:trPr>
          <w:trHeight w:val="53"/>
        </w:trPr>
        <w:tc>
          <w:tcPr>
            <w:tcW w:w="128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720" w:type="dxa"/>
            <w:vAlign w:val="bottom"/>
            <w:gridSpan w:val="3"/>
            <w:shd w:val="clear" w:color="auto" w:fill="CCEEFF"/>
          </w:tcPr>
          <w:p>
            <w:pPr>
              <w:spacing w:after="0" w:line="331" w:lineRule="exact"/>
              <w:rPr>
                <w:sz w:val="20"/>
                <w:szCs w:val="20"/>
                <w:color w:val="auto"/>
              </w:rPr>
            </w:pPr>
            <w:r>
              <w:rPr>
                <w:rFonts w:ascii="Arial" w:cs="Arial" w:eastAsia="Arial" w:hAnsi="Arial"/>
                <w:sz w:val="18"/>
                <w:szCs w:val="18"/>
                <w:color w:val="auto"/>
              </w:rPr>
              <w:t>Phillips 66 Company</w:t>
            </w:r>
            <w:r>
              <w:rPr>
                <w:rFonts w:ascii="Arial" w:cs="Arial" w:eastAsia="Arial" w:hAnsi="Arial"/>
                <w:sz w:val="29"/>
                <w:szCs w:val="29"/>
                <w:color w:val="auto"/>
                <w:vertAlign w:val="superscript"/>
              </w:rPr>
              <w:t>(1)</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77,962,578</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324"/>
        </w:trPr>
        <w:tc>
          <w:tcPr>
            <w:tcW w:w="5720" w:type="dxa"/>
            <w:vAlign w:val="bottom"/>
            <w:gridSpan w:val="3"/>
          </w:tcPr>
          <w:p>
            <w:pPr>
              <w:spacing w:after="0" w:line="324" w:lineRule="exact"/>
              <w:rPr>
                <w:sz w:val="20"/>
                <w:szCs w:val="20"/>
                <w:color w:val="auto"/>
              </w:rPr>
            </w:pPr>
            <w:r>
              <w:rPr>
                <w:rFonts w:ascii="Arial" w:cs="Arial" w:eastAsia="Arial" w:hAnsi="Arial"/>
                <w:sz w:val="18"/>
                <w:szCs w:val="18"/>
                <w:color w:val="auto"/>
              </w:rPr>
              <w:t>Mr. &amp; Mrs. Trevor C. St. Baker</w:t>
            </w:r>
            <w:r>
              <w:rPr>
                <w:rFonts w:ascii="Arial" w:cs="Arial" w:eastAsia="Arial" w:hAnsi="Arial"/>
                <w:sz w:val="29"/>
                <w:szCs w:val="29"/>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64,222,832</w:t>
            </w:r>
          </w:p>
        </w:tc>
        <w:tc>
          <w:tcPr>
            <w:tcW w:w="120" w:type="dxa"/>
            <w:vAlign w:val="bottom"/>
          </w:tcPr>
          <w:p>
            <w:pPr>
              <w:spacing w:after="0"/>
              <w:rPr>
                <w:sz w:val="24"/>
                <w:szCs w:val="24"/>
                <w:color w:val="auto"/>
              </w:rPr>
            </w:pPr>
          </w:p>
        </w:tc>
        <w:tc>
          <w:tcPr>
            <w:tcW w:w="1280" w:type="dxa"/>
            <w:vAlign w:val="bottom"/>
          </w:tcPr>
          <w:p>
            <w:pPr>
              <w:jc w:val="right"/>
              <w:ind w:right="237"/>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24"/>
        </w:trPr>
        <w:tc>
          <w:tcPr>
            <w:tcW w:w="572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Mr. Gregory AJ Baynton</w:t>
            </w:r>
            <w:r>
              <w:rPr>
                <w:rFonts w:ascii="Arial" w:cs="Arial" w:eastAsia="Arial" w:hAnsi="Arial"/>
                <w:sz w:val="29"/>
                <w:szCs w:val="29"/>
                <w:color w:val="auto"/>
                <w:vertAlign w:val="superscript"/>
              </w:rPr>
              <w:t>(3)</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25,290,019</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-736600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-736600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5" w:lineRule="exact"/>
        <w:rPr>
          <w:sz w:val="20"/>
          <w:szCs w:val="20"/>
          <w:color w:val="auto"/>
        </w:rPr>
      </w:pPr>
    </w:p>
    <w:p>
      <w:pPr>
        <w:ind w:left="640" w:right="599" w:hanging="348"/>
        <w:spacing w:after="0" w:line="238"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September 2021, we consummated a transaction with Phillips 66 pursuant to which Phillips 66 acquired 77,962,578 ordinary shares, representing approximately 16.2% of our outstanding ordinary shares as of September 30, 2021, for an aggregate purchase price of US$150 million. See “Business – Recent Developments”</w:t>
      </w:r>
    </w:p>
    <w:p>
      <w:pPr>
        <w:spacing w:after="0" w:line="20"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Consists of 60,084,901 ordinary shares held by St Baker Energy Holdings Pty Ltd as trustee for the St Baker Energy Innovation Trust, an entity Mr. Trevor St Baker, a member of our board of directors, controls. It also includes 4,137,931 ordinary shares issued on May 11, 2021.</w:t>
      </w:r>
    </w:p>
    <w:p>
      <w:pPr>
        <w:ind w:left="640" w:right="319" w:hanging="348"/>
        <w:spacing w:after="0" w:line="264" w:lineRule="auto"/>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Consists of 24,828,494 ordinary shares held by Allegro Capital Nominees Pty Ltd, 428,192 ordinary shares held by Intercontinental Pty Ltd and 33,333 ordinary shares held by Baynton Brothers Pty Ltd, all of which are entities that are controlled by Gregory Baynton, a former member of our board of directors. Mr. Baynton ceased serving as a non-executive director effective November 30, 2021.</w:t>
      </w:r>
    </w:p>
    <w:p>
      <w:pPr>
        <w:spacing w:after="0" w:line="169" w:lineRule="exact"/>
        <w:rPr>
          <w:sz w:val="20"/>
          <w:szCs w:val="20"/>
          <w:color w:val="auto"/>
        </w:rPr>
      </w:pPr>
    </w:p>
    <w:p>
      <w:pPr>
        <w:ind w:left="640" w:hanging="348"/>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Other than compensation arrangements which are described under “Directors, Senior Management and Employees – Compensation” or as disclosed below, from July 1, 2018 through the date of this registration statement, we did not enter into any transactions or loans with any: (i) enterprises that directly or indirectly, through one or more intermediaries, control, are controlled by or are under common control with us; (ii) associates; (iii) individuals owning, directly or indirectly, an interest in our voting power that gives them significant influence over us, and close members of any such individual’s family; (iv) key management personnel and close members of such individuals’ families; or (v) enterprises in which a substantial interest in our voting power is owned, directly or indirectly, by any person described in (iii) or (iv) or over which such person is able to exercise significant influence.</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Transactions with Directors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part of our March 2021 equity offering included in “Recent Sales of Unregistered Securities”, we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announced that approximately 5.67 million ordinary shares would be issued, in the aggregate, to Mr. Trevor St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79"/>
        <w:spacing w:after="0" w:line="263" w:lineRule="auto"/>
        <w:rPr>
          <w:sz w:val="20"/>
          <w:szCs w:val="20"/>
          <w:color w:val="auto"/>
        </w:rPr>
      </w:pPr>
      <w:r>
        <w:rPr>
          <w:rFonts w:ascii="Arial" w:cs="Arial" w:eastAsia="Arial" w:hAnsi="Arial"/>
          <w:sz w:val="18"/>
          <w:szCs w:val="18"/>
          <w:color w:val="auto"/>
        </w:rPr>
        <w:t>Baker, Mr. Andrew Liveris, Admiral Robert Natter and Mr. Robert Cooper (or entities affiliated with them) at a purchase price of A$2.90 per share for an aggregate purchase price of A$16 million. These shares were issued by May 11, 2021, following receipt of shareholder approval on April 27, 2021.</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fiscal year ended June 30, 2020, Mr. Philip St Baker was paid rent totaling A$77,579</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(USD$52,000), for the use of property owned by Mr. Philip St Baker in Colorado, USA. Mr. Philip St Baker’s salary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was reduced accordingly to reflect the additional benefit Mr. Philip St Baker received.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fiscal year ended June 30, 2021:</w:t>
      </w:r>
    </w:p>
    <w:p>
      <w:pPr>
        <w:spacing w:after="0" w:line="117" w:lineRule="exact"/>
        <w:rPr>
          <w:sz w:val="20"/>
          <w:szCs w:val="20"/>
          <w:color w:val="auto"/>
        </w:rPr>
      </w:pPr>
    </w:p>
    <w:p>
      <w:pPr>
        <w:ind w:left="1000" w:right="1059" w:hanging="348"/>
        <w:spacing w:after="0" w:line="342"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Group entered into a separation agreement with Philip St Baker following his resignation on 23 September 2020, which included the settlement of a $1,500,000 limited recourse loan.</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fiscal year ended June 30, 2020:</w:t>
      </w:r>
    </w:p>
    <w:p>
      <w:pPr>
        <w:spacing w:after="0" w:line="117" w:lineRule="exact"/>
        <w:rPr>
          <w:sz w:val="20"/>
          <w:szCs w:val="20"/>
          <w:color w:val="auto"/>
        </w:rPr>
      </w:pPr>
    </w:p>
    <w:p>
      <w:pPr>
        <w:ind w:left="1000" w:right="339" w:hanging="348"/>
        <w:spacing w:after="0" w:line="296"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A$4,000,000 in unsecured loan notes were issued to the St Baker Energy Innovation Fund, a related party of Mr. Trevor St Baker. Prior to the issue of the loan notes, the St Baker Energy Innovation Fund provided the Company with a A$4,000,000 short-term unsecured loan bearing interest at a rate of 10%. Following shareholder approval on July 31, 2019, for the loan notes, the short-term loan was converted to loan notes. These loan notes were repaid in connection with the June 2020 Capital Raise Transaction described below.</w:t>
      </w:r>
    </w:p>
    <w:p>
      <w:pPr>
        <w:spacing w:after="0" w:line="53" w:lineRule="exact"/>
        <w:rPr>
          <w:rFonts w:ascii="Arial" w:cs="Arial" w:eastAsia="Arial" w:hAnsi="Arial"/>
          <w:sz w:val="16"/>
          <w:szCs w:val="16"/>
          <w:color w:val="auto"/>
        </w:rPr>
      </w:pPr>
    </w:p>
    <w:p>
      <w:pPr>
        <w:ind w:left="1000" w:hanging="348"/>
        <w:spacing w:after="0"/>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Group entered into a short-term loan agreement with the St Baker Energy Innovation Fund for</w:t>
      </w:r>
    </w:p>
    <w:p>
      <w:pPr>
        <w:spacing w:after="0" w:line="34" w:lineRule="exact"/>
        <w:rPr>
          <w:rFonts w:ascii="Arial" w:cs="Arial" w:eastAsia="Arial" w:hAnsi="Arial"/>
          <w:sz w:val="17"/>
          <w:szCs w:val="17"/>
          <w:color w:val="auto"/>
        </w:rPr>
      </w:pPr>
    </w:p>
    <w:p>
      <w:pPr>
        <w:ind w:left="1000" w:right="439"/>
        <w:spacing w:after="0" w:line="260" w:lineRule="auto"/>
        <w:rPr>
          <w:rFonts w:ascii="Arial" w:cs="Arial" w:eastAsia="Arial" w:hAnsi="Arial"/>
          <w:sz w:val="17"/>
          <w:szCs w:val="17"/>
          <w:color w:val="auto"/>
        </w:rPr>
      </w:pPr>
      <w:r>
        <w:rPr>
          <w:rFonts w:ascii="Arial" w:cs="Arial" w:eastAsia="Arial" w:hAnsi="Arial"/>
          <w:sz w:val="18"/>
          <w:szCs w:val="18"/>
          <w:color w:val="auto"/>
        </w:rPr>
        <w:t>A$3,400,000. This loan was repaid in connection with the June 2020 Capital Raise Transaction described below.</w:t>
      </w:r>
    </w:p>
    <w:p>
      <w:pPr>
        <w:spacing w:after="0" w:line="77" w:lineRule="exact"/>
        <w:rPr>
          <w:rFonts w:ascii="Arial" w:cs="Arial" w:eastAsia="Arial" w:hAnsi="Arial"/>
          <w:sz w:val="17"/>
          <w:szCs w:val="17"/>
          <w:color w:val="auto"/>
        </w:rPr>
      </w:pPr>
    </w:p>
    <w:p>
      <w:pPr>
        <w:ind w:left="1000" w:right="419" w:hanging="348"/>
        <w:spacing w:after="0" w:line="308"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Group entered into short-term loan agreements with directors totaling A$3,148,960. These loans were repaid in connection with the June 2020 Capital Raise Transaction described below.</w:t>
      </w:r>
    </w:p>
    <w:p>
      <w:pPr>
        <w:spacing w:after="0" w:line="38" w:lineRule="exact"/>
        <w:rPr>
          <w:rFonts w:ascii="Arial" w:cs="Arial" w:eastAsia="Arial" w:hAnsi="Arial"/>
          <w:sz w:val="17"/>
          <w:szCs w:val="17"/>
          <w:color w:val="auto"/>
        </w:rPr>
      </w:pPr>
    </w:p>
    <w:p>
      <w:pPr>
        <w:ind w:left="1000" w:right="339" w:hanging="348"/>
        <w:spacing w:after="0" w:line="296"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a General Meeting of Shareholders held on June 30, 2020, shareholders approved the issue of 67,085,100 fully paid ordinary shares to the St Baker Energy Innovation Fund at an issue price of A$0.29 per share raising A$19,454,679 (the “June 2020 Capital Raise Transaction”). The consideration for the ordinary shares received consisted of cash and the retirement of both convertible loan notes and short-term loans owing. Details of the June 2020 Capital Raise Transaction are set out in the table below:</w:t>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Face value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loan notes and</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balance of</w:t>
            </w:r>
          </w:p>
        </w:tc>
        <w:tc>
          <w:tcPr>
            <w:tcW w:w="2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Placement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short-term</w:t>
            </w:r>
          </w:p>
        </w:tc>
        <w:tc>
          <w:tcPr>
            <w:tcW w:w="2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Shares issued</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loan</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accrued</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proceeds</w:t>
            </w: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(Number)</w:t>
            </w:r>
          </w:p>
        </w:tc>
        <w:tc>
          <w:tcPr>
            <w:tcW w:w="0" w:type="dxa"/>
            <w:vAlign w:val="bottom"/>
          </w:tcPr>
          <w:p>
            <w:pPr>
              <w:spacing w:after="0"/>
              <w:rPr>
                <w:sz w:val="1"/>
                <w:szCs w:val="1"/>
                <w:color w:val="auto"/>
              </w:rPr>
            </w:pPr>
          </w:p>
        </w:tc>
      </w:tr>
      <w:tr>
        <w:trPr>
          <w:trHeight w:val="53"/>
        </w:trPr>
        <w:tc>
          <w:tcPr>
            <w:tcW w:w="33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notes redeemed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10,000,000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1,187,397</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11,187,397</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38,577,232</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Short-term loan repaid</w:t>
            </w:r>
          </w:p>
        </w:tc>
        <w:tc>
          <w:tcPr>
            <w:tcW w:w="900" w:type="dxa"/>
            <w:vAlign w:val="bottom"/>
          </w:tcPr>
          <w:p>
            <w:pPr>
              <w:jc w:val="right"/>
              <w:spacing w:after="0"/>
              <w:rPr>
                <w:sz w:val="20"/>
                <w:szCs w:val="20"/>
                <w:color w:val="auto"/>
              </w:rPr>
            </w:pPr>
            <w:r>
              <w:rPr>
                <w:rFonts w:ascii="Arial" w:cs="Arial" w:eastAsia="Arial" w:hAnsi="Arial"/>
                <w:sz w:val="18"/>
                <w:szCs w:val="18"/>
                <w:color w:val="auto"/>
              </w:rPr>
              <w:t>3,400,000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131,575</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3,531,575</w:t>
            </w:r>
          </w:p>
        </w:tc>
        <w:tc>
          <w:tcPr>
            <w:tcW w:w="2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12,177,845</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Placement proceeds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4,735,707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4,735,707</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16,330,023</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13,400,000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1,318,972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4,735,707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19,454,679</w:t>
            </w:r>
          </w:p>
        </w:tc>
        <w:tc>
          <w:tcPr>
            <w:tcW w:w="2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67,085,100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-805180</wp:posOffset>
            </wp:positionV>
            <wp:extent cx="1714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-805180</wp:posOffset>
            </wp:positionV>
            <wp:extent cx="1714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-805180</wp:posOffset>
            </wp:positionV>
            <wp:extent cx="1714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-805180</wp:posOffset>
            </wp:positionV>
            <wp:extent cx="1714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-805180</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and Senior Management Compensation</w:t>
      </w:r>
    </w:p>
    <w:p>
      <w:pPr>
        <w:spacing w:after="0" w:line="121"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color w:val="auto"/>
        </w:rPr>
        <w:t>See “Management—Remuneration” for information regarding compensation of our senior management and directors.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Our Constitution provides that, to the full extent permitted by law, to the extent that an officer is not otherwise indemnified pursuant to any insurance coverage, we will indemnify every person who is or has been an officer of the company against any liability incurred by that person as an officer. This includes any liability incurred by that person in their capacity as an officer of a related body corporate.</w:t>
      </w:r>
    </w:p>
    <w:p>
      <w:pPr>
        <w:spacing w:after="0" w:line="79"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7"/>
          <w:szCs w:val="17"/>
          <w:color w:val="auto"/>
        </w:rPr>
        <w:t>We intend to enter into Deeds of Indemnity, Insurance and Access, or Indemnity Deeds with each a non-executive director and executive officer. Under the Indemnity Deeds, we will agree to indemnify (to the maximum extent permitted under Australian law and our Constitution, subject to certain specified exceptions)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96" w:lineRule="auto"/>
        <w:rPr>
          <w:sz w:val="20"/>
          <w:szCs w:val="20"/>
          <w:color w:val="auto"/>
        </w:rPr>
      </w:pPr>
      <w:r>
        <w:rPr>
          <w:rFonts w:ascii="Arial" w:cs="Arial" w:eastAsia="Arial" w:hAnsi="Arial"/>
          <w:sz w:val="16"/>
          <w:szCs w:val="16"/>
          <w:color w:val="auto"/>
        </w:rPr>
        <w:t>each director and executive officer against all liabilities incurred in any capacity, including acting as an authorized representative of NOVONIX, and any and all costs and expenses relating to such a claim or to any notified event incurred by such director or executive officer, including costs and expenses reasonably and necessarily incurred to mitigate any liability for such a claim or any claim which may arise from such a notified event. The Indemnity Deeds will provide that the indemnities are unlimited as to amount, continuous and irrevocable.</w:t>
      </w:r>
    </w:p>
    <w:p>
      <w:pPr>
        <w:spacing w:after="0" w:line="53"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Separately, we intend to obtain insurance for our directors and executive officers, as will be required by the Indemnity Deeds.</w:t>
      </w:r>
    </w:p>
    <w:p>
      <w:pPr>
        <w:spacing w:after="0" w:line="6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We comply with Australian law and the rules and regulations of the ASX regarding approval of transactions with related parties. Under Australia’s securities laws and ASX rules, transactions with directors or significant shareholders of the Company (or their associates) may require shareholder approval depending on the size or nature of the transaction.</w:t>
      </w:r>
    </w:p>
    <w:p>
      <w:pPr>
        <w:spacing w:after="0" w:line="79"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All of the transactions described above were entered into prior to the adoption of the written policy, but our board of directors and, where necessary, our shareholders, evaluated and approved all transactions that were considered to be related party transactions under Australian law and the rules and regulations of the ASX at the time at which they were consummated.</w:t>
      </w:r>
    </w:p>
    <w:p>
      <w:pPr>
        <w:spacing w:after="0" w:line="183" w:lineRule="exact"/>
        <w:rPr>
          <w:sz w:val="20"/>
          <w:szCs w:val="20"/>
          <w:color w:val="auto"/>
        </w:rPr>
      </w:pPr>
    </w:p>
    <w:p>
      <w:pPr>
        <w:ind w:left="660" w:right="5959" w:hanging="368"/>
        <w:spacing w:after="0" w:line="438" w:lineRule="auto"/>
        <w:tabs>
          <w:tab w:leader="none" w:pos="651"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Consolidated Financial Statements and Other Financial Information</w:t>
      </w:r>
    </w:p>
    <w:p>
      <w:pPr>
        <w:spacing w:after="0" w:line="121" w:lineRule="exact"/>
        <w:rPr>
          <w:sz w:val="20"/>
          <w:szCs w:val="20"/>
          <w:color w:val="auto"/>
        </w:rPr>
      </w:pPr>
    </w:p>
    <w:p>
      <w:pPr>
        <w:ind w:left="300" w:right="679" w:firstLine="360"/>
        <w:spacing w:after="0" w:line="342" w:lineRule="auto"/>
        <w:rPr>
          <w:sz w:val="20"/>
          <w:szCs w:val="20"/>
          <w:color w:val="auto"/>
        </w:rPr>
      </w:pPr>
      <w:r>
        <w:rPr>
          <w:rFonts w:ascii="Arial" w:cs="Arial" w:eastAsia="Arial" w:hAnsi="Arial"/>
          <w:sz w:val="16"/>
          <w:szCs w:val="16"/>
          <w:color w:val="auto"/>
        </w:rPr>
        <w:t>For a list of all financial statements filed as part of the registration statement, see “</w:t>
      </w:r>
      <w:r>
        <w:rPr>
          <w:rFonts w:ascii="Arial" w:cs="Arial" w:eastAsia="Arial" w:hAnsi="Arial"/>
          <w:sz w:val="16"/>
          <w:szCs w:val="16"/>
          <w:i w:val="1"/>
          <w:iCs w:val="1"/>
          <w:color w:val="auto"/>
        </w:rPr>
        <w:t>Item 18.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For information on our dividend policy see “</w:t>
      </w:r>
      <w:r>
        <w:rPr>
          <w:rFonts w:ascii="Arial" w:cs="Arial" w:eastAsia="Arial" w:hAnsi="Arial"/>
          <w:sz w:val="16"/>
          <w:szCs w:val="16"/>
          <w:i w:val="1"/>
          <w:iCs w:val="1"/>
          <w:color w:val="auto"/>
        </w:rPr>
        <w:t>Item 10B. Memorandum and Articles of Association</w:t>
      </w:r>
      <w:r>
        <w:rPr>
          <w:rFonts w:ascii="Arial" w:cs="Arial" w:eastAsia="Arial" w:hAnsi="Arial"/>
          <w:sz w:val="16"/>
          <w:szCs w:val="16"/>
          <w:color w:val="auto"/>
        </w:rPr>
        <w: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We believe that we are currently not a party to any material legal proceedings. From time to time, we may become involved in legal proceedings arising in the ordinary course of our business. Such claims or legal actions, even if without merit, could result in the expenditure of significant financial and management resources and potentially result in civil liability for damages. For risks related to legal proceedings, see “Risk Factors—</w:t>
      </w:r>
      <w:r>
        <w:rPr>
          <w:rFonts w:ascii="Arial" w:cs="Arial" w:eastAsia="Arial" w:hAnsi="Arial"/>
          <w:sz w:val="16"/>
          <w:szCs w:val="16"/>
          <w:b w:val="1"/>
          <w:bCs w:val="1"/>
          <w:i w:val="1"/>
          <w:iCs w:val="1"/>
          <w:color w:val="auto"/>
        </w:rPr>
        <w:t>From time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to time, we may be involved in litigation, regulatory actions or government investigations and inquiries, which could have an adverse impact on our profitability and consolidated financial position,” </w:t>
      </w:r>
      <w:r>
        <w:rPr>
          <w:rFonts w:ascii="Arial" w:cs="Arial" w:eastAsia="Arial" w:hAnsi="Arial"/>
          <w:sz w:val="16"/>
          <w:szCs w:val="16"/>
          <w:color w:val="auto"/>
        </w:rPr>
        <w:t>and “Risk Factors—</w:t>
      </w:r>
      <w:r>
        <w:rPr>
          <w:rFonts w:ascii="Arial" w:cs="Arial" w:eastAsia="Arial" w:hAnsi="Arial"/>
          <w:sz w:val="16"/>
          <w:szCs w:val="16"/>
          <w:b w:val="1"/>
          <w:bCs w:val="1"/>
          <w:i w:val="1"/>
          <w:iCs w:val="1"/>
          <w:color w:val="auto"/>
        </w:rPr>
        <w:t>We may become involved in lawsuits or other proceedings to protect or enforce our intellectual property, which could be expensive, time-consuming and unsuccessful and have a negative effect on the success of our business.”</w:t>
      </w:r>
    </w:p>
    <w:p>
      <w:pPr>
        <w:spacing w:after="0" w:line="161" w:lineRule="exact"/>
        <w:rPr>
          <w:sz w:val="20"/>
          <w:szCs w:val="20"/>
          <w:color w:val="auto"/>
        </w:rPr>
      </w:pPr>
    </w:p>
    <w:p>
      <w:pPr>
        <w:ind w:left="640" w:hanging="348"/>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jc w:val="both"/>
        <w:ind w:left="300" w:right="859" w:firstLine="360"/>
        <w:spacing w:after="0" w:line="263" w:lineRule="auto"/>
        <w:rPr>
          <w:sz w:val="20"/>
          <w:szCs w:val="20"/>
          <w:color w:val="auto"/>
        </w:rPr>
      </w:pPr>
      <w:r>
        <w:rPr>
          <w:rFonts w:ascii="Arial" w:cs="Arial" w:eastAsia="Arial" w:hAnsi="Arial"/>
          <w:sz w:val="18"/>
          <w:szCs w:val="18"/>
          <w:color w:val="auto"/>
        </w:rPr>
        <w:t>No significant change, other than as otherwise described in this registration statement on Form 20-F, has occurred in our operations since the date of our consolidated financial statements included in this registration statement on Form 20-F.</w:t>
      </w:r>
    </w:p>
    <w:p>
      <w:pPr>
        <w:spacing w:after="0" w:line="180"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Listing</w:t>
      </w:r>
    </w:p>
    <w:p>
      <w:pPr>
        <w:spacing w:after="0" w:line="11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Listing Details</w:t>
      </w:r>
    </w:p>
    <w:p>
      <w:pPr>
        <w:spacing w:after="0" w:line="121" w:lineRule="exact"/>
        <w:rPr>
          <w:sz w:val="20"/>
          <w:szCs w:val="20"/>
          <w:color w:val="auto"/>
        </w:rPr>
      </w:pPr>
    </w:p>
    <w:p>
      <w:pPr>
        <w:ind w:left="300" w:right="559" w:firstLine="360"/>
        <w:spacing w:after="0" w:line="257" w:lineRule="auto"/>
        <w:rPr>
          <w:sz w:val="20"/>
          <w:szCs w:val="20"/>
          <w:color w:val="auto"/>
        </w:rPr>
      </w:pPr>
      <w:r>
        <w:rPr>
          <w:rFonts w:ascii="Arial" w:cs="Arial" w:eastAsia="Arial" w:hAnsi="Arial"/>
          <w:sz w:val="18"/>
          <w:szCs w:val="18"/>
          <w:color w:val="auto"/>
        </w:rPr>
        <w:t>The principal trading market for our ordinary shares is the ASX in Australia, where the ordinary shares have been listed since 2015. On December 6, 2021, the closing price of our ordinary shares as traded on the ASX was A$8.09 per ordinary share. We intend to apply to have our ADSs listed on the Nasdaq Global Market under the symbol “NVX”. For a description of the rights of our ADSs, see “Description of Securities Other Than Equity Securities – American Depositary Shares.”</w:t>
      </w:r>
    </w:p>
    <w:p>
      <w:pPr>
        <w:spacing w:after="0" w:line="184" w:lineRule="exact"/>
        <w:rPr>
          <w:sz w:val="20"/>
          <w:szCs w:val="20"/>
          <w:color w:val="auto"/>
        </w:rPr>
      </w:pPr>
    </w:p>
    <w:p>
      <w:pPr>
        <w:ind w:left="660" w:right="6839" w:hanging="368"/>
        <w:spacing w:after="0" w:line="510" w:lineRule="auto"/>
        <w:tabs>
          <w:tab w:leader="none" w:pos="651"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40" w:hanging="348"/>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ordinary shares are publicly traded on the ASX under the symbol “NVX”.</w:t>
      </w:r>
    </w:p>
    <w:p>
      <w:pPr>
        <w:spacing w:after="0" w:line="117" w:lineRule="exact"/>
        <w:rPr>
          <w:sz w:val="20"/>
          <w:szCs w:val="20"/>
          <w:color w:val="auto"/>
        </w:rPr>
      </w:pPr>
    </w:p>
    <w:p>
      <w:pPr>
        <w:ind w:left="300" w:right="639" w:firstLine="360"/>
        <w:spacing w:after="0" w:line="263" w:lineRule="auto"/>
        <w:rPr>
          <w:sz w:val="20"/>
          <w:szCs w:val="20"/>
          <w:color w:val="auto"/>
        </w:rPr>
      </w:pPr>
      <w:r>
        <w:rPr>
          <w:rFonts w:ascii="Arial" w:cs="Arial" w:eastAsia="Arial" w:hAnsi="Arial"/>
          <w:sz w:val="18"/>
          <w:szCs w:val="18"/>
          <w:color w:val="auto"/>
        </w:rPr>
        <w:t>We are filing this registration statement on Form 20-F in anticipation of the listing of our ADSs, each representing one of our ordinary shares, on the Nasdaq Global Market under the symbol “NVX”. [ ], acting as depositary, will register and deliver our ADSs.</w:t>
      </w:r>
    </w:p>
    <w:p>
      <w:pPr>
        <w:spacing w:after="0" w:line="180" w:lineRule="exact"/>
        <w:rPr>
          <w:sz w:val="20"/>
          <w:szCs w:val="20"/>
          <w:color w:val="auto"/>
        </w:rPr>
      </w:pPr>
    </w:p>
    <w:p>
      <w:pPr>
        <w:ind w:left="660" w:right="6799" w:hanging="368"/>
        <w:spacing w:after="0" w:line="535" w:lineRule="auto"/>
        <w:tabs>
          <w:tab w:leader="none" w:pos="651"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640" w:hanging="348"/>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660" w:right="6759" w:hanging="368"/>
        <w:spacing w:after="0" w:line="501" w:lineRule="auto"/>
        <w:tabs>
          <w:tab w:leader="none" w:pos="651"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17" w:lineRule="exact"/>
        <w:rPr>
          <w:sz w:val="20"/>
          <w:szCs w:val="20"/>
          <w:color w:val="auto"/>
        </w:rPr>
      </w:pPr>
    </w:p>
    <w:p>
      <w:pPr>
        <w:ind w:left="300" w:right="7319" w:hanging="8"/>
        <w:spacing w:after="0" w:line="385" w:lineRule="auto"/>
        <w:tabs>
          <w:tab w:leader="none" w:pos="651"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General</w:t>
      </w:r>
    </w:p>
    <w:p>
      <w:pPr>
        <w:spacing w:after="0" w:line="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The following description of our ordinary shares is only a summary. We encourage you to also read our Constitution, which is included as an exhibit to this registration statement, of which this registration statement forms a part.</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39" w:firstLine="360"/>
        <w:spacing w:after="0" w:line="259" w:lineRule="auto"/>
        <w:rPr>
          <w:sz w:val="20"/>
          <w:szCs w:val="20"/>
          <w:color w:val="auto"/>
        </w:rPr>
      </w:pPr>
      <w:r>
        <w:rPr>
          <w:rFonts w:ascii="Arial" w:cs="Arial" w:eastAsia="Arial" w:hAnsi="Arial"/>
          <w:sz w:val="18"/>
          <w:szCs w:val="18"/>
          <w:color w:val="auto"/>
        </w:rPr>
        <w:t>We are a public company limited by shares incorporated under the Corporations Act by the Australian Securities and Investments Commission, or ASIC. Our corporate affairs are principally governed by our Constitution, the Corporations Act and the Australian Securities Exchange, or ASX, Listing Rules. Our ordinary shares are quoted and trade on the ASX.</w:t>
      </w:r>
    </w:p>
    <w:p>
      <w:pPr>
        <w:spacing w:after="0" w:line="79"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Our Constitution is not significantly different to a U.S. company’s charter documents. However, we do not have a limit on our authorized share capital, and the concept of ‘par value’ is not recognized under Australian law. Our constitution is further discussed under “—Our Constitution”, below.</w:t>
      </w:r>
    </w:p>
    <w:p>
      <w:pPr>
        <w:spacing w:after="0" w:line="76"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Subject to any restrictions on the issue of securities in our Constitution, the Corporations Act, the ASX Listing Rules and any other applicable law, we may from time to time issue shares and grant options over unissued shares on any terms, with the rights and restrictions and for the consideration that our board of directors determine. The rights and restrictions attaching to ordinary shares are derived through a combination of our Constitution, the common law applicable in Australia, the ASX Listing Rules, the Corporations Act and other applicable law. A general summary of some of the rights and restrictions attaching to our ordinary shares are summarized below. Each ordinary shareholder is entitled to receive notice of, and to be present, vote (subject to any voting exclusions which may apply to specific resolutions) and speak at, general meetings.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Changes to Our Share Capital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this registration statement, we had: (i) 482,563,962 ordinary shares outstanding,</w:t>
      </w:r>
    </w:p>
    <w:p>
      <w:pPr>
        <w:spacing w:after="0" w:line="23" w:lineRule="exact"/>
        <w:rPr>
          <w:sz w:val="20"/>
          <w:szCs w:val="20"/>
          <w:color w:val="auto"/>
        </w:rPr>
      </w:pPr>
    </w:p>
    <w:p>
      <w:pPr>
        <w:ind w:left="300" w:right="399" w:hanging="8"/>
        <w:spacing w:after="0" w:line="253" w:lineRule="auto"/>
        <w:tabs>
          <w:tab w:leader="none" w:pos="5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outstanding options to subscribe for 29,363,334 ordinary shares at a weighted-average exercise price of approximately A$0.51 per share, (iii) 4,370,000 outstanding performance rights held by key management personnel (“KMP”) and employees (with each performance right being a contractual right to receive an ordinary share for no consideration provided applicable performance hurdles are achieved) and (iv) 291,500 outstanding share rights held by directors.</w:t>
      </w:r>
    </w:p>
    <w:p>
      <w:pPr>
        <w:spacing w:after="0" w:line="83" w:lineRule="exact"/>
        <w:rPr>
          <w:sz w:val="20"/>
          <w:szCs w:val="20"/>
          <w:color w:val="auto"/>
        </w:rPr>
      </w:pPr>
    </w:p>
    <w:p>
      <w:pPr>
        <w:ind w:left="300" w:right="619" w:firstLine="360"/>
        <w:spacing w:after="0" w:line="308" w:lineRule="auto"/>
        <w:rPr>
          <w:sz w:val="20"/>
          <w:szCs w:val="20"/>
          <w:color w:val="auto"/>
        </w:rPr>
      </w:pPr>
      <w:r>
        <w:rPr>
          <w:rFonts w:ascii="Arial" w:cs="Arial" w:eastAsia="Arial" w:hAnsi="Arial"/>
          <w:sz w:val="17"/>
          <w:szCs w:val="17"/>
          <w:color w:val="auto"/>
        </w:rPr>
        <w:t>From July 1, 2018 through the date of this registration statement (i.e. over the last three completed financial years), the following events changed the number of our issued and outstanding ordinary shares:</w:t>
      </w:r>
    </w:p>
    <w:p>
      <w:pPr>
        <w:spacing w:after="0" w:line="38" w:lineRule="exact"/>
        <w:rPr>
          <w:sz w:val="20"/>
          <w:szCs w:val="20"/>
          <w:color w:val="auto"/>
        </w:rPr>
      </w:pPr>
    </w:p>
    <w:p>
      <w:pPr>
        <w:ind w:left="1000" w:hanging="348"/>
        <w:spacing w:after="0"/>
        <w:tabs>
          <w:tab w:leader="none" w:pos="10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10,750,000 ordinary shares issued upon exercise of options by directors and executives;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1,896,666 ordinary shares issued upon exercise of other options;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3,158,865 ordinary shares issued upon exercise of KMP performance rights;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400,000 ordinary shares issued upon exercise of non-KMP performance rights;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259,585,759 ordinary shares issued in connection with capital raising transactions;</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5,672,414 ordinary shares issued to Mr. Trevor St Baker, Mr. Andrew Liveris nominees, Admiral Robert Natter and Mr. Robert Cooper (or entities affiliated with them);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77,962,578 ordinary shares issued to Phillips 66.</w:t>
      </w:r>
    </w:p>
    <w:p>
      <w:pPr>
        <w:spacing w:after="0" w:line="221"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b w:val="1"/>
          <w:bCs w:val="1"/>
          <w:color w:val="auto"/>
        </w:rPr>
        <w:t>B.  Memorandum and Articles of Association</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Constitution</w:t>
      </w:r>
    </w:p>
    <w:p>
      <w:pPr>
        <w:spacing w:after="0" w:line="12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Our Constitution governs our internal management and is similar in nature to the bylaws of a U.S. corporation. It does not provide for or prescribe any specific objectives or purposes of our company. It provides that our company may exercise any power, take any action or engage in any conduct which the Corporations Act permits a company limited by shares to exercise, take or engage in. Under the Corporations Act, a company has the legal capacity and powers of an individual both within and outside Australia, as well as a number of other powers specific to companies.</w:t>
      </w:r>
    </w:p>
    <w:p>
      <w:pPr>
        <w:spacing w:after="0" w:line="84"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w:t>
      </w:r>
    </w:p>
    <w:p>
      <w:pPr>
        <w:spacing w:after="0" w:line="76"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The material provisions of our Constitution are summarized below. This summary is not intended to and does not constitute a complete statement of the rights and liabilities of our shareholders, and is qualified in its entirety by reference to the complete text of our Constitution, a copy of which is included as an exhibit to this registration statement, of which this registration statement forms a part.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jc w:val="both"/>
        <w:ind w:left="300" w:right="779" w:firstLine="360"/>
        <w:spacing w:after="0" w:line="296" w:lineRule="auto"/>
        <w:rPr>
          <w:sz w:val="20"/>
          <w:szCs w:val="20"/>
          <w:color w:val="auto"/>
        </w:rPr>
      </w:pPr>
      <w:r>
        <w:rPr>
          <w:rFonts w:ascii="Arial" w:cs="Arial" w:eastAsia="Arial" w:hAnsi="Arial"/>
          <w:sz w:val="16"/>
          <w:szCs w:val="16"/>
          <w:color w:val="auto"/>
        </w:rPr>
        <w:t>Unless a relevant exception applies, the Corporations Act requires our directors to disclose any material personal interest in a matter that relates to the affairs of our company and prohibits them from voting on those matters and from being present at the meeting while the matter is being considered. However, a director with a material personal interest may be present at the meeting and vote on the matter if directors who do not have a material personal interest in the relevant matter have passed a resolution:</w:t>
      </w:r>
    </w:p>
    <w:p>
      <w:pPr>
        <w:spacing w:after="0" w:line="53" w:lineRule="exact"/>
        <w:rPr>
          <w:sz w:val="20"/>
          <w:szCs w:val="20"/>
          <w:color w:val="auto"/>
        </w:rPr>
      </w:pPr>
    </w:p>
    <w:p>
      <w:pPr>
        <w:ind w:left="1000" w:right="4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identifying that director, the nature and extent of the director’s interest in the matter and its relation to our affairs; and</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stating that those directors are satisfied that the interest should not disqualify the director from voting or being present.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director has an interest in a matter, then under our Constitution that director may:</w:t>
      </w:r>
    </w:p>
    <w:p>
      <w:pPr>
        <w:spacing w:after="0" w:line="117" w:lineRule="exact"/>
        <w:rPr>
          <w:sz w:val="20"/>
          <w:szCs w:val="20"/>
          <w:color w:val="auto"/>
        </w:rPr>
      </w:pPr>
    </w:p>
    <w:p>
      <w:pPr>
        <w:ind w:left="1000" w:right="6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the requirements under the Corporations Act described above, participate in and vote on that matter;</w:t>
      </w:r>
    </w:p>
    <w:p>
      <w:pPr>
        <w:spacing w:after="0" w:line="62" w:lineRule="exact"/>
        <w:rPr>
          <w:rFonts w:ascii="Arial" w:cs="Arial" w:eastAsia="Arial" w:hAnsi="Arial"/>
          <w:sz w:val="18"/>
          <w:szCs w:val="18"/>
          <w:color w:val="auto"/>
        </w:rPr>
      </w:pPr>
    </w:p>
    <w:p>
      <w:pPr>
        <w:ind w:left="1000" w:right="459" w:hanging="348"/>
        <w:spacing w:after="0" w:line="342"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be counted in determining whether a quorum is present at any directors’ meeting considering that matter, provided they are entitled to vote on at least one of the resolutions to be proposed at that meeting;</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execute any document relating to that matter; and</w:t>
      </w:r>
    </w:p>
    <w:p>
      <w:pPr>
        <w:spacing w:after="0" w:line="117" w:lineRule="exact"/>
        <w:rPr>
          <w:rFonts w:ascii="Arial" w:cs="Arial" w:eastAsia="Arial" w:hAnsi="Arial"/>
          <w:sz w:val="18"/>
          <w:szCs w:val="18"/>
          <w:color w:val="auto"/>
        </w:rPr>
      </w:pPr>
    </w:p>
    <w:p>
      <w:pPr>
        <w:jc w:val="both"/>
        <w:ind w:left="1000" w:right="999" w:hanging="348"/>
        <w:spacing w:after="0" w:line="342"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provided their interest has been disclosed (where required by Australian law) prior to the relevant transaction being entered into, retain the benefits under any transaction that relates to the interest.</w:t>
      </w:r>
    </w:p>
    <w:p>
      <w:pPr>
        <w:spacing w:after="0" w:line="16"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In addition, the Corporations Act and the ASX Listing Rules require shareholder approval of the provision of financial benefits by our company to our directors, unless a relevant exception applies (such as reasonable remuneration; on this topic see “—Directors’ Compensation” below).</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Directors’ Compensation</w:t>
      </w:r>
    </w:p>
    <w:p>
      <w:pPr>
        <w:spacing w:after="0" w:line="11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Our non-executive directors are paid remuneration for their services as directors. Remuneration may be provided in a manner determined by the directors, including by way of non-cash benefits (for example, contributions to a superannuation fund). As of the date of this registration statement, non-executive directors as a whole may be paid or provided remuneration for their services up to a total amount or value of A$600,000 per financial year in aggregate. This amount may be divided among the directors in such proportions as the directors themselves agree and in accordance with our Constitution. The capped sum remuneration for non-executive directors may not be increased except at a general meeting of shareholders and the particulars of the proposed increase are required to have been provided to shareholders in the notice convening the meeting. In addition, our board of directors may fix the remuneration of each executive director.</w:t>
      </w:r>
    </w:p>
    <w:p>
      <w:pPr>
        <w:spacing w:after="0" w:line="73"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Fees payable to our non-executive directors must not include a commission on, or a percentage of, our profits or operating revenue. Remuneration paid to our executive directors may include a commission on, or percentage of, our profits but not our operating revenue.</w:t>
      </w:r>
    </w:p>
    <w:p>
      <w:pPr>
        <w:spacing w:after="0" w:line="76"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Pursuant to our Constitution, any director who performs extra services or devotes special attention to the business of our company may be paid an additional sum for those services and that devotion. Such a payment would fall outside of the capped sum remuneration described above if paid to a non-executive director.</w:t>
      </w:r>
    </w:p>
    <w:p>
      <w:pPr>
        <w:spacing w:after="0" w:line="57"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In addition to other remuneration provided in our Constitution, all of our directors are entitled to be paid by us for all travelling and other expenses properly incurred by the directors in attending general meetings, board meetings, committee meetings or otherwise in connection with our business.</w:t>
      </w:r>
    </w:p>
    <w:p>
      <w:pPr>
        <w:spacing w:after="0" w:line="76" w:lineRule="exact"/>
        <w:rPr>
          <w:sz w:val="20"/>
          <w:szCs w:val="20"/>
          <w:color w:val="auto"/>
        </w:rPr>
      </w:pPr>
    </w:p>
    <w:p>
      <w:pPr>
        <w:ind w:left="300" w:right="699" w:firstLine="360"/>
        <w:spacing w:after="0" w:line="308" w:lineRule="auto"/>
        <w:rPr>
          <w:sz w:val="20"/>
          <w:szCs w:val="20"/>
          <w:color w:val="auto"/>
        </w:rPr>
      </w:pPr>
      <w:r>
        <w:rPr>
          <w:rFonts w:ascii="Arial" w:cs="Arial" w:eastAsia="Arial" w:hAnsi="Arial"/>
          <w:sz w:val="17"/>
          <w:szCs w:val="17"/>
          <w:color w:val="auto"/>
        </w:rPr>
        <w:t>In addition, in accordance with our Constitution and subject to the requirements of the Corporations Act, a director may be paid a retirement benefit as determined by our board of directors.</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Borrowing Powers Exercisable by Directors</w:t>
      </w:r>
    </w:p>
    <w:p>
      <w:pPr>
        <w:spacing w:after="0" w:line="117" w:lineRule="exact"/>
        <w:rPr>
          <w:sz w:val="20"/>
          <w:szCs w:val="20"/>
          <w:color w:val="auto"/>
        </w:rPr>
      </w:pPr>
    </w:p>
    <w:p>
      <w:pPr>
        <w:ind w:left="300" w:right="679" w:firstLine="360"/>
        <w:spacing w:after="0" w:line="342" w:lineRule="auto"/>
        <w:rPr>
          <w:sz w:val="20"/>
          <w:szCs w:val="20"/>
          <w:color w:val="auto"/>
        </w:rPr>
      </w:pPr>
      <w:r>
        <w:rPr>
          <w:rFonts w:ascii="Arial" w:cs="Arial" w:eastAsia="Arial" w:hAnsi="Arial"/>
          <w:sz w:val="16"/>
          <w:szCs w:val="16"/>
          <w:color w:val="auto"/>
        </w:rPr>
        <w:t>Pursuant to our Constitution, the management and control of our business affairs are vested in our board of directors. Our board of directors has the power to borrow or raise money in any other way for the purposes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the company, and may grant security for the repayment, performance or fulfilment of any debts, liabilities, contracts or obligations incurred or undertaken by the company in any manner and upon any terms and conditions as our board of directors deems appropriate.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of Directors</w:t>
      </w:r>
    </w:p>
    <w:p>
      <w:pPr>
        <w:spacing w:after="0" w:line="117" w:lineRule="exact"/>
        <w:rPr>
          <w:sz w:val="20"/>
          <w:szCs w:val="20"/>
          <w:color w:val="auto"/>
        </w:rPr>
      </w:pPr>
    </w:p>
    <w:p>
      <w:pPr>
        <w:ind w:left="300" w:right="539" w:firstLine="360"/>
        <w:spacing w:after="0" w:line="259" w:lineRule="auto"/>
        <w:rPr>
          <w:sz w:val="20"/>
          <w:szCs w:val="20"/>
          <w:color w:val="auto"/>
        </w:rPr>
      </w:pPr>
      <w:r>
        <w:rPr>
          <w:rFonts w:ascii="Arial" w:cs="Arial" w:eastAsia="Arial" w:hAnsi="Arial"/>
          <w:sz w:val="18"/>
          <w:szCs w:val="18"/>
          <w:color w:val="auto"/>
        </w:rPr>
        <w:t>Pursuant to the ASX Listing Rules, we must hold an election of directors at each annual general meeting, at which at least one director must stand for election or re-election. If there would not otherwise be a vacancy on the board, and no director is required to retire (as described below), then the director who has been longest in office since last being elected must retire.</w:t>
      </w:r>
    </w:p>
    <w:p>
      <w:pPr>
        <w:spacing w:after="0" w:line="79"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A director will be required to retire if: (i) they have been appointed by the other directors since the previous annual general meeting (as an addition to the board or to fill a casual vacancy), or (ii) they would hold office without re-election beyond the third annual general meeting following their appointment. Retirement based on the latter rule does not apply to the managing director.</w:t>
      </w:r>
    </w:p>
    <w:p>
      <w:pPr>
        <w:spacing w:after="0" w:line="79"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color w:val="auto"/>
        </w:rPr>
        <w:t>The retirement of a director from office, and the re-election of a director or the election of another person to that office, takes effect at the conclusion of the relevant annual general meeting.</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and Restrictions on Classes of Shares</w:t>
      </w:r>
    </w:p>
    <w:p>
      <w:pPr>
        <w:spacing w:after="0" w:line="117"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The rights attaching to our ordinary shares are detailed in our Constitution. Our Constitution provides that, subject to the Corporations Act, the ASX Listing Rules and our Constitution, our directors may issue shares (including shares with certain preferential rights, as described below) and grant options over unissued shares to such persons, on such terms and with such rights and restrictions as they may determine.</w:t>
      </w:r>
    </w:p>
    <w:p>
      <w:pPr>
        <w:spacing w:after="0" w:line="63"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Preference shares issued by our company may be liable to be redeemed or converted to ordinary shares and will have limited voting rights. They would also receive a preferential dividend, in priority to the payment of any dividend on the ordinary shares, at a rate (fixed or variable) and on the basis (including whether cumulative or not) decided by the directors.</w:t>
      </w:r>
    </w:p>
    <w:p>
      <w:pPr>
        <w:spacing w:after="0" w:line="79"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As of the date of this registration statement, our outstanding share capital consists of only one class of ordinary shares.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Corporations Act, a company must not pay a dividend unless:</w:t>
      </w:r>
    </w:p>
    <w:p>
      <w:pPr>
        <w:spacing w:after="0" w:line="117" w:lineRule="exact"/>
        <w:rPr>
          <w:sz w:val="20"/>
          <w:szCs w:val="20"/>
          <w:color w:val="auto"/>
        </w:rPr>
      </w:pPr>
    </w:p>
    <w:p>
      <w:pPr>
        <w:ind w:left="1000" w:right="57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assets exceed its liabilities immediately before the dividend is declared and the excess is sufficient for the payment of the dividend;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payment of the dividend is fair and reasonable to the company’s shareholders as a whole; and</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payment of the dividend does not materially prejudice the company’s ability to pay its creditors.</w:t>
      </w:r>
    </w:p>
    <w:p>
      <w:pPr>
        <w:spacing w:after="0" w:line="129" w:lineRule="exact"/>
        <w:rPr>
          <w:sz w:val="20"/>
          <w:szCs w:val="20"/>
          <w:color w:val="auto"/>
        </w:rPr>
      </w:pPr>
    </w:p>
    <w:p>
      <w:pPr>
        <w:ind w:left="300" w:right="639" w:firstLine="360"/>
        <w:spacing w:after="0" w:line="263" w:lineRule="auto"/>
        <w:rPr>
          <w:sz w:val="20"/>
          <w:szCs w:val="20"/>
          <w:color w:val="auto"/>
        </w:rPr>
      </w:pPr>
      <w:r>
        <w:rPr>
          <w:rFonts w:ascii="Arial" w:cs="Arial" w:eastAsia="Arial" w:hAnsi="Arial"/>
          <w:sz w:val="18"/>
          <w:szCs w:val="18"/>
          <w:color w:val="auto"/>
        </w:rPr>
        <w:t>Subject to this requirement, our board of directors may from time to time determine to pay dividends to shareholders. All unclaimed dividends may be invested by our board of directors for our benefit until claimed or until required to be dealt with under any law relating to unclaimed moneys.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color w:val="auto"/>
        </w:rPr>
        <w:t>Under our Constitution, and subject to any voting exclusions imposed under the ASX Listing Rules (which typically exclude parties from voting on resolutions in which they have an interest) and any rights and restrictions attaching to a class of shares (such as voting rights for preference shares, if any were issued), each shareholder has one vote on a show of hands at a meeting of the shareholders. If a poll is demanded under the Constitution or the Corporations Act, each shareholder shall have one vote for each fully paid share and a fractional vote for each share held by that shareholder that is not fully paid, such fraction being equivalent to the proportion of the amount that has been paid to such date on that share. Shareholders may vote in person or by proxy, attorney or representative. Under Australian law, shareholders of a public company are generally not permitted to approve corporate matters by written consent. Our Constitution does not provide for cumulative voting.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Under Australian law, an ordinary resolution is passed if a majority of the votes cast on the resolution (in person or by proxy) by members entitled to vote on the resolution are in favor of the resolution. Under our Constitution, if the votes are equal on a proposed resolution, the chair of the meeting has a casting vote in addition to any deliberative vote. Under Australian law, a special resolution (which is required to amend our Constitution, among other things) is passed if at least 75% of the votes cast on the resolution (in person or by proxy) by members entitled to vote on the resolution are in favor of the resolution.</w:t>
      </w:r>
    </w:p>
    <w:p>
      <w:pPr>
        <w:spacing w:after="0" w:line="84"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ADS holders may not directly vote at a meeting of the shareholders but may instruct the depositary to vote the number of deposited ordinary shares which their ADSs represent. See “Description of American Depositary Shares —Voting Rights.”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 to Share in Our Profits</w:t>
      </w:r>
    </w:p>
    <w:p>
      <w:pPr>
        <w:spacing w:after="0" w:line="117"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Pursuant to our Constitution, our shareholders are entitled to participate in our profits only by payment of dividends. Our board of directors may from time to time determine to pay dividends to the shareholders. However, any such dividend is only payable in accordance with the requirements set out in the Corporations Act described above under “—Dividend Rights”.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to Share in the Surplus in the Event of Winding Up</w:t>
      </w:r>
    </w:p>
    <w:p>
      <w:pPr>
        <w:spacing w:after="0" w:line="117"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Our Constitution provides for the right of shareholders to participate in a surplus in the event of our winding up, subject to the rights attaching to a class of shares.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Redemption Provision for Ordinary Shares</w:t>
      </w:r>
    </w:p>
    <w:p>
      <w:pPr>
        <w:spacing w:after="0" w:line="117" w:lineRule="exact"/>
        <w:rPr>
          <w:sz w:val="20"/>
          <w:szCs w:val="20"/>
          <w:color w:val="auto"/>
        </w:rPr>
      </w:pPr>
    </w:p>
    <w:p>
      <w:pPr>
        <w:ind w:left="300" w:right="459" w:firstLine="360"/>
        <w:spacing w:after="0" w:line="257" w:lineRule="auto"/>
        <w:rPr>
          <w:sz w:val="20"/>
          <w:szCs w:val="20"/>
          <w:color w:val="auto"/>
        </w:rPr>
      </w:pPr>
      <w:r>
        <w:rPr>
          <w:rFonts w:ascii="Arial" w:cs="Arial" w:eastAsia="Arial" w:hAnsi="Arial"/>
          <w:sz w:val="18"/>
          <w:szCs w:val="18"/>
          <w:color w:val="auto"/>
        </w:rPr>
        <w:t>There are no redemption provisions in our Constitution in relation to ordinary shares. Under our Constitution, shares may be issued and allotted, which are liable to be redeemed (i.e. redeemable preference shares). Under the Corporations Act, redeemable preference shares may only be redeemed if those preference shares are fully paid-up and payment in satisfaction of redemption is out of profits or the proceeds of a new issue of shares made for the purpose of the redemption.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Variation or Cancellation of Share Rights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Subject to the Corporations Act, the ASX Listing Rules and the terms of issue of shares of that class, the rights and privileges attached to shares in a class of shares may only be varied or cancelled by a special resolution, together with either:</w:t>
      </w:r>
    </w:p>
    <w:p>
      <w:pPr>
        <w:spacing w:after="0" w:line="76" w:lineRule="exact"/>
        <w:rPr>
          <w:sz w:val="20"/>
          <w:szCs w:val="20"/>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special resolution passed at a meeting of members holding shares in the class;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written consent of members with at least 75% of the votes in the class.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Directors May Make Calls</w:t>
      </w:r>
    </w:p>
    <w:p>
      <w:pPr>
        <w:spacing w:after="0" w:line="117"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Our Constitution provides that subject to the terms on which partly paid shares are issued, directors may make calls on the holders of the ordinary shares for any money unpaid on them.</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Meetings of Shareholders</w:t>
      </w:r>
    </w:p>
    <w:p>
      <w:pPr>
        <w:spacing w:after="0" w:line="117" w:lineRule="exact"/>
        <w:rPr>
          <w:sz w:val="20"/>
          <w:szCs w:val="20"/>
          <w:color w:val="auto"/>
        </w:rPr>
      </w:pPr>
    </w:p>
    <w:p>
      <w:pPr>
        <w:ind w:left="300" w:right="439" w:firstLine="360"/>
        <w:spacing w:after="0" w:line="275" w:lineRule="auto"/>
        <w:rPr>
          <w:sz w:val="20"/>
          <w:szCs w:val="20"/>
          <w:color w:val="auto"/>
        </w:rPr>
      </w:pPr>
      <w:r>
        <w:rPr>
          <w:rFonts w:ascii="Arial" w:cs="Arial" w:eastAsia="Arial" w:hAnsi="Arial"/>
          <w:sz w:val="17"/>
          <w:szCs w:val="17"/>
          <w:color w:val="auto"/>
        </w:rPr>
        <w:t>General meetings of shareholders may be called by our board of directors. Except as permitted under the Corporations Act,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to be given to shareholders at least 28 days prior to such meeting under the Corporations Act.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Ownership Regulation</w:t>
      </w:r>
    </w:p>
    <w:p>
      <w:pPr>
        <w:spacing w:after="0" w:line="117"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Our Constitution does not impose specific limitations on the rights of non-Australian residents to hold or acquire our securities. However, proposed acquisitions of securities in Australian companies by foreign persons may be subject to review by the Australian Federal Treasurer (who is advised by Australia’s Foreign Investment Review Board, or FIRB) under the Foreign Acquisitions and Takeovers Act 1975 (Cth), or the FATA.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firstLine="360"/>
        <w:spacing w:after="0" w:line="253" w:lineRule="auto"/>
        <w:rPr>
          <w:sz w:val="20"/>
          <w:szCs w:val="20"/>
          <w:color w:val="auto"/>
        </w:rPr>
      </w:pPr>
      <w:r>
        <w:rPr>
          <w:rFonts w:ascii="Arial" w:cs="Arial" w:eastAsia="Arial" w:hAnsi="Arial"/>
          <w:sz w:val="18"/>
          <w:szCs w:val="18"/>
          <w:color w:val="auto"/>
        </w:rPr>
        <w:t>Foreign investment actions which qualify for review under the FATA can be classified in one of two ways: there are actions which must be notified to FIRB and actions which may be notified to FIRB. Generally, an acquisition of securities in an Australian company by a foreign person must be notified to FIRB if: (i) the foreign person and any of their associates would together hold an interest in 20% or more of the issued securities of, or would be in a position to control 20% or more of the voting power in, that company, and (ii) the relevant monetary threshold is satisfied. As an example of the monetary threshold which may apply, for a U.S. person acquiring an equity interest in an Australian company which does not operate a “sensitive” business (e.g. media, telecommunications, transport, defence etc.), the transaction would generally only qualify for review under the FATA if the total asset value of the company or its total issued securities value was greater than A$1.216 billion (indexed).</w:t>
      </w:r>
    </w:p>
    <w:p>
      <w:pPr>
        <w:spacing w:after="0" w:line="86"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The Australian Federal Treasurer has broad powers in relation to proposed acquisitions. The Treasurer may prevent proposed acquisitions or impose conditions on them. If a qualifying action is not voluntarily submitted to FIRB for review, a foreign person who proceeds with the acquisition is subject to the risk that the Treasurer may subsequently consider the transaction to be contrary to Australia’s national interest or its national security and may, accordingly, make adverse orders in respect of the action (including divestment orders). Divestment orders may also be made if a foreign person acquires an interest in securities in an Australian company in contravention of the FATA.</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Foreign investment is a complex area of Australian law. Whether actions qualify for review under the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FATA, and whether the Australian Federal Treasurer will exercise their power to prohibit or impose conditions on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foreign person’s proposed acquisition, will depend on, among other things, the identity of the foreign person (such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whether they are a government or non-government investor, whether they have any associates and their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nationality), the nature of the Australian company and its business and the proposed structure and value of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transaction. Given this complexity, this section of this registration statement does not, and does not intend to,</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exhaustively describe Australia’s foreign investment laws or the various regulations which may apply in respect of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particular transaction. Australian law advice should be sought in respect of specific foreign investment issues.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Issues of Shares and Change in Capital</w:t>
      </w:r>
    </w:p>
    <w:p>
      <w:pPr>
        <w:spacing w:after="0" w:line="117"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Subject to our Constitution, the Corporations Act, the ASX Listing Rules and any other applicable law, we may at any time issue shares and grant any person options over unissued shares on any terms, and with such rights and restrictions, as the directors may determine.</w:t>
      </w:r>
    </w:p>
    <w:p>
      <w:pPr>
        <w:spacing w:after="0" w:line="76"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The directors may issue preference shares, as described above under “—Rights and Restrictions on Classes of Shares”.</w:t>
      </w:r>
    </w:p>
    <w:p>
      <w:pPr>
        <w:spacing w:after="0" w:line="62"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Subject to the requirements of our Constitution, the Corporations Act, the ASX Listing Rules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and does not materially prejudice our ability to pay creditors) or buy back our ordinary shares, whether under an equal access buy-back or on a selective basis.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Ownership Threshold</w:t>
      </w:r>
    </w:p>
    <w:p>
      <w:pPr>
        <w:spacing w:after="0" w:line="117"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There are no specific provisions in our Constitution that require a person to disclose ownership above a certain threshold. The Corporations Act, however, requires a person to notify us and the ASX once the person, together with their associates, acquires a 5% “relevant interest” in our ordinary shares, at which point the person will be considered to be a “substantial” holder. See “—Change of Control” below regarding when a person has a “relevant interest”. Further, once a person holds (alone or together with associates) a 5% relevant interest in us, such person must notify us and the ASX of any increase or decrease of 1% or more in their holding of our ordinary shares, and must also notify us and the ASX upon their ceasing to be a “substantial” holder.</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300" w:right="599" w:firstLine="360"/>
        <w:spacing w:after="0" w:line="257" w:lineRule="auto"/>
        <w:rPr>
          <w:sz w:val="20"/>
          <w:szCs w:val="20"/>
          <w:color w:val="auto"/>
        </w:rPr>
      </w:pPr>
      <w:r>
        <w:rPr>
          <w:rFonts w:ascii="Arial" w:cs="Arial" w:eastAsia="Arial" w:hAnsi="Arial"/>
          <w:sz w:val="18"/>
          <w:szCs w:val="18"/>
          <w:color w:val="auto"/>
        </w:rPr>
        <w:t>Takeovers of listed Australian public companies, including us, are regulated by the Corporations Act, which prohibits the acquisition of a “relevant interest” in issued voting shares in a listed company if the acquisition will lead to that person’s or someone else’s voting power in our company increasing from 20% or below to more than 20% or increasing from a starting point that is above 20% and below 90%, which we refer to as the Takeovers Prohibition, which is subject to a range of exceptions.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Generally, a person will have a relevant interest in securities if the person:</w:t>
      </w:r>
    </w:p>
    <w:p>
      <w:pPr>
        <w:spacing w:after="0" w:line="117" w:lineRule="exact"/>
        <w:rPr>
          <w:sz w:val="20"/>
          <w:szCs w:val="20"/>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the holder of the securities (other than if the person holds those securities as a bare trustee);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has power to exercise, or control the exercise of, a right to vote attached to the securities;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has the power to dispose of, or control the exercise of a power to dispose of, the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 particular time,</w:t>
      </w:r>
    </w:p>
    <w:p>
      <w:pPr>
        <w:spacing w:after="0" w:line="117" w:lineRule="exact"/>
        <w:rPr>
          <w:sz w:val="20"/>
          <w:szCs w:val="20"/>
          <w:color w:val="auto"/>
        </w:rPr>
      </w:pPr>
    </w:p>
    <w:p>
      <w:pPr>
        <w:ind w:left="1000" w:hanging="348"/>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person has a relevant interest in issued securities;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person (whether before or after acquiring the relevant interest) has:</w:t>
      </w:r>
    </w:p>
    <w:p>
      <w:pPr>
        <w:spacing w:after="0" w:line="94" w:lineRule="exact"/>
        <w:rPr>
          <w:rFonts w:ascii="Arial" w:cs="Arial" w:eastAsia="Arial" w:hAnsi="Arial"/>
          <w:sz w:val="18"/>
          <w:szCs w:val="18"/>
          <w:color w:val="auto"/>
        </w:rPr>
      </w:pPr>
    </w:p>
    <w:p>
      <w:pPr>
        <w:ind w:left="1360" w:hanging="348"/>
        <w:spacing w:after="0"/>
        <w:tabs>
          <w:tab w:leader="none" w:pos="1360" w:val="left"/>
        </w:tabs>
        <w:numPr>
          <w:ilvl w:val="1"/>
          <w:numId w:val="70"/>
        </w:numPr>
        <w:rPr>
          <w:rFonts w:ascii="Arial" w:cs="Arial" w:eastAsia="Arial" w:hAnsi="Arial"/>
          <w:sz w:val="22"/>
          <w:szCs w:val="22"/>
          <w:color w:val="auto"/>
          <w:vertAlign w:val="superscript"/>
        </w:rPr>
      </w:pPr>
      <w:r>
        <w:rPr>
          <w:rFonts w:ascii="Arial" w:cs="Arial" w:eastAsia="Arial" w:hAnsi="Arial"/>
          <w:sz w:val="18"/>
          <w:szCs w:val="18"/>
          <w:color w:val="auto"/>
        </w:rPr>
        <w:t>entered or enters into an agreement with another person with respect to the securities;</w:t>
      </w:r>
    </w:p>
    <w:p>
      <w:pPr>
        <w:spacing w:after="0" w:line="93" w:lineRule="exact"/>
        <w:rPr>
          <w:rFonts w:ascii="Arial" w:cs="Arial" w:eastAsia="Arial" w:hAnsi="Arial"/>
          <w:sz w:val="22"/>
          <w:szCs w:val="22"/>
          <w:color w:val="auto"/>
          <w:vertAlign w:val="superscript"/>
        </w:rPr>
      </w:pPr>
    </w:p>
    <w:p>
      <w:pPr>
        <w:ind w:left="1360" w:right="379" w:hanging="348"/>
        <w:spacing w:after="0" w:line="238" w:lineRule="auto"/>
        <w:tabs>
          <w:tab w:leader="none" w:pos="1360" w:val="left"/>
        </w:tabs>
        <w:numPr>
          <w:ilvl w:val="1"/>
          <w:numId w:val="70"/>
        </w:numPr>
        <w:rPr>
          <w:rFonts w:ascii="Arial" w:cs="Arial" w:eastAsia="Arial" w:hAnsi="Arial"/>
          <w:sz w:val="22"/>
          <w:szCs w:val="22"/>
          <w:color w:val="auto"/>
          <w:vertAlign w:val="superscript"/>
        </w:rPr>
      </w:pPr>
      <w:r>
        <w:rPr>
          <w:rFonts w:ascii="Arial" w:cs="Arial" w:eastAsia="Arial" w:hAnsi="Arial"/>
          <w:sz w:val="18"/>
          <w:szCs w:val="18"/>
          <w:color w:val="auto"/>
        </w:rPr>
        <w:t>given or gives another person an enforceable right, or has been or is given an enforceable right by another person, in relation to the securities (whether the right is enforceable presently or in the future and whether or not on the fulfillment of a condition); or</w:t>
      </w:r>
    </w:p>
    <w:p>
      <w:pPr>
        <w:spacing w:after="0" w:line="94" w:lineRule="exact"/>
        <w:rPr>
          <w:rFonts w:ascii="Arial" w:cs="Arial" w:eastAsia="Arial" w:hAnsi="Arial"/>
          <w:sz w:val="22"/>
          <w:szCs w:val="22"/>
          <w:color w:val="auto"/>
          <w:vertAlign w:val="superscript"/>
        </w:rPr>
      </w:pPr>
    </w:p>
    <w:p>
      <w:pPr>
        <w:ind w:left="1360" w:right="479" w:hanging="348"/>
        <w:spacing w:after="0" w:line="232" w:lineRule="auto"/>
        <w:tabs>
          <w:tab w:leader="none" w:pos="1360" w:val="left"/>
        </w:tabs>
        <w:numPr>
          <w:ilvl w:val="1"/>
          <w:numId w:val="70"/>
        </w:numPr>
        <w:rPr>
          <w:rFonts w:ascii="Arial" w:cs="Arial" w:eastAsia="Arial" w:hAnsi="Arial"/>
          <w:sz w:val="22"/>
          <w:szCs w:val="22"/>
          <w:color w:val="auto"/>
          <w:vertAlign w:val="superscript"/>
        </w:rPr>
      </w:pPr>
      <w:r>
        <w:rPr>
          <w:rFonts w:ascii="Arial" w:cs="Arial" w:eastAsia="Arial" w:hAnsi="Arial"/>
          <w:sz w:val="18"/>
          <w:szCs w:val="18"/>
          <w:color w:val="auto"/>
        </w:rPr>
        <w:t>granted or grants an option to, or has been or is granted an option by, another person with respect to the securities; and</w:t>
      </w:r>
    </w:p>
    <w:p>
      <w:pPr>
        <w:spacing w:after="0" w:line="95" w:lineRule="exact"/>
        <w:rPr>
          <w:rFonts w:ascii="Arial" w:cs="Arial" w:eastAsia="Arial" w:hAnsi="Arial"/>
          <w:sz w:val="22"/>
          <w:szCs w:val="22"/>
          <w:color w:val="auto"/>
          <w:vertAlign w:val="superscript"/>
        </w:rPr>
      </w:pPr>
    </w:p>
    <w:p>
      <w:pPr>
        <w:ind w:left="1000" w:right="37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other person would have a relevant interest in the securities if the agreement were performed, the right enforced or the option exercised,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then the other person is taken to have a relevant interest in the relevant securities.</w:t>
      </w:r>
    </w:p>
    <w:p>
      <w:pPr>
        <w:spacing w:after="0" w:line="117"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There are a number of exceptions to the Takeover Prohibition. In general terms, some of the more significant exceptions include:</w:t>
      </w:r>
    </w:p>
    <w:p>
      <w:pPr>
        <w:spacing w:after="0" w:line="62" w:lineRule="exact"/>
        <w:rPr>
          <w:sz w:val="20"/>
          <w:szCs w:val="20"/>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when the acquisition results from the acceptance of an offer under a formal takeover bid;</w:t>
      </w:r>
    </w:p>
    <w:p>
      <w:pPr>
        <w:spacing w:after="0" w:line="117" w:lineRule="exact"/>
        <w:rPr>
          <w:rFonts w:ascii="Arial" w:cs="Arial" w:eastAsia="Arial" w:hAnsi="Arial"/>
          <w:sz w:val="18"/>
          <w:szCs w:val="18"/>
          <w:color w:val="auto"/>
        </w:rPr>
      </w:pPr>
    </w:p>
    <w:p>
      <w:pPr>
        <w:ind w:left="1000" w:right="479" w:hanging="348"/>
        <w:spacing w:after="0" w:line="26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when the acquisition is conducted on market by or on behalf of the bidder during the bid period for a full takeover bid that is unconditional or only conditional on certain ‘prescribed’ matters set out in the Corporations Act;</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when the acquisition has been previously approved by our shareholders by resolution passed in a general meeting;</w:t>
      </w:r>
    </w:p>
    <w:p>
      <w:pPr>
        <w:spacing w:after="0" w:line="62"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acquisition by a person if, throughout the six months before the acquisition, that person or any other person has had voting power in our company of at least 19% and, as a result of the acquisition, none of the relevant persons would have voting power in our company more than three percentage points higher than they had six months before the acquisition;</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when the acquisition results from the issue of securities under a rights issue;</w:t>
      </w:r>
    </w:p>
    <w:p>
      <w:pPr>
        <w:spacing w:after="0" w:line="117"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when the acquisition results from the issue of securities under a dividend reinvestment scheme or bonus share plan;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when the acquisition results from the issue of securities under certain underwriting arrangements;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when the acquisition results from the issue of securities through a will or through operation of law;</w:t>
      </w:r>
    </w:p>
    <w:p>
      <w:pPr>
        <w:spacing w:after="0" w:line="128" w:lineRule="exact"/>
        <w:rPr>
          <w:rFonts w:ascii="Arial" w:cs="Arial" w:eastAsia="Arial" w:hAnsi="Arial"/>
          <w:sz w:val="17"/>
          <w:szCs w:val="17"/>
          <w:color w:val="auto"/>
        </w:rPr>
      </w:pPr>
    </w:p>
    <w:p>
      <w:pPr>
        <w:ind w:left="1000" w:right="459" w:hanging="348"/>
        <w:spacing w:after="0" w:line="308"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acquisition that arises through the acquisition of a relevant interest in another listed company which is listed on a prescribed financial market or a financial market approved by ASIC;</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acquisition arising from an auction of forfeited shares conducted on-market;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acquisition arising through a compromise, arrangement, liquidation or buy-back.</w:t>
      </w:r>
    </w:p>
    <w:p>
      <w:pPr>
        <w:spacing w:after="0" w:line="117"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Breaches of the takeovers provisions of the Corporations Act are criminal offenses. ASIC and the Australian Takeover Panel have a wide range of powers relating to breaches of the takeovers provisions, including the ability to make orders, canceling contracts, freezing transfers of, and rights attached to, securities and forcing a party to dispose of securities. There are certain defenses to breaches of the takeovers provisions provided in the Corporations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Access to and Inspection of Documents</w:t>
      </w:r>
    </w:p>
    <w:p>
      <w:pPr>
        <w:spacing w:after="0" w:line="117"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Any shareholder of the Company has the right to inspect or obtain copies of our share register on the payment of a prescribed fee. Our books containing the minutes of general meetings will be kept at our registered office and will be open to inspection of shareholders at all times when the office is required to be open to the public. Other corporate records, including minutes of directors’ meetings, financial records and other documents, are not open for inspection by shareholders (who are not directors).</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Name; Formation; Registered Office</w:t>
      </w:r>
    </w:p>
    <w:p>
      <w:pPr>
        <w:spacing w:after="0" w:line="121"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We were incorporated under the laws of Australia in 2012, as a proprietary company limited by shares, under the name Graphitecorp Pty Limited. In 2015, we completed an initial public offering of our ordinary shares and the listing of our ordinary shares on the ASX. Prior to our initial public offering and listing on ASX, we changed our form to become a public company limited by shares and changed our name to GRAPHITECORP Limited. In 2017, we changed the name of our company to NOVONIX Limited. Our headquarters is located at Level 8, 46 Edward Street, Brisbane, Queensland 4000, Australia. Our registered office is located at Level 11, 66 Eagle Street, Brisbane, Queensland, 4000, Australia. Our agent for service of process in the United States is National Registered Agents, Inc., located at 1209 Orange Street, Wilmington, DE 19801.</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00" w:right="839" w:firstLine="360"/>
        <w:spacing w:after="0" w:line="277" w:lineRule="auto"/>
        <w:rPr>
          <w:sz w:val="20"/>
          <w:szCs w:val="20"/>
          <w:color w:val="auto"/>
        </w:rPr>
      </w:pPr>
      <w:r>
        <w:rPr>
          <w:rFonts w:ascii="Arial" w:cs="Arial" w:eastAsia="Arial" w:hAnsi="Arial"/>
          <w:sz w:val="18"/>
          <w:szCs w:val="18"/>
          <w:color w:val="auto"/>
        </w:rPr>
        <w:t>We intend to apply to have the ADSs listed on the Nasdaq Global Market under the symbol “NVX.” Our ordinary shares are listed on the ASX under the symbol “NVX.”</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The depositary for the ADSs will be [ ]. Link Market Services Limited is our Share Registry for our ordinary shares and currently maintains our share register for our ordinary shares. The share register reflects only record owners of our ordinary shares. Holders of the ADSs will not be treated as one of our shareholders and their names will therefore not be entered in our share register. The depositary, the custodian or their nominees will be the holder of the ordinary shares underlying the ADSs. Holders of the ADSs have a right to receive the ordinary shares underlying their ADSs. See “Description of American Depositary Shares.”</w:t>
      </w:r>
    </w:p>
    <w:p>
      <w:pPr>
        <w:spacing w:after="0" w:line="17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12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Except as described below or elsewhere in this registration statement, all material contracts entered into by us in the past two years preceding the filing of this registration statement were entered into in the ordinary course of business:</w:t>
      </w:r>
    </w:p>
    <w:p>
      <w:pPr>
        <w:spacing w:after="0" w:line="72"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b w:val="1"/>
          <w:bCs w:val="1"/>
          <w:color w:val="auto"/>
        </w:rPr>
        <w:t>Loan Agreement</w:t>
      </w:r>
      <w:r>
        <w:rPr>
          <w:rFonts w:ascii="Arial" w:cs="Arial" w:eastAsia="Arial" w:hAnsi="Arial"/>
          <w:sz w:val="18"/>
          <w:szCs w:val="18"/>
          <w:color w:val="auto"/>
        </w:rPr>
        <w:t>. In connection with the purchase of our “Riverside” facility in Chattanooga, Tennessee</w:t>
      </w:r>
      <w:r>
        <w:rPr>
          <w:rFonts w:ascii="Arial" w:cs="Arial" w:eastAsia="Arial" w:hAnsi="Arial"/>
          <w:sz w:val="18"/>
          <w:szCs w:val="18"/>
          <w:b w:val="1"/>
          <w:bCs w:val="1"/>
          <w:color w:val="auto"/>
        </w:rPr>
        <w:t xml:space="preserve"> </w:t>
      </w:r>
      <w:r>
        <w:rPr>
          <w:rFonts w:ascii="Arial" w:cs="Arial" w:eastAsia="Arial" w:hAnsi="Arial"/>
          <w:sz w:val="18"/>
          <w:szCs w:val="18"/>
          <w:color w:val="auto"/>
        </w:rPr>
        <w:t>(locally referred to as “Big Blue”), a subsidiary of the Company, NOVONIX 1029, LLC (“Borrower”), entered into a Loan Agreement, dated as of July 28, 2021, with DBR Investments Co. Limited (“Lender”) pursuant to which Lender made a loan in the original principal amount of $30,100,000 to Borrower, which loan is secured against the “Riverside” facility and guaranteed by the Company. The loan initially bears interest at a rate of 4.09% per annum. Borrower has agreed to certain customary covenants in connection with the loan including, but not limited to, the incurrence of liens on any interest in the Borrower or any portion of the “Riverside” facility and incurrence of indebtedness by the Borrower.</w:t>
      </w:r>
    </w:p>
    <w:p>
      <w:pPr>
        <w:spacing w:after="0" w:line="84" w:lineRule="exact"/>
        <w:rPr>
          <w:sz w:val="20"/>
          <w:szCs w:val="20"/>
          <w:color w:val="auto"/>
        </w:rPr>
      </w:pPr>
    </w:p>
    <w:p>
      <w:pPr>
        <w:ind w:left="300" w:right="319" w:firstLine="360"/>
        <w:spacing w:after="0" w:line="294" w:lineRule="auto"/>
        <w:rPr>
          <w:sz w:val="20"/>
          <w:szCs w:val="20"/>
          <w:color w:val="auto"/>
        </w:rPr>
      </w:pPr>
      <w:r>
        <w:rPr>
          <w:rFonts w:ascii="Arial" w:cs="Arial" w:eastAsia="Arial" w:hAnsi="Arial"/>
          <w:sz w:val="16"/>
          <w:szCs w:val="16"/>
          <w:b w:val="1"/>
          <w:bCs w:val="1"/>
          <w:color w:val="auto"/>
        </w:rPr>
        <w:t>Subscription Agreement</w:t>
      </w:r>
      <w:r>
        <w:rPr>
          <w:rFonts w:ascii="Arial" w:cs="Arial" w:eastAsia="Arial" w:hAnsi="Arial"/>
          <w:sz w:val="16"/>
          <w:szCs w:val="16"/>
          <w:color w:val="auto"/>
        </w:rPr>
        <w:t>. In connection with the Phillips 66 Transaction, the Company entered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Agreement, dated as of August 9, 2021, with Philips 66 Company (the “Subscription Agreement”). Pursuant to the Subscription Agreement, Phillips 66 agreed to acquire 77,962,578 ordinary shares for an aggregate purchase price of US$150 million. Under the Subscription Agreement Phillips 66 has the right to nominate one director to our Board of Directors and certain rights to be notified of, and/or participate in, issuances of shares by the Company (other than distributions of shares to the Company’s shareholders on a pro rata basis).</w:t>
      </w:r>
    </w:p>
    <w:p>
      <w:pPr>
        <w:spacing w:after="0" w:line="16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Exchange Controls</w:t>
      </w:r>
    </w:p>
    <w:p>
      <w:pPr>
        <w:spacing w:after="0" w:line="121" w:lineRule="exact"/>
        <w:rPr>
          <w:sz w:val="20"/>
          <w:szCs w:val="20"/>
          <w:color w:val="auto"/>
        </w:rPr>
      </w:pPr>
    </w:p>
    <w:p>
      <w:pPr>
        <w:ind w:left="300" w:right="579" w:firstLine="360"/>
        <w:spacing w:after="0" w:line="311" w:lineRule="auto"/>
        <w:rPr>
          <w:sz w:val="20"/>
          <w:szCs w:val="20"/>
          <w:color w:val="auto"/>
        </w:rPr>
      </w:pPr>
      <w:r>
        <w:rPr>
          <w:rFonts w:ascii="Arial" w:cs="Arial" w:eastAsia="Arial" w:hAnsi="Arial"/>
          <w:sz w:val="16"/>
          <w:szCs w:val="16"/>
          <w:color w:val="auto"/>
        </w:rPr>
        <w:t>Australia has largely abolished exchange controls on investment transactions. The Australian dollar is freely convertible into U.S. dollars or other currencies. In addition, there are currently no specific rules or limitations regarding the export from Australia of profits, dividends, capital or similar funds belonging to foreign investors,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59" w:lineRule="auto"/>
        <w:rPr>
          <w:sz w:val="20"/>
          <w:szCs w:val="20"/>
          <w:color w:val="auto"/>
        </w:rPr>
      </w:pPr>
      <w:r>
        <w:rPr>
          <w:rFonts w:ascii="Arial" w:cs="Arial" w:eastAsia="Arial" w:hAnsi="Arial"/>
          <w:sz w:val="18"/>
          <w:szCs w:val="18"/>
          <w:color w:val="auto"/>
        </w:rPr>
        <w:t>except that certain payments to non-residents must be reported to the Australian Cash Transaction Reports Agency, which monitors such transaction, and amounts on account of potential Australian tax liabilities may be required to be withheld unless a relevant taxation treaty can be shown to apply and under such there are either exemptions or limitations on the level of tax to be withheld.</w:t>
      </w:r>
    </w:p>
    <w:p>
      <w:pPr>
        <w:spacing w:after="0" w:line="183" w:lineRule="exact"/>
        <w:rPr>
          <w:sz w:val="20"/>
          <w:szCs w:val="20"/>
          <w:color w:val="auto"/>
        </w:rPr>
      </w:pPr>
    </w:p>
    <w:p>
      <w:pPr>
        <w:ind w:left="640" w:hanging="348"/>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i w:val="1"/>
          <w:iCs w:val="1"/>
          <w:color w:val="auto"/>
        </w:rPr>
        <w:t>The following summary of material U.S. federal income tax and Australian tax considerations of an investment in the ADSs is based upon the federal income tax laws of the United States and regulations promulgated thereunder and the tax laws of Australia and the regulations promulgated thereunder, each as in effect as of the date of this registration statement, all of which are subject to change or differing interpretations, possibly with retroactive effect. This summary does not deal with all possible tax consequences relating to an investment in the ADSs, including tax consequences under U.S. state or local tax laws, U.S. federal tax laws other than U.S. federal income tax laws, certain Australian tax laws, and the tax laws of any jurisdiction outside of the United States and Australia.</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The following describes material U.S. federal income tax considerations relating to the acquisition, ownership and disposition of our ADSs, and the ownership and disposition of any ordinary shares received in exchange for such ADSs from the depositary. This summary addresses these tax considerations only for U.S. holders (as defined below) that hold ADSs, and any ordinary shares received in exchange for such ADSs from the depositary, as capital assets (generally, property held for investment).</w:t>
      </w:r>
    </w:p>
    <w:p>
      <w:pPr>
        <w:spacing w:after="0" w:line="68" w:lineRule="exact"/>
        <w:rPr>
          <w:sz w:val="20"/>
          <w:szCs w:val="20"/>
          <w:color w:val="auto"/>
        </w:rPr>
      </w:pPr>
    </w:p>
    <w:p>
      <w:pPr>
        <w:ind w:left="300" w:right="519" w:firstLine="360"/>
        <w:spacing w:after="0" w:line="285" w:lineRule="auto"/>
        <w:rPr>
          <w:sz w:val="20"/>
          <w:szCs w:val="20"/>
          <w:color w:val="auto"/>
        </w:rPr>
      </w:pPr>
      <w:r>
        <w:rPr>
          <w:rFonts w:ascii="Arial" w:cs="Arial" w:eastAsia="Arial" w:hAnsi="Arial"/>
          <w:sz w:val="16"/>
          <w:szCs w:val="16"/>
          <w:color w:val="auto"/>
        </w:rPr>
        <w:t>This summary is based on the U.S. Internal Revenue Code of 1986, as amended (the “Code”), existing, proposed and temporary U.S. Treasury Regulations promulgated thereunder and administrative and judicial interpretations thereof, in each case, as in effect on the date hereof and all of which are subject to change and to differing interpretations, possibly with retroactive effect. Any such change or differing interpretations could affect the tax considerations described below. There can be no assurances that the U.S. Internal Revenue Service</w:t>
      </w:r>
    </w:p>
    <w:p>
      <w:pPr>
        <w:spacing w:after="0" w:line="2" w:lineRule="exact"/>
        <w:rPr>
          <w:sz w:val="20"/>
          <w:szCs w:val="20"/>
          <w:color w:val="auto"/>
        </w:rPr>
      </w:pPr>
    </w:p>
    <w:p>
      <w:pPr>
        <w:ind w:left="300" w:right="439"/>
        <w:spacing w:after="0" w:line="292" w:lineRule="auto"/>
        <w:rPr>
          <w:sz w:val="20"/>
          <w:szCs w:val="20"/>
          <w:color w:val="auto"/>
        </w:rPr>
      </w:pPr>
      <w:r>
        <w:rPr>
          <w:rFonts w:ascii="Arial" w:cs="Arial" w:eastAsia="Arial" w:hAnsi="Arial"/>
          <w:sz w:val="16"/>
          <w:szCs w:val="16"/>
          <w:color w:val="auto"/>
        </w:rPr>
        <w:t>(the “IRS”) will not take a position that differs from those described below or that such a position would not be sustained by a court. We have not obtained, nor do we intend to obtain, a ruling with respect to the U.S. federal income tax considerations of the purchase, ownership or disposition of our ADSs or ordinary shares. Accordingly, U.S. holders should consult their tax advisors concerning the U.S. federal, state, local and non-U.S. tax consequences of acquiring, owning and disposing of our ADSs or ordinary shares in their particular circumstances.</w:t>
      </w:r>
    </w:p>
    <w:p>
      <w:pPr>
        <w:spacing w:after="0" w:line="54" w:lineRule="exact"/>
        <w:rPr>
          <w:sz w:val="20"/>
          <w:szCs w:val="20"/>
          <w:color w:val="auto"/>
        </w:rPr>
      </w:pPr>
    </w:p>
    <w:p>
      <w:pPr>
        <w:ind w:left="300" w:right="859" w:firstLine="360"/>
        <w:spacing w:after="0" w:line="263" w:lineRule="auto"/>
        <w:rPr>
          <w:sz w:val="20"/>
          <w:szCs w:val="20"/>
          <w:color w:val="auto"/>
        </w:rPr>
      </w:pPr>
      <w:r>
        <w:rPr>
          <w:rFonts w:ascii="Arial" w:cs="Arial" w:eastAsia="Arial" w:hAnsi="Arial"/>
          <w:sz w:val="18"/>
          <w:szCs w:val="18"/>
          <w:color w:val="auto"/>
        </w:rPr>
        <w:t>This summary does not address any U.S. federal tax considerations other than U.S. federal income tax considerations (such as estate or gift tax considerations, the Medicare contribution tax imposed on certain net investment income, or any state, local, or non-U.S. tax considerations).</w:t>
      </w:r>
    </w:p>
    <w:p>
      <w:pPr>
        <w:spacing w:after="0" w:line="76"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This summary does not address all U.S. federal income tax considerations that may be relevant to a U.S. holder based on its particular circumstances. This summary also does not address U.S. federal income tax considerations applicable to a U.S. holder that may be subject to special tax rules including the following:</w:t>
      </w:r>
    </w:p>
    <w:p>
      <w:pPr>
        <w:spacing w:after="0" w:line="57" w:lineRule="exact"/>
        <w:rPr>
          <w:sz w:val="20"/>
          <w:szCs w:val="20"/>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brokers, dealers or traders in securities, currencies, commodities, or notional principal contracts;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individual retirement accounts and other tax-deferred accounts;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17" w:lineRule="exact"/>
        <w:rPr>
          <w:rFonts w:ascii="Arial" w:cs="Arial" w:eastAsia="Arial" w:hAnsi="Arial"/>
          <w:sz w:val="18"/>
          <w:szCs w:val="18"/>
          <w:color w:val="auto"/>
        </w:rPr>
      </w:pPr>
    </w:p>
    <w:p>
      <w:pPr>
        <w:ind w:left="1000" w:right="959" w:hanging="348"/>
        <w:spacing w:after="0" w:line="342" w:lineRule="auto"/>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persons that hold our ADSs or ordinary shares as part of a “hedging,” “integrated,” “wash sale” or “conversion” transaction or as a position in a “straddle” for U.S. federal income tax purposes;</w:t>
      </w:r>
    </w:p>
    <w:p>
      <w:pPr>
        <w:spacing w:after="0" w:line="15" w:lineRule="exact"/>
        <w:rPr>
          <w:rFonts w:ascii="Arial" w:cs="Arial" w:eastAsia="Arial" w:hAnsi="Arial"/>
          <w:sz w:val="16"/>
          <w:szCs w:val="16"/>
          <w:color w:val="auto"/>
        </w:rPr>
      </w:pPr>
    </w:p>
    <w:p>
      <w:pPr>
        <w:ind w:left="1000" w:right="819" w:hanging="348"/>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 corporations, partnerships, or other pass-through entities for U.S. federal income tax purposes and investors in such entities;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former citizens or long-term residents of the United States;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received our ADSs as compensation;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39" w:hanging="348"/>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as a result of any item of gross income with respect to our ADSs or ordinary shares being taken into account in an applicable financial statement;</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acquiring our ADSs in connection with a trade or business conducted outside of the United States, including a permanent establishment or a fixed base in Australia;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holders that own directly, indirectly, or constructively, 10% or more of the voting power or value of our equity interests;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holders that have a “functional currency” other than the U.S. dollar.</w:t>
      </w:r>
    </w:p>
    <w:p>
      <w:pPr>
        <w:spacing w:after="0" w:line="117" w:lineRule="exact"/>
        <w:rPr>
          <w:sz w:val="20"/>
          <w:szCs w:val="20"/>
          <w:color w:val="auto"/>
        </w:rPr>
      </w:pPr>
    </w:p>
    <w:p>
      <w:pPr>
        <w:ind w:left="300" w:right="399" w:firstLine="360"/>
        <w:spacing w:after="0" w:line="342" w:lineRule="auto"/>
        <w:rPr>
          <w:sz w:val="20"/>
          <w:szCs w:val="20"/>
          <w:color w:val="auto"/>
        </w:rPr>
      </w:pPr>
      <w:r>
        <w:rPr>
          <w:rFonts w:ascii="Arial" w:cs="Arial" w:eastAsia="Arial" w:hAnsi="Arial"/>
          <w:sz w:val="16"/>
          <w:szCs w:val="16"/>
          <w:color w:val="auto"/>
        </w:rPr>
        <w:t>Persons who hold our ADSs and fall within one of the categories above are advised to consult their tax advisor regarding the specific U.S. federal income tax consequences which may apply to their particular situation.</w:t>
      </w:r>
    </w:p>
    <w:p>
      <w:pPr>
        <w:spacing w:after="0" w:line="16"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For the purposes of this description, a “U.S. holder” is a beneficial owner of our ADSs or ordinary shares that is, for U.S. federal income tax purposes:</w:t>
      </w:r>
    </w:p>
    <w:p>
      <w:pPr>
        <w:spacing w:after="0" w:line="62" w:lineRule="exact"/>
        <w:rPr>
          <w:sz w:val="20"/>
          <w:szCs w:val="20"/>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8" w:lineRule="exact"/>
        <w:rPr>
          <w:rFonts w:ascii="Arial" w:cs="Arial" w:eastAsia="Arial" w:hAnsi="Arial"/>
          <w:sz w:val="17"/>
          <w:szCs w:val="17"/>
          <w:color w:val="auto"/>
        </w:rPr>
      </w:pPr>
    </w:p>
    <w:p>
      <w:pPr>
        <w:ind w:left="1000" w:right="419" w:hanging="348"/>
        <w:spacing w:after="0" w:line="259"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its administration and one or more U.S. persons have the authority to control all of the substantial decisions of such trust, or if such trust has a valid election in effect under applicable U.S. Treasury Regulations to be treated as a U.S. person.</w:t>
      </w:r>
    </w:p>
    <w:p>
      <w:pPr>
        <w:spacing w:after="0" w:line="79"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If an entity treated as a partnership for U.S. federal income tax purposes holds our ADSs or ordinary shares, the U.S. federal income tax consequences relating to an investment in our ADSs and ordinary shares will depend in part upon the status of the partner and the activities of the partnership. Such a partner or partnership should consult its tax advisor regarding the specific U.S. federal income tax considerations of acquiring, owning and disposing of our ADSs or ordinary shares in its particular circumstances.</w:t>
      </w:r>
    </w:p>
    <w:p>
      <w:pPr>
        <w:spacing w:after="0" w:line="64" w:lineRule="exact"/>
        <w:rPr>
          <w:sz w:val="20"/>
          <w:szCs w:val="20"/>
          <w:color w:val="auto"/>
        </w:rPr>
      </w:pPr>
    </w:p>
    <w:p>
      <w:pPr>
        <w:ind w:left="300" w:right="339" w:firstLine="360"/>
        <w:spacing w:after="0" w:line="261" w:lineRule="auto"/>
        <w:rPr>
          <w:sz w:val="20"/>
          <w:szCs w:val="20"/>
          <w:color w:val="auto"/>
        </w:rPr>
      </w:pPr>
      <w:r>
        <w:rPr>
          <w:rFonts w:ascii="Arial" w:cs="Arial" w:eastAsia="Arial" w:hAnsi="Arial"/>
          <w:sz w:val="18"/>
          <w:szCs w:val="18"/>
          <w:b w:val="1"/>
          <w:bCs w:val="1"/>
          <w:color w:val="auto"/>
        </w:rPr>
        <w:t>U.S holders of our ADSs should consult their tax advisors as to the particular tax consequences applicable to them relating to the acquisition, ownership and disposition of our ADSs or ordinary shares, including the applicability of U.S. federal, state and local tax laws, Australian tax laws and other non-U.S. tax laws.</w:t>
      </w:r>
    </w:p>
    <w:p>
      <w:pPr>
        <w:spacing w:after="0" w:line="76" w:lineRule="exact"/>
        <w:rPr>
          <w:sz w:val="20"/>
          <w:szCs w:val="20"/>
          <w:color w:val="auto"/>
        </w:rPr>
      </w:pPr>
    </w:p>
    <w:p>
      <w:pPr>
        <w:jc w:val="both"/>
        <w:ind w:left="300" w:right="659" w:firstLine="360"/>
        <w:spacing w:after="0" w:line="311" w:lineRule="auto"/>
        <w:rPr>
          <w:sz w:val="20"/>
          <w:szCs w:val="20"/>
          <w:color w:val="auto"/>
        </w:rPr>
      </w:pPr>
      <w:r>
        <w:rPr>
          <w:rFonts w:ascii="Arial" w:cs="Arial" w:eastAsia="Arial" w:hAnsi="Arial"/>
          <w:sz w:val="16"/>
          <w:szCs w:val="16"/>
          <w:b w:val="1"/>
          <w:bCs w:val="1"/>
          <w:i w:val="1"/>
          <w:iCs w:val="1"/>
          <w:color w:val="auto"/>
        </w:rPr>
        <w:t xml:space="preserve">ADSs. </w:t>
      </w:r>
      <w:r>
        <w:rPr>
          <w:rFonts w:ascii="Arial" w:cs="Arial" w:eastAsia="Arial" w:hAnsi="Arial"/>
          <w:sz w:val="16"/>
          <w:szCs w:val="16"/>
          <w:color w:val="auto"/>
        </w:rPr>
        <w:t>In general, for U.S. federal income tax purposes, a U.S. holder holding ADSs will be treated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 of the ordinary shares represented by the ADSs. Accordingly, exchanges with the depositary of ADSs for ordinary shares, and of ordinary shares for ADSs, generally will not be subject to U.S. federal income tax.</w:t>
      </w:r>
    </w:p>
    <w:p>
      <w:pPr>
        <w:spacing w:after="0" w:line="41"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b w:val="1"/>
          <w:bCs w:val="1"/>
          <w:i w:val="1"/>
          <w:iCs w:val="1"/>
          <w:color w:val="auto"/>
        </w:rPr>
        <w:t xml:space="preserve">Distributions. </w:t>
      </w:r>
      <w:r>
        <w:rPr>
          <w:rFonts w:ascii="Arial" w:cs="Arial" w:eastAsia="Arial" w:hAnsi="Arial"/>
          <w:sz w:val="16"/>
          <w:szCs w:val="16"/>
          <w:color w:val="auto"/>
        </w:rPr>
        <w:t>As described under the heading “Dividend Policy,” we do not expect to make any distributions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our ADSs or ordinary shares. Subject to the discussion under “—Passive Foreign Investment Company Considerations,” below, the gross amount of any distribution (including any amounts withheld in respect of Australian tax or in respect of fees payable to the depositary) actually or constructively received by a U.S. holder with respect to our ADSs or ordinary shares generally will be taxable to the U.S. holder as a dividend to the extent of the U.S. holder’s pro rata share of our current or accumulated earnings and profits as determined under U.S. federal income tax principles. Generally, distributions in excess of our current and accumulated earnings and profits will be treated as a non-taxable return of capital to the extent of the U.S. holder’s adjusted tax basis in our ADSs or ordinary shares, and thereafter as capital gain from the disposition of our ADSs or ordinary shares. However, since we do not intend to calculate our earnings and profits under U.S. federal income tax principles, it is expected, and U.S. holders should assume, that any distribution will be reported as a dividend and will constitute ordinary dividend income to a U.S. holder. Any dividends will generally be treated as foreign source, and will not be eligible for the dividends-received deduction generally allowed to corporate U.S. holders.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Subject to the discussion under “—Passive Foreign Investment Company Considerations,” below, dividends paid to non-corporate U.S. holders may qualify as “qualified dividend income” eligible for the preferential rates of taxation applicable to long-term capital gains if we are a “qualified foreign corporation” and certain other requirements (discussed below) are met. We generally will be considered to be a qualified foreign corporation (a) if we are eligible for the benefits of the Convention between the Government of the United States of America and the Government of Australia for the Avoidance of Double Taxation and the Prevention of Fiscal Evasion with Respect to Taxes on Income, signed on August 6, 1982, as amended and currently in force (the “U.S.-Australia Tax Treaty”), or</w:t>
      </w:r>
    </w:p>
    <w:p>
      <w:pPr>
        <w:spacing w:after="0" w:line="2" w:lineRule="exact"/>
        <w:rPr>
          <w:sz w:val="20"/>
          <w:szCs w:val="20"/>
          <w:color w:val="auto"/>
        </w:rPr>
      </w:pPr>
    </w:p>
    <w:p>
      <w:pPr>
        <w:ind w:left="300" w:right="339" w:hanging="8"/>
        <w:spacing w:after="0" w:line="286" w:lineRule="auto"/>
        <w:tabs>
          <w:tab w:leader="none" w:pos="555" w:val="left"/>
        </w:tabs>
        <w:numPr>
          <w:ilvl w:val="0"/>
          <w:numId w:val="76"/>
        </w:numPr>
        <w:rPr>
          <w:rFonts w:ascii="Arial" w:cs="Arial" w:eastAsia="Arial" w:hAnsi="Arial"/>
          <w:sz w:val="16"/>
          <w:szCs w:val="16"/>
          <w:color w:val="auto"/>
        </w:rPr>
      </w:pPr>
      <w:r>
        <w:rPr>
          <w:rFonts w:ascii="Arial" w:cs="Arial" w:eastAsia="Arial" w:hAnsi="Arial"/>
          <w:sz w:val="16"/>
          <w:szCs w:val="16"/>
          <w:color w:val="auto"/>
        </w:rPr>
        <w:t>our ADSs or ordinary shares are readily tradable on an established securities market in the United States. We have applied to have the ADSs listed on the Nasdaq Global Market, which is an established securities market in the United States, although there can be no assurance that the ADSs will be listed or remain listed on Nasdaq or be considered readily tradable on an established securities market in the United States now or in the future. In addition, we believe that we qualify as a resident of Australia for purposes of, and are eligible for the benefits of, the U.S.-Australia Tax Treaty, although there can be no assurance in this regard. Therefore, subject to the discussion under “—Passive Foreign Investment Company Considerations,” below, any dividends on our ADSs or ordinary shares generally will be “qualified dividend income” in the hands of individual U.S. holders, provided that a holding period requirement (more than 60 days of ownership, without protection from the risk of loss, during the 121-day period beginning 60 days before the ex-dividend date) and certain other requirements are met.</w:t>
      </w:r>
    </w:p>
    <w:p>
      <w:pPr>
        <w:spacing w:after="0" w:line="6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A U.S. holder may be able to claim as a credit against its U.S. federal income tax liability the amount of any Australian tax withheld from any dividends at a rate not exceeding an applicable rate under the U.S.-Australia Tax Treaty. Alternatively, a U.S. holder may deduct such Australian taxes from its U.S. federal taxable income, provided that the U.S. holder elects to deduct rather than credit all foreign income taxes paid or accrued for the relevant taxable year. The rules governing U.S. foreign tax credits are complex. Each U.S. holder should consult its tax advisors regarding the foreign tax credit rules.</w:t>
      </w:r>
    </w:p>
    <w:p>
      <w:pPr>
        <w:spacing w:after="0" w:line="84"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In general, the amount of any distribution paid to a U.S. holder in a foreign currency will be the U.S. dollar value of the foreign currency calculated by reference to the spot exchange rate on the day the depositary receives the distribution (in the case of ADSs) or on the day the distribution is received by the U.S. holder (in the case of ordinary shares), regardless of whether the foreign currency is converted into U.S. dollars at that time. If distributions received in a foreign currency are converted into U.S. dollars on the day they are received, a U.S. holder should not be required to recognize foreign currency gain or loss in respect of the distribution. A U.S. holder that does not convert foreign currency received as a distribution on an ordinary share into U.S. dollars on the date of receipt generally will have a tax basis in such foreign currency equal to the U.S. dollar value of such foreign currency on the date of receipt. Any foreign currency gain or loss a U.S. holder recognizes on a subsequent conversion of foreign currency into U.S. dollars will be U.S. source ordinary income or loss.</w:t>
      </w:r>
    </w:p>
    <w:p>
      <w:pPr>
        <w:spacing w:after="0" w:line="60"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As discussed above under “Description of the American Depositary Shares – Fees and Expenses”, the amount of any distribution that is paid to a U.S. holder will be reduced by certain fees that such U.S holder is required to pay to the depositary. The amount of any dividend a U.S. holder is deemed to receive and include in income for U.S. federal income tax purposes will not be reduced by the amount of any fees that are withheld, and a U.S. holder would be deemed to pay the amount of such fees to the depositary. Any such fees generally will be treated as items of investment expense which may not be deductible in the case of certain investors due to general limitations on the deductibility of investment expenses. U.S. holders should consult their tax advisor with respect to the tax treatment of the payment of any such fees to the depositary.</w:t>
      </w:r>
    </w:p>
    <w:p>
      <w:pPr>
        <w:spacing w:after="0" w:line="70"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b w:val="1"/>
          <w:bCs w:val="1"/>
          <w:i w:val="1"/>
          <w:iCs w:val="1"/>
          <w:color w:val="auto"/>
        </w:rPr>
        <w:t xml:space="preserve">Sale or Other Taxable Disposition. </w:t>
      </w:r>
      <w:r>
        <w:rPr>
          <w:rFonts w:ascii="Arial" w:cs="Arial" w:eastAsia="Arial" w:hAnsi="Arial"/>
          <w:sz w:val="17"/>
          <w:szCs w:val="17"/>
          <w:color w:val="auto"/>
        </w:rPr>
        <w:t>A U.S. holder generally will recognize gain or loss for U.S. federal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purposes upon the sale or other taxable disposition of our ADSs or ordinary shares in an amount equal to the difference between the U.S. dollar value of the amount realized from such disposition and the U.S. holder’s adjusted tax basis in those ADSs or ordinary shares, determined in U.S. dollars. Subject to the discussion under “—Passive Foreign Investment Company Considerations” below, any such gain or loss generally will be a capital gain or loss, and will be long-term capital gain or loss if the U.S. holder’s holding period for such ADSs or ordinary shares is more than one year at the time of such disposition. A U.S. holder’s adjusted tax basis in our ADSs or ordinary shares generally will be equal to the cost of such ADSs or ordinary shares. Any long-term capital gain from the disposition of our ADSs or ordinary shares by a non-corporate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86" w:lineRule="auto"/>
        <w:rPr>
          <w:sz w:val="20"/>
          <w:szCs w:val="20"/>
          <w:color w:val="auto"/>
        </w:rPr>
      </w:pPr>
      <w:r>
        <w:rPr>
          <w:rFonts w:ascii="Arial" w:cs="Arial" w:eastAsia="Arial" w:hAnsi="Arial"/>
          <w:sz w:val="17"/>
          <w:szCs w:val="17"/>
          <w:color w:val="auto"/>
        </w:rPr>
        <w:t>holder generally is eligible for a preferential rate of taxation. The deductibility of capital losses for U.S. federal income tax purposes is subject to limitations. Any such gain or loss that a U.S. holder recognizes generally will be treated as U.S. source gain or loss for foreign tax credit limitation purposes.</w:t>
      </w:r>
    </w:p>
    <w:p>
      <w:pPr>
        <w:spacing w:after="0" w:line="57"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For a cash basis taxpayer, any units of foreign currency received on a disposition of our ADSs or ordinary shares that are treated as traded on an established securities market are translated into U.S. dollars at the spot exchange rate on the settlement date of the disposition. No foreign currency exchange gain or loss will result for a cash basis taxpayer from currency fluctuations between the trade date and the settlement date of such a disposition.</w:t>
      </w:r>
    </w:p>
    <w:p>
      <w:pPr>
        <w:spacing w:after="0" w:line="49"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An accrual basis taxpayer may elect the same treatment required of cash basis taxpayers with respect to dispositions of our ADSs or ordinary shares that are traded on an established securities market, provided the election is applied consistently from year to year. Such election may not be changed without the consent of the IRS. For an accrual basis taxpayer who does not make such election or if our ADSs or ordinary shares that are not treated as traded on an established securities market, any units of foreign currency received on a disposition of our ADSs or ordinary shares are translated into U.S. dollars at the spot exchange rate on the trade date of the disposition. In such case, the taxpayer may recognize exchange gain or loss based on currency fluctuations between the trade date and the settlement date. Any foreign currency gain or loss a U.S. holder recognizes will be U.S. source ordinary income or loss.</w:t>
      </w:r>
    </w:p>
    <w:p>
      <w:pPr>
        <w:spacing w:after="0" w:line="73"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b w:val="1"/>
          <w:bCs w:val="1"/>
          <w:i w:val="1"/>
          <w:iCs w:val="1"/>
          <w:color w:val="auto"/>
        </w:rPr>
        <w:t>Passive Foreign Investment Company Considerations</w:t>
      </w:r>
      <w:r>
        <w:rPr>
          <w:rFonts w:ascii="Arial" w:cs="Arial" w:eastAsia="Arial" w:hAnsi="Arial"/>
          <w:sz w:val="16"/>
          <w:szCs w:val="16"/>
          <w:color w:val="auto"/>
        </w:rPr>
        <w:t>. Generally, we will be a “passive foreign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(“PFIC”) for U.S. federal income tax purposes for any taxable year in which, after applying certain look-through rules with respect to the income and assets of our subsidiaries, either: (1) at least 75% of our gross income is “passive income” or (2) at least 50% of the average quarterly value of our total gross assets (which would generally be measured by fair market value of our assets) is attributable to assets that produce “passive income” or are held for the production of “passive income.” For purposes of these calculations, we will be treated as holding our proportionate share of the assets of, and receiving directly our proportionate share of the income of, any corporation in which we directly or indirectly own at least 25% (by value) of the shares. Passive income for this purpose generally includes dividends, interest, royalties, rents, gains from commodities and securities transactions and the excess of gains over losses from the disposition of assets which produce passive income.</w:t>
      </w:r>
    </w:p>
    <w:p>
      <w:pPr>
        <w:spacing w:after="0" w:line="60" w:lineRule="exact"/>
        <w:rPr>
          <w:sz w:val="20"/>
          <w:szCs w:val="20"/>
          <w:color w:val="auto"/>
        </w:rPr>
      </w:pPr>
    </w:p>
    <w:p>
      <w:pPr>
        <w:ind w:left="300" w:right="299" w:firstLine="360"/>
        <w:spacing w:after="0" w:line="270" w:lineRule="auto"/>
        <w:rPr>
          <w:sz w:val="20"/>
          <w:szCs w:val="20"/>
          <w:color w:val="auto"/>
        </w:rPr>
      </w:pPr>
      <w:r>
        <w:rPr>
          <w:rFonts w:ascii="Arial" w:cs="Arial" w:eastAsia="Arial" w:hAnsi="Arial"/>
          <w:sz w:val="17"/>
          <w:szCs w:val="17"/>
          <w:color w:val="auto"/>
        </w:rPr>
        <w:t>Based on our current and anticipated operations and composition of our assets and income, we believe that we should not be a PFIC for the current taxable year, and currently do not expect to become a PFIC in the foreseeable future. However, the determination of PFIC status is a factual determination that must be made annually and cannot be made until the close of a taxable year. In particular, our PFIC status may be determined in large part based on the market price of our ADSs and ordinary shares. The market price of our ADSs and ordinary shares may fluctuate, and a significant decrease in the market price could cause us to be treated as a PFIC. Moreover, the determination of PFIC status depends, in part, on the application of complex U.S. federal income tax rules which are subject to differing interpretations. Accordingly, there can be no assurance that we would not be a PFIC for the current taxable year or any future taxable year.</w:t>
      </w:r>
    </w:p>
    <w:p>
      <w:pPr>
        <w:spacing w:after="0" w:line="73"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6"/>
          <w:szCs w:val="16"/>
          <w:color w:val="auto"/>
        </w:rPr>
        <w:t>If we are a PFIC, a U.S. holder will be subject to a special tax at ordinary income tax rates on “excess distributions,” including certain distributions by us and any gain that the U.S. holder recognizes on the sale or other disposition of our ADSs or ordinary shares. Distributions received by a U.S. holder (other than distributions in the first year that a U.S. holder holds the ADSs or ordinary shares) in a taxable year that exceed 125% of the average annual distributions received during the shorter of the three preceding taxable years or the portion of the U.S. holder’s holding period for the ADSs or ordinary shares that precedes the taxable year of the distribution will be treated as an excess distribution. The amount of U.S. federal income tax on any excess distributions will be increased by an interest charge to compensate for the tax deferral, calculated as if the excess distributions were earned ratably over the period that the U.S. holder has held the ADSs or ordinary shares. Dividends received with respect to our ADSs or ordinary shares will not be eligible for the preferential tax rate applicable to “qualified dividend income” received by non-corporate U.S. holders if we are a PFIC for the taxable year of the distribution or for the preceding taxable year. Classification as a PFIC may also have other adverse tax consequences. A U.S. holder may be able to mitigate certain of these adverse tax consequences if it is able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make a timely qualified electing fund election (a “QEF election”) or a mark to market election with respect to our ADSs. However, a QEF election may only be made by a U.S. holder if we provide such holder with certain information, and we do not expect to provide U.S. holders with the information necessary to make a QEF election in the event we were to be a PFIC.</w:t>
      </w:r>
    </w:p>
    <w:p>
      <w:pPr>
        <w:spacing w:after="0" w:line="79" w:lineRule="exact"/>
        <w:rPr>
          <w:sz w:val="20"/>
          <w:szCs w:val="20"/>
          <w:color w:val="auto"/>
        </w:rPr>
      </w:pPr>
    </w:p>
    <w:p>
      <w:pPr>
        <w:jc w:val="both"/>
        <w:ind w:left="300" w:right="339" w:firstLine="360"/>
        <w:spacing w:after="0" w:line="257" w:lineRule="auto"/>
        <w:rPr>
          <w:sz w:val="20"/>
          <w:szCs w:val="20"/>
          <w:color w:val="auto"/>
        </w:rPr>
      </w:pPr>
      <w:r>
        <w:rPr>
          <w:rFonts w:ascii="Arial" w:cs="Arial" w:eastAsia="Arial" w:hAnsi="Arial"/>
          <w:sz w:val="18"/>
          <w:szCs w:val="18"/>
          <w:color w:val="auto"/>
        </w:rPr>
        <w:t>If we are a PFIC in any year in which a U.S. holder owns our ADSs or ordinary shares, we would continue to be treated as a PFIC with respect to such U.S. holder in all succeeding years during which the U.S. holder owns the ADSs or ordinary shares, regardless of whether we continue to meet the tests described above, unless we cease to be a PFIC and the U.S. holder has made certain elections under applicable U.S. Treasury regulations with respect to its ADSs or ordinary shares.</w:t>
      </w:r>
    </w:p>
    <w:p>
      <w:pPr>
        <w:spacing w:after="0" w:line="80" w:lineRule="exact"/>
        <w:rPr>
          <w:sz w:val="20"/>
          <w:szCs w:val="20"/>
          <w:color w:val="auto"/>
        </w:rPr>
      </w:pPr>
    </w:p>
    <w:p>
      <w:pPr>
        <w:ind w:left="300" w:right="579" w:firstLine="360"/>
        <w:spacing w:after="0" w:line="257" w:lineRule="auto"/>
        <w:rPr>
          <w:sz w:val="20"/>
          <w:szCs w:val="20"/>
          <w:color w:val="auto"/>
        </w:rPr>
      </w:pPr>
      <w:r>
        <w:rPr>
          <w:rFonts w:ascii="Arial" w:cs="Arial" w:eastAsia="Arial" w:hAnsi="Arial"/>
          <w:sz w:val="18"/>
          <w:szCs w:val="18"/>
          <w:color w:val="auto"/>
        </w:rPr>
        <w:t>If a U.S. holder owns our ADSs or ordinary shares during any taxable year in which we are a PFIC, the U.S. holder generally will be required to file an IRS Form 8621 (Information Return by a Shareholder of a Passive Foreign Investment Company or Qualified Electing Fund) with respect to the Company, generally with the U.S. holder’s U.S. federal income tax return for that year. U.S. holders should consult their tax advisor regarding any annual filing requirements.</w:t>
      </w:r>
    </w:p>
    <w:p>
      <w:pPr>
        <w:spacing w:after="0" w:line="76" w:lineRule="exact"/>
        <w:rPr>
          <w:sz w:val="20"/>
          <w:szCs w:val="20"/>
          <w:color w:val="auto"/>
        </w:rPr>
      </w:pPr>
    </w:p>
    <w:p>
      <w:pPr>
        <w:ind w:left="300" w:right="359" w:firstLine="360"/>
        <w:spacing w:after="0" w:line="298" w:lineRule="auto"/>
        <w:rPr>
          <w:sz w:val="20"/>
          <w:szCs w:val="20"/>
          <w:color w:val="auto"/>
        </w:rPr>
      </w:pPr>
      <w:r>
        <w:rPr>
          <w:rFonts w:ascii="Arial" w:cs="Arial" w:eastAsia="Arial" w:hAnsi="Arial"/>
          <w:sz w:val="16"/>
          <w:szCs w:val="16"/>
          <w:b w:val="1"/>
          <w:bCs w:val="1"/>
          <w:color w:val="auto"/>
        </w:rPr>
        <w:t>The U.S. federal income tax rules relating to PFICs are complex. Prospective U.S. holders should consult their tax advisors with respect to the acquisition, ownership and disposition of our ADSs or ordinary shares, the consequences to them of an investment in a PFIC, any elections available with respect to the ADSs or ordinary shares (including QEF elections and mark-to-market elections) and the IRS information reporting obligations with respect to the acquisition, ownership and disposition of our ADSs and ordinary shares.</w:t>
      </w:r>
    </w:p>
    <w:p>
      <w:pPr>
        <w:spacing w:after="0" w:line="50"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b w:val="1"/>
          <w:bCs w:val="1"/>
          <w:i w:val="1"/>
          <w:iCs w:val="1"/>
          <w:color w:val="auto"/>
        </w:rPr>
        <w:t xml:space="preserve">Backup Withholding and Information Reporting. </w:t>
      </w:r>
      <w:r>
        <w:rPr>
          <w:rFonts w:ascii="Arial" w:cs="Arial" w:eastAsia="Arial" w:hAnsi="Arial"/>
          <w:sz w:val="17"/>
          <w:szCs w:val="17"/>
          <w:color w:val="auto"/>
        </w:rPr>
        <w:t>U.S. holders generally will be subject to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requirements with respect to dividends paid on our ADSs or ordinary shares, and on the proceeds from the sale, exchange or other disposition of our ADSs or ordinary shares that are paid within the United States or through U.S.-related financial intermediaries, unless the U.S. holder is an “exempt recipient.” In addition, U.S. holders may be subject to backup withholding on such payments, unless the U.S. holder provides a correct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73"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b w:val="1"/>
          <w:bCs w:val="1"/>
          <w:i w:val="1"/>
          <w:iCs w:val="1"/>
          <w:color w:val="auto"/>
        </w:rPr>
        <w:t xml:space="preserve">Foreign Asset Reporting. </w:t>
      </w:r>
      <w:r>
        <w:rPr>
          <w:rFonts w:ascii="Arial" w:cs="Arial" w:eastAsia="Arial" w:hAnsi="Arial"/>
          <w:sz w:val="16"/>
          <w:szCs w:val="16"/>
          <w:color w:val="auto"/>
        </w:rPr>
        <w:t>Certain U.S. holders who are individuals are required to report information relating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an interest in our ADSs and ordinary shares, subject to certain exceptions (including an exception for ADSs and ordinary shares held in accounts maintained by U.S. financial institutions) by filing IRS Form 8938 (</w:t>
      </w:r>
      <w:r>
        <w:rPr>
          <w:rFonts w:ascii="Arial" w:cs="Arial" w:eastAsia="Arial" w:hAnsi="Arial"/>
          <w:sz w:val="16"/>
          <w:szCs w:val="16"/>
          <w:i w:val="1"/>
          <w:iCs w:val="1"/>
          <w:color w:val="auto"/>
        </w:rPr>
        <w:t>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Specified Foreign Financial Assets</w:t>
      </w:r>
      <w:r>
        <w:rPr>
          <w:rFonts w:ascii="Arial" w:cs="Arial" w:eastAsia="Arial" w:hAnsi="Arial"/>
          <w:sz w:val="16"/>
          <w:szCs w:val="16"/>
          <w:color w:val="auto"/>
        </w:rPr>
        <w:t>) with their U.S. federal income tax return. Substantial penalties may be imposed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a U.S. holder that fails to comply. U.S. holders should consult their tax advisors regarding their information reporting obligations, if any, with respect to their ownership and disposition of our ADSs or ordinary shares.</w:t>
      </w:r>
    </w:p>
    <w:p>
      <w:pPr>
        <w:spacing w:after="0" w:line="52"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b w:val="1"/>
          <w:bCs w:val="1"/>
          <w:color w:val="auto"/>
        </w:rPr>
        <w:t>THE DISCUSSION ABOVE IS A SUMMARY OF THE U.S. FEDERAL INCOME TAX CONSEQUENCES OF AN INVESTMENT IN OUR ADSs AND IS BASED UPON LAWS AND RELEVANT INTERPRETATIONS THEREOF IN EFFECT AS OF THE DATE OF THIS REGISTRATION STATEMENT, ALL OF WHICH ARE SUBJECT TO CHANGE OR DIFFERING INTERPRETATION, POSSIBLY WITH RETROACTIVE EFFECT. EACH PROSPECTIVE INVESTOR SHOULD CONSULT ITS TAX ADVISOR ABOUT THE TAX CONSEQUENCES TO IT OF AN INVESTMENT IN OUR ADSs IN LIGHT OF THE INVESTOR’S OWN CIRCUMSTANCES.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Australian Tax Considerations</w:t>
      </w:r>
    </w:p>
    <w:p>
      <w:pPr>
        <w:spacing w:after="0" w:line="121" w:lineRule="exact"/>
        <w:rPr>
          <w:sz w:val="20"/>
          <w:szCs w:val="20"/>
          <w:color w:val="auto"/>
        </w:rPr>
      </w:pPr>
    </w:p>
    <w:p>
      <w:pPr>
        <w:ind w:left="300" w:right="399" w:firstLine="360"/>
        <w:spacing w:after="0" w:line="271" w:lineRule="auto"/>
        <w:rPr>
          <w:sz w:val="20"/>
          <w:szCs w:val="20"/>
          <w:color w:val="auto"/>
        </w:rPr>
      </w:pPr>
      <w:r>
        <w:rPr>
          <w:rFonts w:ascii="Arial" w:cs="Arial" w:eastAsia="Arial" w:hAnsi="Arial"/>
          <w:sz w:val="17"/>
          <w:szCs w:val="17"/>
          <w:color w:val="auto"/>
        </w:rPr>
        <w:t>In this section, we discuss material Australian income tax, stamp duty and goods and services tax considerations related to the acquisition, ownership and disposal by the absolute beneficial owners of the ADSs or ordinary shares represented by ADSs. It is based upon existing Australian tax law and administrative practice as of the date of this registration statement, which is subject to change, possibly retrospectively. This discussion does not address all aspects of Australian tax law which may be important to particular investors in light of their individual investment circumstances, such as ADSs or shares held by investors subject to special tax rules (for example, financial institutions, insurance companies or tax exempt organizations). In addition, this summary does not discuss any non-Australian or state tax considerations, other than stamp duty.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Prospective investors are urged to consult their tax advisors regarding the Australian and non-Australian income and other tax considerations of the acquisition, ownership and disposition of the ADSs or shares, including before the deposit of shares with the depositary in exchange for ADSs. This summary is based upon the premise and assumption that the holder of an ADS is not an Australian tax resident and is not carrying on business in Australia through a permanent establishment or similar taxable nexus (referred to as a “Non-Australian Holder” in this summary).</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Nature of ADSs for Australian Taxation Purposes</w:t>
      </w:r>
    </w:p>
    <w:p>
      <w:pPr>
        <w:spacing w:after="0" w:line="11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Prospective investors and non-Australian holders of ADSs should obtain specialist Australian tax advice regarding their rights and obligations under the deposit agreement with the depositary, including whether the deposit arrangement would result in the holders of an ADS being “absolutely entitled” to the underlying shares represented by the ADS for Australian taxation purposes, especially before the prospective investor or Non-Australian Holder takes any action either to: (1) deposit ordinary shares to the depositary in exchange for ADSs; or (2) surrender ADSs to the depositary for cancellation to receive the ordinary shares underlying the Non-Australian Holder's ADSs. Apart from certain aspects of the Australian tax legislation (for example, the Australian capital gains tax and withholding tax provisions, which are discussed below), there is no express legislative basis for disregarding “bare trusts” or similar arrangements for Australian tax purposes generally, and the Australian Taxation Office has not published any binding guidance in respect of ADS arrangements.</w:t>
      </w:r>
    </w:p>
    <w:p>
      <w:pPr>
        <w:spacing w:after="0" w:line="77"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Consistent with our understanding that the deposit agreement, which is proposed for the holders of ADSs, is on similar terms to agreements that govern ADSs in respect of other foreign private issuers, this summary proceeds on the assumption that the deposit arrangement results in holders of ADSs being “absolutely entitled” to the underlying shares and also “presently entitled” to any dividend paid on the underlying ordinary shares. On this basis, holders of ADSs can be treated as the owners of the underlying ordinary shares for Australian capital gains tax purposes anddividends paid on the underlying ordinary shares will also be treated as dividends derived by the holders of ADSs as the persons presently entitled to those dividends.</w:t>
      </w:r>
    </w:p>
    <w:p>
      <w:pPr>
        <w:spacing w:after="0" w:line="69"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The Australian tax implications of depositing shares with the depositary in exchange for ADSs will depend on the individual circumstances of the investor. Generally, for investors who hold such shares on capital account, on the basis of the assumption regarding absolute entitlement the deposit of such shares with the depositary should not be subject to Australian capital gains tax.</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Australia operates a dividend imputation system under which dividends may be declared to be “franked” to the extent they are paid out of company profits that have been subject to income tax. Fully franked dividends are not subject to dividend withholding tax. To the extent that they are unfranked, dividends payable to Non-Australian Holders will be subject to dividend withholding tax except to the extent they are declared to be “conduit foreign income”, or CFI. Dividend withholding tax will be imposed at 30%, unless a shareholder or other specified recipient is a resident of a country with which Australia has a double taxation treaty and qualifies for the benefits of the treaty. For example. under the provisions of the current Double Taxation Convention between Australia and the United States, the Australian tax withheld on unfranked dividends that are not declared to be CFI paid by us to which a resident of the United States is beneficially entitled generally is limited to 15%.</w:t>
      </w:r>
    </w:p>
    <w:p>
      <w:pPr>
        <w:spacing w:after="0" w:line="58"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However, under the Double Taxation Convention between Australia and the United States, if a U.S. resident company that is a Non-Australian Holder directly owns a 10% or more voting interests in Novonix, the Australian tax withheld on unfranked dividends that are not declared to be CFI paid by us to which the company is beneficially entitled is generally limited to 5%.</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Character of ADSs or Shares for Australian Taxation Purposes</w:t>
      </w:r>
    </w:p>
    <w:p>
      <w:pPr>
        <w:spacing w:after="0" w:line="117"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The Australian tax treatment of a sale or disposal of the ADSs or underlying shares will depend on whether they are held on revenue or capital account. ADSs may be held on revenue rather than capital account, for example, where they are held by share traders or any profit arises from a profit-making undertaking or scheme entered into by the holder. Non-Australian Holders of ADSs should obtain specialist Australian tax advice regarding the characterization of any gain or loss on a sale or disposal of the ADSs or underlying shares as revenue or capital in nature.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on Sales or other Dispositions of Shares or ADSs—Capital Gains Tax</w:t>
      </w:r>
    </w:p>
    <w:p>
      <w:pPr>
        <w:spacing w:after="0" w:line="117" w:lineRule="exact"/>
        <w:rPr>
          <w:sz w:val="20"/>
          <w:szCs w:val="20"/>
          <w:color w:val="auto"/>
        </w:rPr>
      </w:pPr>
    </w:p>
    <w:p>
      <w:pPr>
        <w:ind w:left="300" w:right="579" w:firstLine="360"/>
        <w:spacing w:after="0" w:line="301" w:lineRule="auto"/>
        <w:rPr>
          <w:sz w:val="20"/>
          <w:szCs w:val="20"/>
          <w:color w:val="auto"/>
        </w:rPr>
      </w:pPr>
      <w:r>
        <w:rPr>
          <w:rFonts w:ascii="Arial" w:cs="Arial" w:eastAsia="Arial" w:hAnsi="Arial"/>
          <w:sz w:val="16"/>
          <w:szCs w:val="16"/>
          <w:color w:val="auto"/>
        </w:rPr>
        <w:t>Non-Australian Holders who are treated as the owners of the underlying shares on the basis that they are absolutely entitled to those shares will not be subject to Australian capital gains tax on the gain made on a sale or other disposal of ordinary shares, provided the shares are not “taxable Australian property.” Taxable Australian property includes “indirect Australian real property interests,” which are interests in a company where:</w:t>
      </w:r>
    </w:p>
    <w:p>
      <w:pPr>
        <w:spacing w:after="0" w:line="49" w:lineRule="exact"/>
        <w:rPr>
          <w:sz w:val="20"/>
          <w:szCs w:val="20"/>
          <w:color w:val="auto"/>
        </w:rPr>
      </w:pPr>
    </w:p>
    <w:p>
      <w:pPr>
        <w:ind w:left="1000" w:right="419" w:hanging="348"/>
        <w:spacing w:after="0" w:line="26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Non-Australian Holder, together with its associates (as defined in the relevant Australian tax legislation), holds 10% or more of that company’s issued shares, at the time of disposal or for a 12-month period during the two years prior to disposal; and</w:t>
      </w:r>
    </w:p>
    <w:p>
      <w:pPr>
        <w:spacing w:after="0" w:line="75" w:lineRule="exact"/>
        <w:rPr>
          <w:rFonts w:ascii="Arial" w:cs="Arial" w:eastAsia="Arial" w:hAnsi="Arial"/>
          <w:sz w:val="18"/>
          <w:szCs w:val="18"/>
          <w:color w:val="auto"/>
        </w:rPr>
      </w:pPr>
    </w:p>
    <w:p>
      <w:pPr>
        <w:jc w:val="both"/>
        <w:ind w:left="1000" w:right="679" w:hanging="348"/>
        <w:spacing w:after="0" w:line="263"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more than 50% of that company’s assets held directly or indirectly, determined by reference to market value, consists of Australian real property (which includes land and leasehold interests) or Australian mining, quarrying or prospecting rights at the time of disposal.</w:t>
      </w:r>
    </w:p>
    <w:p>
      <w:pPr>
        <w:spacing w:after="0" w:line="76" w:lineRule="exact"/>
        <w:rPr>
          <w:sz w:val="20"/>
          <w:szCs w:val="20"/>
          <w:color w:val="auto"/>
        </w:rPr>
      </w:pPr>
    </w:p>
    <w:p>
      <w:pPr>
        <w:ind w:left="300" w:right="459" w:firstLine="360"/>
        <w:spacing w:after="0" w:line="308" w:lineRule="auto"/>
        <w:rPr>
          <w:sz w:val="20"/>
          <w:szCs w:val="20"/>
          <w:color w:val="auto"/>
        </w:rPr>
      </w:pPr>
      <w:r>
        <w:rPr>
          <w:rFonts w:ascii="Arial" w:cs="Arial" w:eastAsia="Arial" w:hAnsi="Arial"/>
          <w:sz w:val="17"/>
          <w:szCs w:val="17"/>
          <w:color w:val="auto"/>
        </w:rPr>
        <w:t>Australian capital gains tax applies to net capital gains at a taxpayer’s marginal tax rates. Net capital gains are calculated after reduction for capital losses, which may only be offset against capital gains.</w:t>
      </w:r>
    </w:p>
    <w:p>
      <w:pPr>
        <w:spacing w:after="0" w:line="38"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If a Non-Australian Holder of ADSs was not absolutely entitled to the underlying shares, and the ADSs were held on capital account, the same principles would apply in determining whether a gain on the sale or disposal of the ADSs would be subject to Australian capital gains tax. That is, a Non-Australian Holder should not be directly subject to Australian capital gains tax on the sale or disposal of the ADSs provided the ADSs are not “taxable Australian property”.</w:t>
      </w:r>
    </w:p>
    <w:p>
      <w:pPr>
        <w:spacing w:after="0" w:line="80"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The 50% capital gains tax discount is not available to Non-Australian Holders on gains from assets where they were non-Australian residents during the entire holding period. Companies are not entitled to a capital gains tax discount.</w:t>
      </w:r>
    </w:p>
    <w:p>
      <w:pPr>
        <w:spacing w:after="0" w:line="76" w:lineRule="exact"/>
        <w:rPr>
          <w:sz w:val="20"/>
          <w:szCs w:val="20"/>
          <w:color w:val="auto"/>
        </w:rPr>
      </w:pPr>
    </w:p>
    <w:p>
      <w:pPr>
        <w:ind w:left="300" w:right="299" w:firstLine="360"/>
        <w:spacing w:after="0" w:line="253" w:lineRule="auto"/>
        <w:rPr>
          <w:sz w:val="20"/>
          <w:szCs w:val="20"/>
          <w:color w:val="auto"/>
        </w:rPr>
      </w:pPr>
      <w:r>
        <w:rPr>
          <w:rFonts w:ascii="Arial" w:cs="Arial" w:eastAsia="Arial" w:hAnsi="Arial"/>
          <w:sz w:val="18"/>
          <w:szCs w:val="18"/>
          <w:color w:val="auto"/>
        </w:rPr>
        <w:t>Broadly, where there is a disposal of “taxable Australian property,” which includes indirect Australian real property interests, the purchaser will be required to withhold and remit to the Australian Taxation Office, or the ATO, 12.5% of the proceeds from the sale. A transaction is excluded from the withholding requirements in certain circumstances, including where the transaction is an on-market transaction conducted on an approved stock exchange, a securities lending arrangement,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spacing w:after="0" w:line="35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on Sales or other Dispositions of ADSs—Revenue Account</w:t>
      </w:r>
    </w:p>
    <w:p>
      <w:pPr>
        <w:spacing w:after="0" w:line="117"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Non-Australian Holders who hold their ADSs on revenue account may have the gains made on the sale or other disposal of the ADSs included in their assessable income under the ordinary income provisions of the income tax law, if the gains are sourced in Australia. In the case of gains which are ordinary income, there are no express provisions which treat holders of ADSs as the owners of the underlying shares where they are absolutely entitled to those shares.</w:t>
      </w:r>
    </w:p>
    <w:p>
      <w:pPr>
        <w:spacing w:after="0" w:line="80"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Non-Australian Holders assessable under these ordinary income provisions in respect of gains made on ADSs held on revenue account would be assessed for such gains at the Australian tax rates for non-Australian residents, which start at a marginal rate of 32.5% for individuals and would be required to file an Australian tax return. Some relief from Australian income tax may be available to a Non-Australian Holder who is resident of a country with which Australia has a double taxation treaty, qualifies for the benefits of the treaty and does not, for example, derive the gain in carrying on business through a permanent establishment (or similar taxable nexus) in Australia.</w:t>
      </w:r>
    </w:p>
    <w:p>
      <w:pPr>
        <w:spacing w:after="0" w:line="56"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To the extent an amount would be included in a Non-Australian Holder’s assessable income under both the capital gains tax provisions and the ordinary income provisions, the capital gain amount may be reduced, so that the holder may not be subject to double Australian tax on any part of the gain.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The statements under “—Tax on Sales or Other Dispositions of Shares—Capital Gains Tax” regarding a purchaser being required to withhold 12.5% tax on the acquisition of certain taxable Australian property are also relevant where the disposal of the ADSs by a Non-Australian Holder is likely to generate gains on revenue account, rather than a capital gain.</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Dual Residency</w:t>
      </w:r>
    </w:p>
    <w:p>
      <w:pPr>
        <w:spacing w:after="0" w:line="117"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If a holder of ADSs is a resident of both Australia and another jurisdiction (such as the United States) under those countries’ domestic taxation laws, that holder may be subject to tax as an Australian resident. If, however, the holder is determined to be a resident of that other jurisdiction for the purposes of the applicable double tax treaty (for example the Double Taxation Convention between the United States and Australia and qualifies for the benefit of that treaty, the Australian tax may be subject to limitation by that double tax treaty. Holders should obtain specialist taxation advice in these circumstances.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Stamp Duty</w:t>
      </w:r>
    </w:p>
    <w:p>
      <w:pPr>
        <w:spacing w:after="0" w:line="117" w:lineRule="exact"/>
        <w:rPr>
          <w:sz w:val="20"/>
          <w:szCs w:val="20"/>
          <w:color w:val="auto"/>
        </w:rPr>
      </w:pPr>
    </w:p>
    <w:p>
      <w:pPr>
        <w:jc w:val="both"/>
        <w:ind w:left="300" w:right="459" w:firstLine="360"/>
        <w:spacing w:after="0" w:line="263" w:lineRule="auto"/>
        <w:rPr>
          <w:sz w:val="20"/>
          <w:szCs w:val="20"/>
          <w:color w:val="auto"/>
        </w:rPr>
      </w:pPr>
      <w:r>
        <w:rPr>
          <w:rFonts w:ascii="Arial" w:cs="Arial" w:eastAsia="Arial" w:hAnsi="Arial"/>
          <w:sz w:val="18"/>
          <w:szCs w:val="18"/>
          <w:color w:val="auto"/>
        </w:rPr>
        <w:t>No Australian stamp duty is payable by Australian residents or non-Australian residents on the issue, transfer and/or surrender of the ADSs or ordinary shares, provided that the securities issued, transferred and/or surrendered do not represent 90% or more of our issued shares.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Australian Death Duty</w:t>
      </w:r>
    </w:p>
    <w:p>
      <w:pPr>
        <w:spacing w:after="0" w:line="117" w:lineRule="exact"/>
        <w:rPr>
          <w:sz w:val="20"/>
          <w:szCs w:val="20"/>
          <w:color w:val="auto"/>
        </w:rPr>
      </w:pPr>
    </w:p>
    <w:p>
      <w:pPr>
        <w:jc w:val="both"/>
        <w:ind w:left="300" w:right="499" w:firstLine="360"/>
        <w:spacing w:after="0" w:line="311" w:lineRule="auto"/>
        <w:rPr>
          <w:sz w:val="20"/>
          <w:szCs w:val="20"/>
          <w:color w:val="auto"/>
        </w:rPr>
      </w:pPr>
      <w:r>
        <w:rPr>
          <w:rFonts w:ascii="Arial" w:cs="Arial" w:eastAsia="Arial" w:hAnsi="Arial"/>
          <w:sz w:val="16"/>
          <w:szCs w:val="16"/>
          <w:color w:val="auto"/>
        </w:rPr>
        <w:t>Australia does not have estate or death duties. As a general rule, no capital gains tax liability is realized upon the inheritance of a deceased person’s shares. The disposal of inherited shares by beneficiaries may, however, give rise to a capital gains tax liability if the gain falls within the scope of Australia’s jurisdiction to tax.</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Goods and Services Tax</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Australian goods and services tax will be payable on the supply of the ADSs or ordinary shares.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DISCUSSION ABOVE IS A SUMMARY OF THE AUSTRALIAN TAX CONSEQUENCES OF AN INVESTMENT IN OUR ORDINARY SHARES OR ADSs AND IS BASED UPON LAWS AND RELEVANT INTERPRETATIONS THEREOF IN EFFECT AS OF THE DATE OF THIS REGISTRATION STATEMENT, ALL OF WHICH ARE SUBJECT TO CHANGE, POSSIBLY WITH RETROACTIVE EFFECT. EACH PROSPECTIVE INVESTOR IS URGED TO CONSULT ITS OWN TAX ADVISOR ABOUT THE TAX CONSEQUENCES TO IT OF AN INVESTMENT IN OUR ORDINARY SHARES OR ADSs IN LIGHT OF THE INVESTOR’S OWN CIRCUMSTANCES</w:t>
      </w:r>
    </w:p>
    <w:p>
      <w:pPr>
        <w:spacing w:after="0" w:line="191" w:lineRule="exact"/>
        <w:rPr>
          <w:sz w:val="20"/>
          <w:szCs w:val="20"/>
          <w:color w:val="auto"/>
        </w:rPr>
      </w:pPr>
    </w:p>
    <w:p>
      <w:pPr>
        <w:ind w:left="640" w:hanging="348"/>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We have not declared any dividends since our inception and do not anticipate that we will do so in the foreseeable future. We currently intend to retain future earnings, if any, to finance the development of our business. Dividends, if any, on our outstanding ordinary shares will be declared by and subject to the discretion of our Board of Directors on the basis of our earnings, financial requirements and other relevant factors, and subject to Australian law.</w:t>
      </w:r>
    </w:p>
    <w:p>
      <w:pPr>
        <w:spacing w:after="0" w:line="80"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Any dividend we declare will be paid to the holders of ADSs, subject to the terms of the deposit agreement, to the same extent as holders of our ordinary shares, to the extent permitted by applicable law and regulations, less the fees and expenses payable under the deposit agreement. Any dividend we declare will be distributed by the depositary to the holders of our ADSs, subject to the terms of the deposit agreement. See “Description of Securities Other Than Equity Securities - American Depositary Shares”.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appointed any paying agent.</w:t>
      </w:r>
    </w:p>
    <w:p>
      <w:pPr>
        <w:spacing w:after="0" w:line="2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Statement by Experts</w:t>
      </w:r>
    </w:p>
    <w:p>
      <w:pPr>
        <w:spacing w:after="0" w:line="121" w:lineRule="exact"/>
        <w:rPr>
          <w:sz w:val="20"/>
          <w:szCs w:val="20"/>
          <w:color w:val="auto"/>
        </w:rPr>
      </w:pPr>
    </w:p>
    <w:p>
      <w:pPr>
        <w:ind w:left="300" w:right="419" w:firstLine="360"/>
        <w:spacing w:after="0" w:line="296" w:lineRule="auto"/>
        <w:rPr>
          <w:sz w:val="20"/>
          <w:szCs w:val="20"/>
          <w:color w:val="auto"/>
        </w:rPr>
      </w:pPr>
      <w:r>
        <w:rPr>
          <w:rFonts w:ascii="Arial" w:cs="Arial" w:eastAsia="Arial" w:hAnsi="Arial"/>
          <w:sz w:val="16"/>
          <w:szCs w:val="16"/>
          <w:color w:val="auto"/>
        </w:rPr>
        <w:t>The consolidated financial statements of the Company as of June 30, 2021 and 2020 and for each of the three years in the period ended June 30, 2021 included in this Form 20-F have been so included in reliance on the report (which contains an explanatory paragraph relating to the Company’s ability to continue as a going concern as described in Note 1 to the consolidated financial statements) of PricewaterhouseCoopers, an independent registered public accounting firm, given on the authority of said firm as experts in auditing and accounting.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5"/>
          <w:szCs w:val="15"/>
          <w:b w:val="1"/>
          <w:bCs w:val="1"/>
          <w:color w:val="auto"/>
        </w:rPr>
        <w:t>Documents on Display</w:t>
      </w:r>
    </w:p>
    <w:p>
      <w:pPr>
        <w:spacing w:after="0" w:line="121"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6"/>
          <w:szCs w:val="16"/>
          <w:color w:val="auto"/>
        </w:rPr>
        <w:t>Upon effectiveness of this registration statement, we will be subject to the periodic reporting and other informational requirements of the Securities Exchange Act of 1934, as amended (the “Exchange Act”). Under the Exchange Act, we are required to file reports and other information with the SEC. Specifically, we are required to file annually a Form 20-F within 120 days of each fiscal year. Copies of reports and other information, when so filed, may be inspected without charge and may be obtained at prescribed rates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66"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In addition, since our ordinary shares are traded on the ASX, we have file annual and semi-annual reports with, and furnish information to, the ASX, as required under the ASX Listing Rules and the Corporations Act. Copies of our filings with the ASX can be retrieved electronically at www.asx.com.au We also maintain a web site at www.novonixgroup.com. The information contained on our website or available through our website is not incorporated by reference into and should not be considered a part of this registration statement on Form 20-F, and the reference to our website in this registration statement on Form 20-F is an inactive textual reference only.</w:t>
      </w:r>
    </w:p>
    <w:p>
      <w:pPr>
        <w:spacing w:after="0" w:line="160" w:lineRule="exact"/>
        <w:rPr>
          <w:sz w:val="20"/>
          <w:szCs w:val="20"/>
          <w:color w:val="auto"/>
        </w:rPr>
      </w:pPr>
    </w:p>
    <w:p>
      <w:pPr>
        <w:ind w:left="660" w:right="6559" w:hanging="368"/>
        <w:spacing w:after="0" w:line="513" w:lineRule="auto"/>
        <w:tabs>
          <w:tab w:leader="none" w:pos="651"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left="300" w:right="479" w:firstLine="360"/>
        <w:spacing w:after="0" w:line="311" w:lineRule="auto"/>
        <w:rPr>
          <w:sz w:val="20"/>
          <w:szCs w:val="20"/>
          <w:color w:val="auto"/>
        </w:rPr>
      </w:pPr>
      <w:r>
        <w:rPr>
          <w:rFonts w:ascii="Arial" w:cs="Arial" w:eastAsia="Arial" w:hAnsi="Arial"/>
          <w:sz w:val="16"/>
          <w:szCs w:val="16"/>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 risk.</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00" w:right="299" w:firstLine="360"/>
        <w:spacing w:after="0" w:line="296" w:lineRule="auto"/>
        <w:rPr>
          <w:sz w:val="20"/>
          <w:szCs w:val="20"/>
          <w:color w:val="auto"/>
        </w:rPr>
      </w:pPr>
      <w:r>
        <w:rPr>
          <w:rFonts w:ascii="Arial" w:cs="Arial" w:eastAsia="Arial" w:hAnsi="Arial"/>
          <w:sz w:val="16"/>
          <w:szCs w:val="16"/>
          <w:color w:val="auto"/>
        </w:rPr>
        <w:t>As of June 30, 2021, we had cash and cash equivalents of A$136,663,976. Our exposure to market interest rates relates primarily to the short-term deposits. The deposits are held with one of Australia’s largest banks. Our cash and cash equivalents are not locked into long-term deposits at fixed rates so as to mitigate the risk of earning interest below the current floating rate. The Group has exposure to borrowings at variable interest rates. As of June 30, 2021, we had borrowings of A$6,263,625, of which A$5,407,932 bore variable interest rates.</w:t>
      </w:r>
    </w:p>
    <w:p>
      <w:pPr>
        <w:spacing w:after="0" w:line="53"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As of June 30, 2020, we had cash and cash equivalents of A$38,807,662. Our exposure to market interest rates relates primarily to the short-term deposits. The deposits are held with one of Australia’s largest banks. Our cash and cash equivalents are not locked into long-term deposits at fixed rates so as to mitigate the risk of earning interest below the current floating rate. The Group has exposure to borrowings at variable interest rates. As of June 30, 2020, we had borrowings of A$2,212,011, of which A$1,271,109 bore variable interest rates.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Our reporting currency is the Australian dollar, although nearly all of our revenue is, and is expected in the future to be, collected in U.S. dollars, most of the operating expenses associated with our BTS business are payable in Canadian dollars and most of the operating expenses associated with our NOVONIX Anode Materials business are payable in U.S. dollars. As a result, our financial assets and liabilities and foreign currency denominated transactions are affected by movements in the applicable exchange rate. As our NOVONIX Anode Materials business grows outside of North America it is possible that it transacts in, or is otherwise exposed to, additional currencies in the future. As of the date of this registration statement, we do not, and we do not have any current expectation to, enter into any hedging transactions.</w:t>
      </w:r>
    </w:p>
    <w:p>
      <w:pPr>
        <w:spacing w:after="0" w:line="70" w:lineRule="exact"/>
        <w:rPr>
          <w:sz w:val="20"/>
          <w:szCs w:val="20"/>
          <w:color w:val="auto"/>
        </w:rPr>
      </w:pPr>
    </w:p>
    <w:p>
      <w:pPr>
        <w:ind w:left="300" w:right="459" w:firstLine="360"/>
        <w:spacing w:after="0" w:line="311" w:lineRule="auto"/>
        <w:rPr>
          <w:sz w:val="20"/>
          <w:szCs w:val="20"/>
          <w:color w:val="auto"/>
        </w:rPr>
      </w:pPr>
      <w:r>
        <w:rPr>
          <w:rFonts w:ascii="Arial" w:cs="Arial" w:eastAsia="Arial" w:hAnsi="Arial"/>
          <w:sz w:val="16"/>
          <w:szCs w:val="16"/>
          <w:color w:val="auto"/>
        </w:rPr>
        <w:t>As of June 30, 2020, and June 30, 2021, we had a net liability exposure of A$1.8 million and a net liability exposure of A$6.1 million, respectively, to the Canadian dollar, and net asset exposure of A$16.8 million and a net asset exposure of A$71.0 million, respectively, to the U.S. dollar, in both cases primarily in borrowings and cash.</w:t>
      </w:r>
    </w:p>
    <w:p>
      <w:pPr>
        <w:spacing w:after="0" w:line="145"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17" w:lineRule="exact"/>
        <w:rPr>
          <w:sz w:val="20"/>
          <w:szCs w:val="20"/>
          <w:color w:val="auto"/>
        </w:rPr>
      </w:pPr>
    </w:p>
    <w:p>
      <w:pPr>
        <w:jc w:val="both"/>
        <w:ind w:left="660" w:right="7219" w:hanging="368"/>
        <w:spacing w:after="0" w:line="535" w:lineRule="auto"/>
        <w:tabs>
          <w:tab w:leader="none" w:pos="651"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ind w:left="660" w:right="6759" w:hanging="368"/>
        <w:spacing w:after="0" w:line="501" w:lineRule="auto"/>
        <w:tabs>
          <w:tab w:leader="none" w:pos="651"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right="7079" w:hanging="368"/>
        <w:spacing w:after="0" w:line="510" w:lineRule="auto"/>
        <w:tabs>
          <w:tab w:leader="none" w:pos="651"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40" w:hanging="348"/>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940" w:hanging="288"/>
        <w:spacing w:after="0"/>
        <w:tabs>
          <w:tab w:leader="none" w:pos="9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has agreed to act as the depositary for the American Depositary Shares. The depositary’s offices are</w:t>
      </w:r>
    </w:p>
    <w:p>
      <w:pPr>
        <w:spacing w:after="0" w:line="35" w:lineRule="exact"/>
        <w:rPr>
          <w:sz w:val="20"/>
          <w:szCs w:val="20"/>
          <w:color w:val="auto"/>
        </w:rPr>
      </w:pPr>
    </w:p>
    <w:p>
      <w:pPr>
        <w:ind w:left="300" w:right="719"/>
        <w:spacing w:after="0" w:line="273" w:lineRule="auto"/>
        <w:rPr>
          <w:sz w:val="20"/>
          <w:szCs w:val="20"/>
          <w:color w:val="auto"/>
        </w:rPr>
      </w:pPr>
      <w:r>
        <w:rPr>
          <w:rFonts w:ascii="Arial" w:cs="Arial" w:eastAsia="Arial" w:hAnsi="Arial"/>
          <w:sz w:val="17"/>
          <w:szCs w:val="17"/>
          <w:color w:val="auto"/>
        </w:rPr>
        <w:t>located at [ ].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 ].</w:t>
      </w:r>
    </w:p>
    <w:p>
      <w:pPr>
        <w:spacing w:after="0" w:line="68" w:lineRule="exact"/>
        <w:rPr>
          <w:sz w:val="20"/>
          <w:szCs w:val="20"/>
          <w:color w:val="auto"/>
        </w:rPr>
      </w:pPr>
    </w:p>
    <w:p>
      <w:pPr>
        <w:jc w:val="both"/>
        <w:ind w:left="300" w:right="399" w:firstLine="352"/>
        <w:spacing w:after="0" w:line="263" w:lineRule="auto"/>
        <w:tabs>
          <w:tab w:leader="none" w:pos="94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as depositary, will issue the ADSs. Each ADS will represent one ordinary share (or a right to receive one ordinary share) deposited with [ ], as custodian for the depositary in Australia. Each ADS will also represent any other securities, cash or other property which may be held by the depositary.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79" w:firstLine="360"/>
        <w:spacing w:after="0" w:line="286" w:lineRule="auto"/>
        <w:rPr>
          <w:sz w:val="20"/>
          <w:szCs w:val="20"/>
          <w:color w:val="auto"/>
        </w:rPr>
      </w:pPr>
      <w:r>
        <w:rPr>
          <w:rFonts w:ascii="Arial" w:cs="Arial" w:eastAsia="Arial" w:hAnsi="Arial"/>
          <w:sz w:val="17"/>
          <w:szCs w:val="17"/>
          <w:color w:val="auto"/>
        </w:rPr>
        <w:t>The Direct Registration System, or DRS, is a system administered by The Depository Trust Company, or DTC, pursuant to which the depositary may register the ownership of uncertificated ADSs, which ownership is confirmed by periodic statements sent by the depositary to the registered holders of uncertificated ADSs.</w:t>
      </w:r>
    </w:p>
    <w:p>
      <w:pPr>
        <w:spacing w:after="0" w:line="5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70"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Each ADS represents the right to receive, and to exercise the beneficial ownership interests in,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84"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Australia, which may be different from the laws in the United States.</w:t>
      </w:r>
    </w:p>
    <w:p>
      <w:pPr>
        <w:spacing w:after="0" w:line="56"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68"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i w:val="1"/>
          <w:iCs w:val="1"/>
          <w:color w:val="auto"/>
        </w:rPr>
        <w:t>As an ADS holder, we will not treat you as one of our shareholders and you will not have shareholder rights. Australian law governs shareholder rights. The depositary will be the holder of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70"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69" w:lineRule="auto"/>
        <w:rPr>
          <w:sz w:val="20"/>
          <w:szCs w:val="20"/>
          <w:color w:val="auto"/>
        </w:rPr>
      </w:pPr>
      <w:r>
        <w:rPr>
          <w:rFonts w:ascii="Arial" w:cs="Arial" w:eastAsia="Arial" w:hAnsi="Arial"/>
          <w:sz w:val="17"/>
          <w:szCs w:val="17"/>
          <w:color w:val="auto"/>
        </w:rPr>
        <w:t>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74"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of Cash</w:t>
      </w:r>
    </w:p>
    <w:p>
      <w:pPr>
        <w:spacing w:after="0" w:line="121" w:lineRule="exact"/>
        <w:rPr>
          <w:sz w:val="20"/>
          <w:szCs w:val="20"/>
          <w:color w:val="auto"/>
        </w:rPr>
      </w:pPr>
    </w:p>
    <w:p>
      <w:pPr>
        <w:jc w:val="both"/>
        <w:ind w:left="300" w:right="719" w:firstLine="360"/>
        <w:spacing w:after="0" w:line="30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Australian laws and regulations.</w:t>
      </w:r>
    </w:p>
    <w:p>
      <w:pPr>
        <w:spacing w:after="0" w:line="49"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7"/>
          <w:szCs w:val="17"/>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57"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The distribution of cash will be made net of the applicable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of Shares</w:t>
      </w:r>
    </w:p>
    <w:p>
      <w:pPr>
        <w:spacing w:after="0" w:line="121"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56"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The distribution of new ADSs or the modification of the ADS-to-ordinary share ratio upon a distribution of ordinary shares will be made net of the applicable fees, expenses, taxes and governmental charges payable by holders under the terms of the deposit agreement. In order to pay such taxes or governmental charges, the depositary may sell all or a portion of the new ordinary shares so distributed.</w:t>
      </w:r>
    </w:p>
    <w:p>
      <w:pPr>
        <w:spacing w:after="0" w:line="79" w:lineRule="exact"/>
        <w:rPr>
          <w:sz w:val="20"/>
          <w:szCs w:val="20"/>
          <w:color w:val="auto"/>
        </w:rPr>
      </w:pPr>
    </w:p>
    <w:p>
      <w:pPr>
        <w:ind w:left="300" w:right="459" w:firstLine="360"/>
        <w:spacing w:after="0" w:line="308" w:lineRule="auto"/>
        <w:rPr>
          <w:sz w:val="20"/>
          <w:szCs w:val="20"/>
          <w:color w:val="auto"/>
        </w:rPr>
      </w:pPr>
      <w:r>
        <w:rPr>
          <w:rFonts w:ascii="Arial" w:cs="Arial" w:eastAsia="Arial" w:hAnsi="Arial"/>
          <w:sz w:val="17"/>
          <w:szCs w:val="17"/>
          <w:color w:val="auto"/>
        </w:rPr>
        <w:t>No such distribution of new ADSs will be made if it would violate a law (e.g., the U.S. securities laws) or if it is not operationally practicable. If the depositary does not distribute new ADSs as described above, it may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sell the ordinary shares received upon the terms described in the deposit agreement and will distribute the proceeds of the sale as in the case of a distribution of cash.</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of Rights</w:t>
      </w:r>
    </w:p>
    <w:p>
      <w:pPr>
        <w:spacing w:after="0" w:line="121"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w:t>
      </w:r>
    </w:p>
    <w:p>
      <w:pPr>
        <w:spacing w:after="0" w:line="76"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depositary will not distribute the rights to you if:</w:t>
      </w:r>
    </w:p>
    <w:p>
      <w:pPr>
        <w:spacing w:after="0" w:line="117" w:lineRule="exact"/>
        <w:rPr>
          <w:sz w:val="20"/>
          <w:szCs w:val="20"/>
          <w:color w:val="auto"/>
        </w:rPr>
      </w:pPr>
    </w:p>
    <w:p>
      <w:pPr>
        <w:ind w:left="1000" w:right="1119" w:hanging="348"/>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17"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Elective Distributions</w:t>
      </w:r>
    </w:p>
    <w:p>
      <w:pPr>
        <w:spacing w:after="0" w:line="121"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79"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79"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Australia would receive upon failing to make an election, as more fully described in the deposit agreement.</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Distributions</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Whenever we intend to distribute property other than cash, ordinary shares or rights to subscribe for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79"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76" w:lineRule="exact"/>
        <w:rPr>
          <w:sz w:val="20"/>
          <w:szCs w:val="20"/>
          <w:color w:val="auto"/>
        </w:rPr>
      </w:pPr>
    </w:p>
    <w:p>
      <w:pPr>
        <w:ind w:left="300" w:right="699" w:firstLine="360"/>
        <w:spacing w:after="0" w:line="263" w:lineRule="auto"/>
        <w:rPr>
          <w:sz w:val="20"/>
          <w:szCs w:val="20"/>
          <w:color w:val="auto"/>
        </w:rPr>
      </w:pPr>
      <w:r>
        <w:rPr>
          <w:rFonts w:ascii="Arial" w:cs="Arial" w:eastAsia="Arial" w:hAnsi="Arial"/>
          <w:sz w:val="18"/>
          <w:szCs w:val="18"/>
          <w:color w:val="auto"/>
        </w:rPr>
        <w:t>The distribution will be made net of applicable fees, expenses, taxes and governmental charges payable by holders under the terms of the deposit agreement. In order to pay such taxes and governmental charges, the depositary may sell all or a portion of the property received.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depositary will not distribute the property to you and will sell the property if:</w:t>
      </w:r>
    </w:p>
    <w:p>
      <w:pPr>
        <w:spacing w:after="0" w:line="63" w:lineRule="exact"/>
        <w:rPr>
          <w:sz w:val="20"/>
          <w:szCs w:val="20"/>
          <w:color w:val="auto"/>
        </w:rPr>
      </w:pPr>
    </w:p>
    <w:p>
      <w:pPr>
        <w:ind w:left="1000" w:right="1059" w:hanging="348"/>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8" w:lineRule="exact"/>
        <w:rPr>
          <w:rFonts w:ascii="Arial" w:cs="Arial" w:eastAsia="Arial" w:hAnsi="Arial"/>
          <w:sz w:val="18"/>
          <w:szCs w:val="18"/>
          <w:color w:val="auto"/>
        </w:rPr>
      </w:pPr>
    </w:p>
    <w:p>
      <w:pPr>
        <w:ind w:left="1000"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depositary determines that all or a portion of the distribution to you is not reasonably practicable.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300" w:right="659" w:firstLine="360"/>
        <w:spacing w:after="0" w:line="263"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76"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The custodian will be instructed to surrender the ordinary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split-up, cancellation, consolidation or any other reclassification of such ordinary shares or a recapitalization, reorganization, merger, consolidation or sale of assets of the Company.</w:t>
      </w:r>
    </w:p>
    <w:p>
      <w:pPr>
        <w:spacing w:after="0" w:line="76"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Australian legal considerations applicable at the time of deposit.</w:t>
      </w:r>
    </w:p>
    <w:p>
      <w:pPr>
        <w:spacing w:after="0" w:line="80"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76"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8" w:lineRule="exact"/>
        <w:rPr>
          <w:sz w:val="20"/>
          <w:szCs w:val="20"/>
          <w:color w:val="auto"/>
        </w:rPr>
      </w:pPr>
    </w:p>
    <w:p>
      <w:pPr>
        <w:ind w:left="1000" w:hanging="348"/>
        <w:spacing w:after="0"/>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ordinary shares are duly authorized, validly issued, fully paid, non-assessable and legally obtained.</w:t>
      </w:r>
    </w:p>
    <w:p>
      <w:pPr>
        <w:spacing w:after="0" w:line="86" w:lineRule="exact"/>
        <w:rPr>
          <w:rFonts w:ascii="Arial" w:cs="Arial" w:eastAsia="Arial" w:hAnsi="Arial"/>
          <w:sz w:val="16"/>
          <w:szCs w:val="16"/>
          <w:color w:val="auto"/>
        </w:rPr>
      </w:pPr>
    </w:p>
    <w:p>
      <w:pPr>
        <w:ind w:left="1000" w:right="45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8"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63" w:lineRule="exact"/>
        <w:rPr>
          <w:rFonts w:ascii="Arial" w:cs="Arial" w:eastAsia="Arial" w:hAnsi="Arial"/>
          <w:sz w:val="18"/>
          <w:szCs w:val="18"/>
          <w:color w:val="auto"/>
        </w:rPr>
      </w:pPr>
    </w:p>
    <w:p>
      <w:pPr>
        <w:ind w:left="1000" w:right="599" w:hanging="348"/>
        <w:spacing w:after="0" w:line="263"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308" w:lineRule="auto"/>
        <w:rPr>
          <w:sz w:val="20"/>
          <w:szCs w:val="20"/>
          <w:color w:val="auto"/>
        </w:rPr>
      </w:pPr>
      <w:r>
        <w:rPr>
          <w:rFonts w:ascii="Arial" w:cs="Arial" w:eastAsia="Arial" w:hAnsi="Arial"/>
          <w:sz w:val="17"/>
          <w:szCs w:val="17"/>
          <w:color w:val="auto"/>
        </w:rPr>
        <w:t>If any of the representations or warranties are incorrect in any way, we and the depositary may, at your cost and expense, take any and all actions necessary to correct the consequences of the misrepresentations.</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jc w:val="both"/>
        <w:ind w:left="300" w:right="599" w:firstLine="360"/>
        <w:spacing w:after="0" w:line="263"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6" w:lineRule="exact"/>
        <w:rPr>
          <w:sz w:val="20"/>
          <w:szCs w:val="20"/>
          <w:color w:val="auto"/>
        </w:rPr>
      </w:pPr>
    </w:p>
    <w:p>
      <w:pPr>
        <w:ind w:left="1000" w:hanging="348"/>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provide such proof of identity and genuineness of signatures as the depositary deems appropriate;</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17"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62" w:lineRule="exact"/>
        <w:rPr>
          <w:sz w:val="20"/>
          <w:szCs w:val="20"/>
          <w:color w:val="auto"/>
        </w:rPr>
      </w:pPr>
    </w:p>
    <w:p>
      <w:pPr>
        <w:ind w:left="300" w:right="499" w:firstLine="360"/>
        <w:spacing w:after="0" w:line="311" w:lineRule="auto"/>
        <w:rPr>
          <w:sz w:val="20"/>
          <w:szCs w:val="20"/>
          <w:color w:val="auto"/>
        </w:rPr>
      </w:pPr>
      <w:r>
        <w:rPr>
          <w:rFonts w:ascii="Arial" w:cs="Arial" w:eastAsia="Arial" w:hAnsi="Arial"/>
          <w:sz w:val="16"/>
          <w:szCs w:val="16"/>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Australian law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69"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17" w:lineRule="exact"/>
        <w:rPr>
          <w:sz w:val="20"/>
          <w:szCs w:val="20"/>
          <w:color w:val="auto"/>
        </w:rPr>
      </w:pPr>
    </w:p>
    <w:p>
      <w:pPr>
        <w:ind w:left="1000" w:right="359" w:hanging="348"/>
        <w:spacing w:after="0" w:line="342" w:lineRule="auto"/>
        <w:tabs>
          <w:tab w:leader="none" w:pos="10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Temporary delays that may arise because (i) the transfer books for the ordinary shares or ADSs are closed, or (ii) ordinary shares are immobilized on account of a shareholders’ meeting or a payment of dividends.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62"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Capital—Voting Rights”.</w:t>
      </w:r>
    </w:p>
    <w:p>
      <w:pPr>
        <w:spacing w:after="0" w:line="76" w:lineRule="exact"/>
        <w:rPr>
          <w:sz w:val="20"/>
          <w:szCs w:val="20"/>
          <w:color w:val="auto"/>
        </w:rPr>
      </w:pPr>
    </w:p>
    <w:p>
      <w:pPr>
        <w:ind w:left="300" w:right="659" w:firstLine="360"/>
        <w:spacing w:after="0" w:line="259"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in accordance with such voting instructions as follows:</w:t>
      </w:r>
    </w:p>
    <w:p>
      <w:pPr>
        <w:spacing w:after="0" w:line="76" w:lineRule="exact"/>
        <w:rPr>
          <w:sz w:val="20"/>
          <w:szCs w:val="20"/>
          <w:color w:val="auto"/>
        </w:rPr>
      </w:pPr>
    </w:p>
    <w:p>
      <w:pPr>
        <w:ind w:left="1000" w:right="679" w:hanging="348"/>
        <w:spacing w:after="0" w:line="286" w:lineRule="auto"/>
        <w:tabs>
          <w:tab w:leader="none" w:pos="100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In the event of voting by show of hands</w:t>
      </w:r>
      <w:r>
        <w:rPr>
          <w:rFonts w:ascii="Arial" w:cs="Arial" w:eastAsia="Arial" w:hAnsi="Arial"/>
          <w:sz w:val="17"/>
          <w:szCs w:val="17"/>
          <w:color w:val="auto"/>
        </w:rPr>
        <w:t>, the depositary will vote (or cause the custodian to vote) all</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held on deposit at that time in accordance with the voting instructions received from a majority of holders of ADSs who provide timely voting instructions.</w:t>
      </w:r>
    </w:p>
    <w:p>
      <w:pPr>
        <w:spacing w:after="0" w:line="57" w:lineRule="exact"/>
        <w:rPr>
          <w:rFonts w:ascii="Arial" w:cs="Arial" w:eastAsia="Arial" w:hAnsi="Arial"/>
          <w:sz w:val="17"/>
          <w:szCs w:val="17"/>
          <w:color w:val="auto"/>
        </w:rPr>
      </w:pPr>
    </w:p>
    <w:p>
      <w:pPr>
        <w:ind w:left="1000" w:right="419" w:hanging="348"/>
        <w:spacing w:after="0" w:line="308" w:lineRule="auto"/>
        <w:tabs>
          <w:tab w:leader="none" w:pos="100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In the event of voting by poll</w:t>
      </w:r>
      <w:r>
        <w:rPr>
          <w:rFonts w:ascii="Arial" w:cs="Arial" w:eastAsia="Arial" w:hAnsi="Arial"/>
          <w:sz w:val="17"/>
          <w:szCs w:val="17"/>
          <w:color w:val="auto"/>
        </w:rPr>
        <w:t>, the depositary will vote (or cause the Custodian to vote) the ordinary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held on deposit in accordance with the voting instructions received from the holders of ADSs.</w:t>
      </w:r>
    </w:p>
    <w:p>
      <w:pPr>
        <w:spacing w:after="0" w:line="38"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Securities for which no voting instructions have been received will not be voted except as otherwise contemplated in the deposit agreement and as follows: if voting is by poll and the depositary does not receive voting instructions from a holder of ADSs, such holder shall be deemed, and the depositary shall deem such holder, to have instructed the depositary to give a discretionary proxy to a person designated by us to vote the securities; provided, however, that no such discretionary proxy shall be given by the depositary with respect to any matter to be voted upon as to which we inform the depositary that (a) the Company does not wish such proxy to be given, (b) substantial opposition exists, or (c) the rights of holders of deposited securities may be adversely affected.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Fees and Charges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an ADS holder, you will be required to pay the following fees under the terms of the deposit agreement:</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gridSpan w:val="2"/>
          </w:tcPr>
          <w:p>
            <w:pPr>
              <w:ind w:left="2420"/>
              <w:spacing w:after="0"/>
              <w:rPr>
                <w:sz w:val="20"/>
                <w:szCs w:val="20"/>
                <w:color w:val="auto"/>
              </w:rPr>
            </w:pPr>
            <w:r>
              <w:rPr>
                <w:rFonts w:ascii="Arial" w:cs="Arial" w:eastAsia="Arial" w:hAnsi="Arial"/>
                <w:sz w:val="14"/>
                <w:szCs w:val="14"/>
                <w:b w:val="1"/>
                <w:bCs w:val="1"/>
                <w:color w:val="auto"/>
              </w:rPr>
              <w:t>Service</w:t>
            </w:r>
          </w:p>
        </w:tc>
        <w:tc>
          <w:tcPr>
            <w:tcW w:w="2380" w:type="dxa"/>
            <w:vAlign w:val="bottom"/>
          </w:tcPr>
          <w:p>
            <w:pPr>
              <w:ind w:left="106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39"/>
        </w:trPr>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40" w:type="dxa"/>
            <w:vAlign w:val="bottom"/>
            <w:vMerge w:val="continue"/>
          </w:tcPr>
          <w:p>
            <w:pPr>
              <w:spacing w:after="0"/>
              <w:rPr>
                <w:sz w:val="21"/>
                <w:szCs w:val="21"/>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color w:val="auto"/>
                <w:w w:val="98"/>
              </w:rPr>
              <w:t>Issuance of ADSs (e.g., an issuance of ADS upon a deposit of ordinary</w:t>
            </w:r>
          </w:p>
        </w:tc>
        <w:tc>
          <w:tcPr>
            <w:tcW w:w="2380" w:type="dxa"/>
            <w:vAlign w:val="bottom"/>
          </w:tcPr>
          <w:p>
            <w:pPr>
              <w:spacing w:after="0"/>
              <w:rPr>
                <w:sz w:val="20"/>
                <w:szCs w:val="20"/>
                <w:color w:val="auto"/>
              </w:rPr>
            </w:pPr>
            <w:r>
              <w:rPr>
                <w:rFonts w:ascii="Arial" w:cs="Arial" w:eastAsia="Arial" w:hAnsi="Arial"/>
                <w:sz w:val="18"/>
                <w:szCs w:val="18"/>
                <w:color w:val="auto"/>
                <w:w w:val="99"/>
              </w:rPr>
              <w:t>Up to U.S. 5¢ per ADS issued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color w:val="auto"/>
                <w:w w:val="99"/>
              </w:rPr>
              <w:t>shares, upon a change in the ADS(s)-to-ordinary share ratio, or for any</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color w:val="auto"/>
              </w:rPr>
              <w:t>other reason), excluding ADS issuances as a result of distributions of</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color w:val="auto"/>
              </w:rPr>
              <w:t>ordinary shares</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164" w:lineRule="exact"/>
        <w:rPr>
          <w:sz w:val="20"/>
          <w:szCs w:val="20"/>
          <w:color w:val="auto"/>
        </w:rPr>
      </w:pPr>
    </w:p>
    <w:p>
      <w:pPr>
        <w:ind w:left="740" w:right="220" w:hanging="448"/>
        <w:spacing w:after="0" w:line="263" w:lineRule="auto"/>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Cancellation of ADSs (e.g., a cancellation of ADSs for delivery of deposited property, or upon a change in the ADS(s)-to-ordinary share ratio, or for any other reason)</w:t>
      </w:r>
    </w:p>
    <w:p>
      <w:pPr>
        <w:spacing w:after="0" w:line="345" w:lineRule="exact"/>
        <w:rPr>
          <w:rFonts w:ascii="Arial" w:cs="Arial" w:eastAsia="Arial" w:hAnsi="Arial"/>
          <w:sz w:val="18"/>
          <w:szCs w:val="18"/>
          <w:color w:val="auto"/>
        </w:rPr>
      </w:pPr>
    </w:p>
    <w:p>
      <w:pPr>
        <w:ind w:left="740" w:right="200" w:hanging="448"/>
        <w:spacing w:after="0" w:line="277" w:lineRule="auto"/>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 of cash dividends or other cash distributions (e.g., upon a sale or rights and other entitlements)</w:t>
      </w:r>
    </w:p>
    <w:p>
      <w:pPr>
        <w:spacing w:after="0" w:line="332" w:lineRule="exact"/>
        <w:rPr>
          <w:rFonts w:ascii="Arial" w:cs="Arial" w:eastAsia="Arial" w:hAnsi="Arial"/>
          <w:sz w:val="18"/>
          <w:szCs w:val="18"/>
          <w:color w:val="auto"/>
        </w:rPr>
      </w:pPr>
    </w:p>
    <w:p>
      <w:pPr>
        <w:ind w:left="740" w:right="100" w:hanging="448"/>
        <w:spacing w:after="0" w:line="342" w:lineRule="auto"/>
        <w:tabs>
          <w:tab w:leader="none" w:pos="7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Distribution of ADSs pursuant to (i) stock dividends or other free stock distributions, or (ii) an exercise of rights to purchase additional ADSs</w:t>
      </w:r>
    </w:p>
    <w:p>
      <w:pPr>
        <w:spacing w:after="0" w:line="285" w:lineRule="exact"/>
        <w:rPr>
          <w:rFonts w:ascii="Arial" w:cs="Arial" w:eastAsia="Arial" w:hAnsi="Arial"/>
          <w:sz w:val="16"/>
          <w:szCs w:val="16"/>
          <w:color w:val="auto"/>
        </w:rPr>
      </w:pPr>
    </w:p>
    <w:p>
      <w:pPr>
        <w:ind w:left="740" w:right="660" w:hanging="448"/>
        <w:spacing w:after="0" w:line="277" w:lineRule="auto"/>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 of securities other than ADSs or rights to purchase additional ADSs (e.g., upon a spin-off)</w:t>
      </w:r>
    </w:p>
    <w:p>
      <w:pPr>
        <w:spacing w:after="0" w:line="332" w:lineRule="exact"/>
        <w:rPr>
          <w:rFonts w:ascii="Arial" w:cs="Arial" w:eastAsia="Arial" w:hAnsi="Arial"/>
          <w:sz w:val="18"/>
          <w:szCs w:val="18"/>
          <w:color w:val="auto"/>
        </w:rPr>
      </w:pPr>
    </w:p>
    <w:p>
      <w:pPr>
        <w:ind w:left="740" w:hanging="44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ADS Services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740" w:right="20" w:hanging="448"/>
        <w:spacing w:after="0" w:line="263" w:lineRule="auto"/>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345" w:lineRule="exact"/>
        <w:rPr>
          <w:rFonts w:ascii="Arial" w:cs="Arial" w:eastAsia="Arial" w:hAnsi="Arial"/>
          <w:sz w:val="18"/>
          <w:szCs w:val="18"/>
          <w:color w:val="auto"/>
        </w:rPr>
      </w:pPr>
    </w:p>
    <w:p>
      <w:pPr>
        <w:ind w:left="740" w:hanging="448"/>
        <w:spacing w:after="0" w:line="301" w:lineRule="auto"/>
        <w:tabs>
          <w:tab w:leader="none" w:pos="7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999"/>
        <w:spacing w:after="0" w:line="277" w:lineRule="auto"/>
        <w:rPr>
          <w:sz w:val="20"/>
          <w:szCs w:val="20"/>
          <w:color w:val="auto"/>
        </w:rPr>
      </w:pPr>
      <w:r>
        <w:rPr>
          <w:rFonts w:ascii="Arial" w:cs="Arial" w:eastAsia="Arial" w:hAnsi="Arial"/>
          <w:sz w:val="18"/>
          <w:szCs w:val="18"/>
          <w:color w:val="auto"/>
        </w:rPr>
        <w:t>Up to U.S. 5¢ per ADS cancelled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held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held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held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19"/>
        <w:spacing w:after="0" w:line="311" w:lineRule="auto"/>
        <w:rPr>
          <w:sz w:val="20"/>
          <w:szCs w:val="20"/>
          <w:color w:val="auto"/>
        </w:rPr>
      </w:pPr>
      <w:r>
        <w:rPr>
          <w:rFonts w:ascii="Arial" w:cs="Arial" w:eastAsia="Arial" w:hAnsi="Arial"/>
          <w:sz w:val="16"/>
          <w:szCs w:val="16"/>
          <w:color w:val="auto"/>
        </w:rPr>
        <w:t>Up to U.S. 5¢ per ADS held on the applicable record date(s) established by the depositary</w:t>
      </w:r>
    </w:p>
    <w:p>
      <w:pPr>
        <w:spacing w:after="0" w:line="311" w:lineRule="exact"/>
        <w:rPr>
          <w:sz w:val="20"/>
          <w:szCs w:val="20"/>
          <w:color w:val="auto"/>
        </w:rPr>
      </w:pPr>
    </w:p>
    <w:p>
      <w:pPr>
        <w:ind w:right="999"/>
        <w:spacing w:after="0" w:line="277" w:lineRule="auto"/>
        <w:rPr>
          <w:sz w:val="20"/>
          <w:szCs w:val="20"/>
          <w:color w:val="auto"/>
        </w:rPr>
      </w:pPr>
      <w:r>
        <w:rPr>
          <w:rFonts w:ascii="Arial" w:cs="Arial" w:eastAsia="Arial" w:hAnsi="Arial"/>
          <w:sz w:val="18"/>
          <w:szCs w:val="18"/>
          <w:color w:val="auto"/>
        </w:rPr>
        <w:t>Up to U.S. 5¢ per ADS transferred</w:t>
      </w:r>
    </w:p>
    <w:p>
      <w:pPr>
        <w:spacing w:after="0" w:line="200" w:lineRule="exact"/>
        <w:rPr>
          <w:sz w:val="20"/>
          <w:szCs w:val="20"/>
          <w:color w:val="auto"/>
        </w:rPr>
      </w:pPr>
    </w:p>
    <w:p>
      <w:pPr>
        <w:spacing w:after="0" w:line="348" w:lineRule="exact"/>
        <w:rPr>
          <w:sz w:val="20"/>
          <w:szCs w:val="20"/>
          <w:color w:val="auto"/>
        </w:rPr>
      </w:pPr>
    </w:p>
    <w:p>
      <w:pPr>
        <w:ind w:right="999"/>
        <w:spacing w:after="0" w:line="277" w:lineRule="auto"/>
        <w:rPr>
          <w:sz w:val="20"/>
          <w:szCs w:val="20"/>
          <w:color w:val="auto"/>
        </w:rPr>
      </w:pPr>
      <w:r>
        <w:rPr>
          <w:rFonts w:ascii="Arial" w:cs="Arial" w:eastAsia="Arial" w:hAnsi="Arial"/>
          <w:sz w:val="18"/>
          <w:szCs w:val="18"/>
          <w:color w:val="auto"/>
        </w:rPr>
        <w:t>Up to U.S. 5¢ per ADS converted</w:t>
      </w:r>
    </w:p>
    <w:p>
      <w:pPr>
        <w:spacing w:after="0" w:line="645" w:lineRule="exact"/>
        <w:rPr>
          <w:sz w:val="20"/>
          <w:szCs w:val="20"/>
          <w:color w:val="auto"/>
        </w:rPr>
      </w:pPr>
    </w:p>
    <w:p>
      <w:pPr>
        <w:sectPr>
          <w:pgSz w:w="11900" w:h="16838" w:orient="portrait"/>
          <w:cols w:equalWidth="0" w:num="2">
            <w:col w:w="5960" w:space="380"/>
            <w:col w:w="2679"/>
          </w:cols>
          <w:pgMar w:left="1440" w:top="265" w:right="1440"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17" w:lineRule="exact"/>
        <w:rPr>
          <w:sz w:val="20"/>
          <w:szCs w:val="20"/>
          <w:color w:val="auto"/>
        </w:rPr>
      </w:pPr>
    </w:p>
    <w:p>
      <w:pPr>
        <w:ind w:left="1000" w:hanging="348"/>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17" w:lineRule="exact"/>
        <w:rPr>
          <w:rFonts w:ascii="Arial" w:cs="Arial" w:eastAsia="Arial" w:hAnsi="Arial"/>
          <w:sz w:val="18"/>
          <w:szCs w:val="18"/>
          <w:color w:val="auto"/>
        </w:rPr>
      </w:pPr>
    </w:p>
    <w:p>
      <w:pPr>
        <w:ind w:left="1000" w:right="679" w:hanging="348"/>
        <w:spacing w:after="0" w:line="311" w:lineRule="auto"/>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17" w:lineRule="exact"/>
        <w:rPr>
          <w:rFonts w:ascii="Arial" w:cs="Arial" w:eastAsia="Arial" w:hAnsi="Arial"/>
          <w:sz w:val="18"/>
          <w:szCs w:val="18"/>
          <w:color w:val="auto"/>
        </w:rPr>
      </w:pPr>
    </w:p>
    <w:p>
      <w:pPr>
        <w:ind w:left="1000" w:right="379" w:hanging="348"/>
        <w:spacing w:after="0" w:line="308"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fees, expenses, spreads, taxes and other charges of the depositary and/or service providers (which may be a division, branch or affiliate of the depositary) in the conversion of foreign currency;</w:t>
      </w:r>
    </w:p>
    <w:p>
      <w:pPr>
        <w:spacing w:after="0" w:line="38" w:lineRule="exact"/>
        <w:rPr>
          <w:rFonts w:ascii="Arial" w:cs="Arial" w:eastAsia="Arial" w:hAnsi="Arial"/>
          <w:sz w:val="17"/>
          <w:szCs w:val="17"/>
          <w:color w:val="auto"/>
        </w:rPr>
      </w:pPr>
    </w:p>
    <w:p>
      <w:pPr>
        <w:ind w:left="1000" w:right="579" w:hanging="348"/>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in connection with compliance with exchange control regulations and other regulatory requirements applicable to ordinary shares, ADSs and ADRs; and</w:t>
      </w:r>
    </w:p>
    <w:p>
      <w:pPr>
        <w:spacing w:after="0" w:line="75"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depositaryor any nominee in connection with the ADR program.</w:t>
      </w:r>
    </w:p>
    <w:p>
      <w:pPr>
        <w:spacing w:after="0" w:line="62" w:lineRule="exact"/>
        <w:rPr>
          <w:sz w:val="20"/>
          <w:szCs w:val="20"/>
          <w:color w:val="auto"/>
        </w:rPr>
      </w:pPr>
    </w:p>
    <w:p>
      <w:pPr>
        <w:ind w:left="300" w:right="319" w:firstLine="360"/>
        <w:spacing w:after="0" w:line="283"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w:t>
      </w:r>
    </w:p>
    <w:p>
      <w:pPr>
        <w:spacing w:after="0" w:line="5" w:lineRule="exact"/>
        <w:rPr>
          <w:sz w:val="20"/>
          <w:szCs w:val="20"/>
          <w:color w:val="auto"/>
        </w:rPr>
      </w:pPr>
    </w:p>
    <w:p>
      <w:pPr>
        <w:ind w:left="300" w:right="359" w:hanging="8"/>
        <w:spacing w:after="0" w:line="268" w:lineRule="auto"/>
        <w:tabs>
          <w:tab w:leader="none" w:pos="56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71"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left="300" w:right="479" w:firstLine="360"/>
        <w:spacing w:after="0" w:line="291" w:lineRule="auto"/>
        <w:rPr>
          <w:sz w:val="20"/>
          <w:szCs w:val="20"/>
          <w:color w:val="auto"/>
        </w:rPr>
      </w:pPr>
      <w:r>
        <w:rPr>
          <w:rFonts w:ascii="Arial" w:cs="Arial" w:eastAsia="Arial" w:hAnsi="Arial"/>
          <w:sz w:val="16"/>
          <w:szCs w:val="16"/>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firstLine="360"/>
        <w:spacing w:after="0" w:line="286" w:lineRule="auto"/>
        <w:rPr>
          <w:sz w:val="20"/>
          <w:szCs w:val="20"/>
          <w:color w:val="auto"/>
        </w:rPr>
      </w:pPr>
      <w:r>
        <w:rPr>
          <w:rFonts w:ascii="Arial" w:cs="Arial" w:eastAsia="Arial" w:hAnsi="Arial"/>
          <w:sz w:val="17"/>
          <w:szCs w:val="17"/>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57" w:lineRule="exact"/>
        <w:rPr>
          <w:sz w:val="20"/>
          <w:szCs w:val="20"/>
          <w:color w:val="auto"/>
        </w:rPr>
      </w:pPr>
    </w:p>
    <w:p>
      <w:pPr>
        <w:jc w:val="both"/>
        <w:ind w:left="300" w:right="439" w:firstLine="360"/>
        <w:spacing w:after="0" w:line="259"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79"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76" w:lineRule="exact"/>
        <w:rPr>
          <w:sz w:val="20"/>
          <w:szCs w:val="20"/>
          <w:color w:val="auto"/>
        </w:rPr>
      </w:pPr>
    </w:p>
    <w:p>
      <w:pPr>
        <w:ind w:left="300" w:right="799" w:firstLine="360"/>
        <w:spacing w:after="0" w:line="263"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deposit agreement limits our obligations and the depositary’s obligations to you. Please note the following:</w:t>
      </w:r>
    </w:p>
    <w:p>
      <w:pPr>
        <w:spacing w:after="0" w:line="113" w:lineRule="exact"/>
        <w:rPr>
          <w:sz w:val="20"/>
          <w:szCs w:val="20"/>
          <w:color w:val="auto"/>
        </w:rPr>
      </w:pPr>
    </w:p>
    <w:p>
      <w:pPr>
        <w:ind w:left="1000" w:right="57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1" w:lineRule="exact"/>
        <w:rPr>
          <w:rFonts w:ascii="Arial" w:cs="Arial" w:eastAsia="Arial" w:hAnsi="Arial"/>
          <w:sz w:val="18"/>
          <w:szCs w:val="18"/>
          <w:color w:val="auto"/>
        </w:rPr>
      </w:pPr>
    </w:p>
    <w:p>
      <w:pPr>
        <w:ind w:left="1000" w:right="459" w:hanging="348"/>
        <w:spacing w:after="0" w:line="263"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35" w:lineRule="exact"/>
        <w:rPr>
          <w:rFonts w:ascii="Arial" w:cs="Arial" w:eastAsia="Arial" w:hAnsi="Arial"/>
          <w:sz w:val="18"/>
          <w:szCs w:val="18"/>
          <w:color w:val="auto"/>
        </w:rPr>
      </w:pPr>
    </w:p>
    <w:p>
      <w:pPr>
        <w:ind w:left="1000" w:right="479" w:hanging="348"/>
        <w:spacing w:after="0" w:line="293" w:lineRule="auto"/>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29" w:lineRule="exact"/>
        <w:rPr>
          <w:rFonts w:ascii="Arial" w:cs="Arial" w:eastAsia="Arial" w:hAnsi="Arial"/>
          <w:sz w:val="16"/>
          <w:szCs w:val="16"/>
          <w:color w:val="auto"/>
        </w:rPr>
      </w:pPr>
    </w:p>
    <w:p>
      <w:pPr>
        <w:ind w:left="1000" w:right="59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1" w:lineRule="exact"/>
        <w:rPr>
          <w:rFonts w:ascii="Arial" w:cs="Arial" w:eastAsia="Arial" w:hAnsi="Arial"/>
          <w:sz w:val="18"/>
          <w:szCs w:val="18"/>
          <w:color w:val="auto"/>
        </w:rPr>
      </w:pPr>
    </w:p>
    <w:p>
      <w:pPr>
        <w:ind w:left="1000" w:right="319" w:hanging="348"/>
        <w:spacing w:after="0" w:line="255"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Constitution, or any provision of or governing the securities on deposit, or by reason of any act of God or war or other circumstances beyond our control.</w:t>
      </w:r>
    </w:p>
    <w:p>
      <w:pPr>
        <w:spacing w:after="0" w:line="43"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Constitution or in any provisions of or governing the securities on deposit.</w:t>
      </w:r>
    </w:p>
    <w:p>
      <w:pPr>
        <w:spacing w:after="0" w:line="48" w:lineRule="exact"/>
        <w:rPr>
          <w:rFonts w:ascii="Arial" w:cs="Arial" w:eastAsia="Arial" w:hAnsi="Arial"/>
          <w:sz w:val="18"/>
          <w:szCs w:val="18"/>
          <w:color w:val="auto"/>
        </w:rPr>
      </w:pPr>
    </w:p>
    <w:p>
      <w:pPr>
        <w:ind w:left="1000" w:right="319" w:hanging="348"/>
        <w:spacing w:after="0" w:line="259"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59" w:hanging="348"/>
        <w:spacing w:after="0" w:line="263"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48"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1"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 disclaimer of any Securities Act liability is intended by any provision of the deposit agreement.</w:t>
      </w:r>
    </w:p>
    <w:p>
      <w:pPr>
        <w:spacing w:after="0" w:line="101" w:lineRule="exact"/>
        <w:rPr>
          <w:rFonts w:ascii="Arial" w:cs="Arial" w:eastAsia="Arial" w:hAnsi="Arial"/>
          <w:sz w:val="17"/>
          <w:szCs w:val="17"/>
          <w:color w:val="auto"/>
        </w:rPr>
      </w:pPr>
    </w:p>
    <w:p>
      <w:pPr>
        <w:ind w:left="1000" w:right="679" w:hanging="348"/>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21" w:lineRule="exact"/>
        <w:rPr>
          <w:rFonts w:ascii="Arial" w:cs="Arial" w:eastAsia="Arial" w:hAnsi="Arial"/>
          <w:sz w:val="18"/>
          <w:szCs w:val="18"/>
          <w:color w:val="auto"/>
        </w:rPr>
      </w:pPr>
    </w:p>
    <w:p>
      <w:pPr>
        <w:ind w:left="1000" w:right="439" w:hanging="348"/>
        <w:spacing w:after="0" w:line="291" w:lineRule="auto"/>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Nothing in the deposit agreement precludes [ ] (or its affiliates) from engaging in transactions in which parties adverse to us or the ADS owners have interests, and nothing in the deposit agreement obligates</w:t>
      </w:r>
    </w:p>
    <w:p>
      <w:pPr>
        <w:ind w:left="1000" w:right="319"/>
        <w:spacing w:after="0" w:line="290" w:lineRule="auto"/>
        <w:rPr>
          <w:rFonts w:ascii="Arial" w:cs="Arial" w:eastAsia="Arial" w:hAnsi="Arial"/>
          <w:sz w:val="16"/>
          <w:szCs w:val="16"/>
          <w:color w:val="auto"/>
        </w:rPr>
      </w:pPr>
      <w:r>
        <w:rPr>
          <w:rFonts w:ascii="Arial" w:cs="Arial" w:eastAsia="Arial" w:hAnsi="Arial"/>
          <w:sz w:val="17"/>
          <w:szCs w:val="17"/>
          <w:color w:val="auto"/>
        </w:rPr>
        <w:t>[ ] to disclose those transactions, or any information obtained in the course of those transactions, to us or to the ADS owners, or to account for any payment received as part of those transactions.</w:t>
      </w:r>
    </w:p>
    <w:p>
      <w:pPr>
        <w:spacing w:after="0" w:line="53"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80"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63" w:lineRule="exact"/>
        <w:rPr>
          <w:sz w:val="20"/>
          <w:szCs w:val="20"/>
          <w:color w:val="auto"/>
        </w:rPr>
      </w:pPr>
    </w:p>
    <w:p>
      <w:pPr>
        <w:jc w:val="both"/>
        <w:ind w:left="300" w:right="559" w:firstLine="360"/>
        <w:spacing w:after="0" w:line="263"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35" w:lineRule="exact"/>
        <w:rPr>
          <w:sz w:val="20"/>
          <w:szCs w:val="20"/>
          <w:color w:val="auto"/>
        </w:rPr>
      </w:pPr>
    </w:p>
    <w:p>
      <w:pPr>
        <w:ind w:left="1000" w:right="879" w:hanging="348"/>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Australia and our Constitution.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559" w:firstLine="360"/>
        <w:spacing w:after="0" w:line="263"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72" w:lineRule="exact"/>
        <w:rPr>
          <w:sz w:val="20"/>
          <w:szCs w:val="20"/>
          <w:color w:val="auto"/>
        </w:rPr>
      </w:pPr>
    </w:p>
    <w:p>
      <w:pPr>
        <w:ind w:left="300" w:right="339" w:firstLine="360"/>
        <w:spacing w:after="0" w:line="261" w:lineRule="auto"/>
        <w:rPr>
          <w:sz w:val="20"/>
          <w:szCs w:val="20"/>
          <w:color w:val="auto"/>
        </w:rPr>
      </w:pPr>
      <w:r>
        <w:rPr>
          <w:rFonts w:ascii="Arial" w:cs="Arial" w:eastAsia="Arial" w:hAnsi="Arial"/>
          <w:sz w:val="18"/>
          <w:szCs w:val="18"/>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76" w:lineRule="exact"/>
        <w:rPr>
          <w:sz w:val="20"/>
          <w:szCs w:val="20"/>
          <w:color w:val="auto"/>
        </w:rPr>
      </w:pPr>
    </w:p>
    <w:p>
      <w:pPr>
        <w:ind w:left="300" w:right="399" w:firstLine="360"/>
        <w:spacing w:after="0" w:line="291" w:lineRule="auto"/>
        <w:rPr>
          <w:sz w:val="20"/>
          <w:szCs w:val="20"/>
          <w:color w:val="auto"/>
        </w:rPr>
      </w:pPr>
      <w:r>
        <w:rPr>
          <w:rFonts w:ascii="Arial" w:cs="Arial" w:eastAsia="Arial" w:hAnsi="Arial"/>
          <w:sz w:val="16"/>
          <w:szCs w:val="16"/>
          <w:i w:val="1"/>
          <w:iCs w:val="1"/>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16C.  Principal Accounting Fees and Services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16G.  Corporate Governance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16H.  Mine Safety Disclosure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elected to furnish the financial statements and related information specified in Item 18.</w:t>
      </w:r>
    </w:p>
    <w:p>
      <w:pPr>
        <w:spacing w:after="0" w:line="233"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300" w:right="339" w:firstLine="36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and related notes required by this Item 18 are included in this registration statement beginning on page F-</w:t>
      </w:r>
      <w:hyperlink w:anchor="page132">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7660" w:type="dxa"/>
            <w:vAlign w:val="bottom"/>
            <w:gridSpan w:val="3"/>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67"/>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ind w:left="21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15"/>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 of Registration of the Registrant.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Constitution of the Registrant.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2"/>
              </w:rPr>
              <w:t>Form of American Depositary Receipt evidencing American Depositary Shares (included in Exhibit</w:t>
            </w:r>
          </w:p>
        </w:tc>
        <w:tc>
          <w:tcPr>
            <w:tcW w:w="0" w:type="dxa"/>
            <w:vAlign w:val="bottom"/>
          </w:tcPr>
          <w:p>
            <w:pPr>
              <w:spacing w:after="0"/>
              <w:rPr>
                <w:sz w:val="1"/>
                <w:szCs w:val="1"/>
                <w:color w:val="auto"/>
              </w:rPr>
            </w:pPr>
          </w:p>
        </w:tc>
      </w:tr>
      <w:tr>
        <w:trPr>
          <w:trHeight w:val="264"/>
        </w:trPr>
        <w:tc>
          <w:tcPr>
            <w:tcW w:w="76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of Deed of Indemnity, Insurance and Access.</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Option Plan</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Performance Rights Plan</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0"/>
              </w:rPr>
              <w:t>Purchase and Sale Agreement entered into as of April 12, 2021, between West End Property II, LLC</w:t>
            </w:r>
          </w:p>
        </w:tc>
        <w:tc>
          <w:tcPr>
            <w:tcW w:w="0" w:type="dxa"/>
            <w:vAlign w:val="bottom"/>
          </w:tcPr>
          <w:p>
            <w:pPr>
              <w:spacing w:after="0"/>
              <w:rPr>
                <w:sz w:val="1"/>
                <w:szCs w:val="1"/>
                <w:color w:val="auto"/>
              </w:rPr>
            </w:pPr>
          </w:p>
        </w:tc>
      </w:tr>
      <w:tr>
        <w:trPr>
          <w:trHeight w:val="264"/>
        </w:trPr>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and PUREgraphite, LLC.</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3"/>
              </w:rPr>
              <w:t>First Amendment to the Purchase and Sale Agreement entered into as of June 9, 2021, between</w:t>
            </w:r>
          </w:p>
        </w:tc>
        <w:tc>
          <w:tcPr>
            <w:tcW w:w="0" w:type="dxa"/>
            <w:vAlign w:val="bottom"/>
          </w:tcPr>
          <w:p>
            <w:pPr>
              <w:spacing w:after="0"/>
              <w:rPr>
                <w:sz w:val="1"/>
                <w:szCs w:val="1"/>
                <w:color w:val="auto"/>
              </w:rPr>
            </w:pPr>
          </w:p>
        </w:tc>
      </w:tr>
      <w:tr>
        <w:trPr>
          <w:trHeight w:val="264"/>
        </w:trPr>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West End Property II, LLC and PUREgraphite, LLC.</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89"/>
              </w:rPr>
              <w:t>Second Amendment to the Purchase and Sale Agreement entered into as of June 30, 2021, between</w:t>
            </w:r>
          </w:p>
        </w:tc>
        <w:tc>
          <w:tcPr>
            <w:tcW w:w="0" w:type="dxa"/>
            <w:vAlign w:val="bottom"/>
          </w:tcPr>
          <w:p>
            <w:pPr>
              <w:spacing w:after="0"/>
              <w:rPr>
                <w:sz w:val="1"/>
                <w:szCs w:val="1"/>
                <w:color w:val="auto"/>
              </w:rPr>
            </w:pPr>
          </w:p>
        </w:tc>
      </w:tr>
      <w:tr>
        <w:trPr>
          <w:trHeight w:val="264"/>
        </w:trPr>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West End Property II, LLC and PUREgraphite, LLC.</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2"/>
              </w:rPr>
              <w:t>Third Amendment to the Purchase and Sale Agreement entered into as of July 22, 2021, between</w:t>
            </w:r>
          </w:p>
        </w:tc>
        <w:tc>
          <w:tcPr>
            <w:tcW w:w="0" w:type="dxa"/>
            <w:vAlign w:val="bottom"/>
          </w:tcPr>
          <w:p>
            <w:pPr>
              <w:spacing w:after="0"/>
              <w:rPr>
                <w:sz w:val="1"/>
                <w:szCs w:val="1"/>
                <w:color w:val="auto"/>
              </w:rPr>
            </w:pPr>
          </w:p>
        </w:tc>
      </w:tr>
      <w:tr>
        <w:trPr>
          <w:trHeight w:val="264"/>
        </w:trPr>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West End Property II, LLC and PUREgraphite, LLC.</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1"/>
              </w:rPr>
              <w:t>Loan Agreement dated as of July 28, 2021, between Novonix 1029, LLC and DBR Investments Co.</w:t>
            </w:r>
          </w:p>
        </w:tc>
        <w:tc>
          <w:tcPr>
            <w:tcW w:w="0" w:type="dxa"/>
            <w:vAlign w:val="bottom"/>
          </w:tcPr>
          <w:p>
            <w:pPr>
              <w:spacing w:after="0"/>
              <w:rPr>
                <w:sz w:val="1"/>
                <w:szCs w:val="1"/>
                <w:color w:val="auto"/>
              </w:rPr>
            </w:pPr>
          </w:p>
        </w:tc>
      </w:tr>
      <w:tr>
        <w:trPr>
          <w:trHeight w:val="264"/>
        </w:trPr>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7"/>
              </w:rPr>
              <w:t>Subscription Agreement dated as of August 9, 2021, between NOVONIX Limited and Phillips</w:t>
            </w:r>
          </w:p>
        </w:tc>
        <w:tc>
          <w:tcPr>
            <w:tcW w:w="0" w:type="dxa"/>
            <w:vAlign w:val="bottom"/>
          </w:tcPr>
          <w:p>
            <w:pPr>
              <w:spacing w:after="0"/>
              <w:rPr>
                <w:sz w:val="1"/>
                <w:szCs w:val="1"/>
                <w:color w:val="auto"/>
              </w:rPr>
            </w:pPr>
          </w:p>
        </w:tc>
      </w:tr>
      <w:tr>
        <w:trPr>
          <w:trHeight w:val="264"/>
        </w:trPr>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66 Company.</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8.1</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15.1*</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Consent of PricewaterhouseCoopers, independent registered public accounting firm.</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Consent of Benchmark Mineral Intelligence Limited</w:t>
            </w:r>
          </w:p>
        </w:tc>
        <w:tc>
          <w:tcPr>
            <w:tcW w:w="0" w:type="dxa"/>
            <w:vAlign w:val="bottom"/>
          </w:tcPr>
          <w:p>
            <w:pPr>
              <w:spacing w:after="0"/>
              <w:rPr>
                <w:sz w:val="1"/>
                <w:szCs w:val="1"/>
                <w:color w:val="auto"/>
              </w:rPr>
            </w:pPr>
          </w:p>
        </w:tc>
      </w:tr>
      <w:tr>
        <w:trPr>
          <w:trHeight w:val="54"/>
        </w:trPr>
        <w:tc>
          <w:tcPr>
            <w:tcW w:w="7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-7354570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42" w:lineRule="exact"/>
        <w:rPr>
          <w:sz w:val="20"/>
          <w:szCs w:val="20"/>
          <w:color w:val="auto"/>
        </w:rPr>
      </w:pPr>
    </w:p>
    <w:p>
      <w:pPr>
        <w:ind w:left="640" w:hanging="348"/>
        <w:spacing w:after="0"/>
        <w:tabs>
          <w:tab w:leader="none" w:pos="6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arrangement</w:t>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of Form 20-F and that it has duly caused and authorized the undersigned to sign this registration statement on its behalf.</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NOVONIX LIMITED</w:t>
      </w:r>
    </w:p>
    <w:p>
      <w:pPr>
        <w:spacing w:after="0" w:line="200" w:lineRule="exact"/>
        <w:rPr>
          <w:sz w:val="20"/>
          <w:szCs w:val="20"/>
          <w:color w:val="auto"/>
        </w:rPr>
      </w:pPr>
    </w:p>
    <w:p>
      <w:pPr>
        <w:spacing w:after="0" w:line="241" w:lineRule="exact"/>
        <w:rPr>
          <w:sz w:val="20"/>
          <w:szCs w:val="20"/>
          <w:color w:val="auto"/>
        </w:rPr>
      </w:pPr>
    </w:p>
    <w:p>
      <w:pPr>
        <w:ind w:left="3940"/>
        <w:spacing w:after="0"/>
        <w:tabs>
          <w:tab w:leader="none" w:pos="4380" w:val="left"/>
        </w:tabs>
        <w:rPr>
          <w:sz w:val="20"/>
          <w:szCs w:val="20"/>
          <w:color w:val="auto"/>
        </w:rPr>
      </w:pPr>
      <w:r>
        <w:rPr>
          <w:rFonts w:ascii="Arial" w:cs="Arial" w:eastAsia="Arial" w:hAnsi="Arial"/>
          <w:sz w:val="18"/>
          <w:szCs w:val="18"/>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57785</wp:posOffset>
            </wp:positionV>
            <wp:extent cx="27432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3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Dr. John Christopher Burns</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Chief Executive Officer</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92075</wp:posOffset>
            </wp:positionV>
            <wp:extent cx="2846070" cy="4883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4607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NOVONIX LIMITED</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ABN 54 157 690 830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FINANCIAL REPORT – 30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5349240" cy="240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Financial statements</w:t>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7880" w:type="dxa"/>
            <w:vAlign w:val="bottom"/>
            <w:gridSpan w:val="7"/>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Consolidated statement of profit or loss and other comprehensive income</w:t>
              </w:r>
            </w:hyperlink>
          </w:p>
        </w:tc>
        <w:tc>
          <w:tcPr>
            <w:tcW w:w="80" w:type="dxa"/>
            <w:vAlign w:val="bottom"/>
          </w:tcPr>
          <w:p>
            <w:pPr>
              <w:spacing w:after="0"/>
              <w:rPr>
                <w:sz w:val="17"/>
                <w:szCs w:val="17"/>
                <w:color w:val="auto"/>
              </w:rPr>
            </w:pPr>
          </w:p>
        </w:tc>
        <w:tc>
          <w:tcPr>
            <w:tcW w:w="280" w:type="dxa"/>
            <w:vAlign w:val="bottom"/>
            <w:gridSpan w:val="2"/>
          </w:tcPr>
          <w:p>
            <w:pPr>
              <w:spacing w:after="0"/>
              <w:rPr>
                <w:rFonts w:ascii="Arial" w:cs="Arial" w:eastAsia="Arial" w:hAnsi="Arial"/>
                <w:sz w:val="18"/>
                <w:szCs w:val="18"/>
                <w:color w:val="0000EE"/>
                <w:w w:val="96"/>
              </w:rPr>
            </w:pPr>
            <w:hyperlink w:anchor="page133">
              <w:r>
                <w:rPr>
                  <w:rFonts w:ascii="Arial" w:cs="Arial" w:eastAsia="Arial" w:hAnsi="Arial"/>
                  <w:sz w:val="18"/>
                  <w:szCs w:val="18"/>
                  <w:color w:val="0000EE"/>
                  <w:w w:val="96"/>
                </w:rPr>
                <w:t>F-2</w:t>
              </w:r>
            </w:hyperlink>
          </w:p>
        </w:tc>
      </w:tr>
      <w:tr>
        <w:trPr>
          <w:trHeight w:val="74"/>
        </w:trPr>
        <w:tc>
          <w:tcPr>
            <w:tcW w:w="18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960" w:type="dxa"/>
            <w:vAlign w:val="bottom"/>
            <w:tcBorders>
              <w:top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880" w:type="dxa"/>
            <w:vAlign w:val="bottom"/>
            <w:gridSpan w:val="7"/>
            <w:shd w:val="clear" w:color="auto" w:fill="CCEEFF"/>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balance sheet</w:t>
              </w:r>
            </w:hyperlink>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rFonts w:ascii="Arial" w:cs="Arial" w:eastAsia="Arial" w:hAnsi="Arial"/>
                <w:sz w:val="18"/>
                <w:szCs w:val="18"/>
                <w:color w:val="0000EE"/>
                <w:w w:val="96"/>
              </w:rPr>
            </w:pPr>
            <w:hyperlink w:anchor="page134">
              <w:r>
                <w:rPr>
                  <w:rFonts w:ascii="Arial" w:cs="Arial" w:eastAsia="Arial" w:hAnsi="Arial"/>
                  <w:sz w:val="18"/>
                  <w:szCs w:val="18"/>
                  <w:color w:val="0000EE"/>
                  <w:w w:val="96"/>
                </w:rPr>
                <w:t>F-3</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960" w:type="dxa"/>
            <w:vAlign w:val="bottom"/>
            <w:tcBorders>
              <w:top w:val="single" w:sz="8" w:color="CCEEFF"/>
            </w:tcBorders>
            <w:shd w:val="clear" w:color="auto" w:fill="CCEEFF"/>
          </w:tcPr>
          <w:p>
            <w:pPr>
              <w:spacing w:after="0"/>
              <w:rPr>
                <w:sz w:val="6"/>
                <w:szCs w:val="6"/>
                <w:color w:val="auto"/>
              </w:rPr>
            </w:pPr>
          </w:p>
        </w:tc>
        <w:tc>
          <w:tcPr>
            <w:tcW w:w="2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880" w:type="dxa"/>
            <w:vAlign w:val="bottom"/>
            <w:gridSpan w:val="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Consolidated statement of changes in equity</w:t>
              </w:r>
            </w:hyperlink>
          </w:p>
        </w:tc>
        <w:tc>
          <w:tcPr>
            <w:tcW w:w="80" w:type="dxa"/>
            <w:vAlign w:val="bottom"/>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w w:val="96"/>
              </w:rPr>
            </w:pPr>
            <w:hyperlink w:anchor="page135">
              <w:r>
                <w:rPr>
                  <w:rFonts w:ascii="Arial" w:cs="Arial" w:eastAsia="Arial" w:hAnsi="Arial"/>
                  <w:sz w:val="18"/>
                  <w:szCs w:val="18"/>
                  <w:color w:val="0000EE"/>
                  <w:w w:val="96"/>
                </w:rPr>
                <w:t>F-4</w:t>
              </w:r>
            </w:hyperlink>
          </w:p>
        </w:tc>
      </w:tr>
      <w:tr>
        <w:trPr>
          <w:trHeight w:val="74"/>
        </w:trPr>
        <w:tc>
          <w:tcPr>
            <w:tcW w:w="18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880" w:type="dxa"/>
            <w:vAlign w:val="bottom"/>
            <w:gridSpan w:val="7"/>
            <w:shd w:val="clear" w:color="auto" w:fill="CCEEFF"/>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Consolidated statement of cash flows</w:t>
              </w:r>
            </w:hyperlink>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rFonts w:ascii="Arial" w:cs="Arial" w:eastAsia="Arial" w:hAnsi="Arial"/>
                <w:sz w:val="18"/>
                <w:szCs w:val="18"/>
                <w:color w:val="0000EE"/>
                <w:w w:val="96"/>
              </w:rPr>
            </w:pPr>
            <w:hyperlink w:anchor="page136">
              <w:r>
                <w:rPr>
                  <w:rFonts w:ascii="Arial" w:cs="Arial" w:eastAsia="Arial" w:hAnsi="Arial"/>
                  <w:sz w:val="18"/>
                  <w:szCs w:val="18"/>
                  <w:color w:val="0000EE"/>
                  <w:w w:val="96"/>
                </w:rPr>
                <w:t>F-5</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960" w:type="dxa"/>
            <w:vAlign w:val="bottom"/>
            <w:tcBorders>
              <w:top w:val="single" w:sz="8" w:color="CCEEFF"/>
            </w:tcBorders>
            <w:shd w:val="clear" w:color="auto" w:fill="CCEEFF"/>
          </w:tcPr>
          <w:p>
            <w:pPr>
              <w:spacing w:after="0"/>
              <w:rPr>
                <w:sz w:val="6"/>
                <w:szCs w:val="6"/>
                <w:color w:val="auto"/>
              </w:rPr>
            </w:pPr>
          </w:p>
        </w:tc>
        <w:tc>
          <w:tcPr>
            <w:tcW w:w="2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880" w:type="dxa"/>
            <w:vAlign w:val="bottom"/>
            <w:gridSpan w:val="7"/>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Notes to the consolidated financial statements</w:t>
              </w:r>
            </w:hyperlink>
          </w:p>
        </w:tc>
        <w:tc>
          <w:tcPr>
            <w:tcW w:w="80" w:type="dxa"/>
            <w:vAlign w:val="bottom"/>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w w:val="96"/>
              </w:rPr>
            </w:pPr>
            <w:hyperlink w:anchor="page137">
              <w:r>
                <w:rPr>
                  <w:rFonts w:ascii="Arial" w:cs="Arial" w:eastAsia="Arial" w:hAnsi="Arial"/>
                  <w:sz w:val="18"/>
                  <w:szCs w:val="18"/>
                  <w:color w:val="0000EE"/>
                  <w:w w:val="96"/>
                </w:rPr>
                <w:t>F-6</w:t>
              </w:r>
            </w:hyperlink>
          </w:p>
        </w:tc>
      </w:tr>
      <w:tr>
        <w:trPr>
          <w:trHeight w:val="74"/>
        </w:trPr>
        <w:tc>
          <w:tcPr>
            <w:tcW w:w="18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2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8"/>
            <w:shd w:val="clear" w:color="auto" w:fill="CCEEFF"/>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Auditor’s report</w:t>
              </w:r>
            </w:hyperlink>
          </w:p>
        </w:tc>
        <w:tc>
          <w:tcPr>
            <w:tcW w:w="360" w:type="dxa"/>
            <w:vAlign w:val="bottom"/>
            <w:gridSpan w:val="3"/>
            <w:shd w:val="clear" w:color="auto" w:fill="CCEEFF"/>
          </w:tcPr>
          <w:p>
            <w:pPr>
              <w:spacing w:after="0"/>
              <w:rPr>
                <w:rFonts w:ascii="Arial" w:cs="Arial" w:eastAsia="Arial" w:hAnsi="Arial"/>
                <w:sz w:val="18"/>
                <w:szCs w:val="18"/>
                <w:color w:val="0000EE"/>
                <w:w w:val="91"/>
              </w:rPr>
            </w:pPr>
            <w:hyperlink w:anchor="page178">
              <w:r>
                <w:rPr>
                  <w:rFonts w:ascii="Arial" w:cs="Arial" w:eastAsia="Arial" w:hAnsi="Arial"/>
                  <w:sz w:val="18"/>
                  <w:szCs w:val="18"/>
                  <w:color w:val="0000EE"/>
                  <w:w w:val="91"/>
                </w:rPr>
                <w:t>F-47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960" w:type="dxa"/>
            <w:vAlign w:val="bottom"/>
            <w:tcBorders>
              <w:top w:val="single" w:sz="8" w:color="CCEEFF"/>
            </w:tcBorders>
            <w:shd w:val="clear" w:color="auto" w:fill="CCEEFF"/>
          </w:tcPr>
          <w:p>
            <w:pPr>
              <w:spacing w:after="0"/>
              <w:rPr>
                <w:sz w:val="6"/>
                <w:szCs w:val="6"/>
                <w:color w:val="auto"/>
              </w:rPr>
            </w:pPr>
          </w:p>
        </w:tc>
        <w:tc>
          <w:tcPr>
            <w:tcW w:w="2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9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These financial statements are consolidated financial statements for the Group consisting of NOVONIX Limited and its subsidiaries. A list of major subsidiaries is included in note 27.</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financial statements are presented in the Australian currency.</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NOVONIX Limited is a Company limited by shares, incorporated and domiciled in Australia.</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profit or loss and other comprehensive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for the years ended 30 June 2021</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Consolidated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Notes</w:t>
            </w:r>
          </w:p>
        </w:tc>
        <w:tc>
          <w:tcPr>
            <w:tcW w:w="9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94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02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7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contracts with customers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5,227,347</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4,253,435</w:t>
            </w:r>
          </w:p>
        </w:tc>
        <w:tc>
          <w:tcPr>
            <w:tcW w:w="11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1,817,049</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0"/>
                <w:szCs w:val="20"/>
                <w:color w:val="auto"/>
              </w:rPr>
            </w:pPr>
            <w:r>
              <w:rPr>
                <w:rFonts w:ascii="Arial" w:cs="Arial" w:eastAsia="Arial" w:hAnsi="Arial"/>
                <w:sz w:val="18"/>
                <w:szCs w:val="18"/>
                <w:color w:val="auto"/>
              </w:rPr>
              <w:t>Cost of goods sold (exclusive of depreciation presented</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separately)</w:t>
            </w:r>
          </w:p>
        </w:tc>
        <w:tc>
          <w:tcPr>
            <w:tcW w:w="4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(969,774)</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(1,245,187)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(741,280)</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and other expenses</w:t>
            </w: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(3,945,829)</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(2,739,398)</w:t>
            </w: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(1,671,006)</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Borrowing costs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(229,394)</w:t>
            </w:r>
          </w:p>
        </w:tc>
        <w:tc>
          <w:tcPr>
            <w:tcW w:w="1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(5,330,961)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(1,565,032)</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(2,764,940)</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(15,918,925)</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Depreciation and amortisation expenses</w:t>
            </w:r>
          </w:p>
        </w:tc>
        <w:tc>
          <w:tcPr>
            <w:tcW w:w="44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(1,697,754)</w:t>
            </w:r>
          </w:p>
        </w:tc>
        <w:tc>
          <w:tcPr>
            <w:tcW w:w="1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(1,380,303)</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(494,948)</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and project development costs</w:t>
            </w: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(2,809,984)</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(2,423,546)</w:t>
            </w: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(1,560,551)</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(5,948,532)</w:t>
            </w:r>
          </w:p>
        </w:tc>
        <w:tc>
          <w:tcPr>
            <w:tcW w:w="1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(7,558,953)</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(6,673,510)</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benefits expense</w:t>
            </w: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(5,837,926)</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(4,072,223)</w:t>
            </w: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(2,104,176)</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Foreign currency (loss)/gain</w:t>
            </w:r>
          </w:p>
        </w:tc>
        <w:tc>
          <w:tcPr>
            <w:tcW w:w="44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(83,943)</w:t>
            </w:r>
          </w:p>
        </w:tc>
        <w:tc>
          <w:tcPr>
            <w:tcW w:w="1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(376,267)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134,109</w:t>
            </w: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net losses of joint ventures</w:t>
            </w: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(751,981)</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0"/>
                <w:szCs w:val="20"/>
                <w:color w:val="auto"/>
              </w:rPr>
            </w:pPr>
            <w:r>
              <w:rPr>
                <w:rFonts w:ascii="Arial" w:cs="Arial" w:eastAsia="Arial" w:hAnsi="Arial"/>
                <w:sz w:val="18"/>
                <w:szCs w:val="18"/>
                <w:color w:val="auto"/>
              </w:rPr>
              <w:t>Other income</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984,652</w:t>
            </w:r>
          </w:p>
        </w:tc>
        <w:tc>
          <w:tcPr>
            <w:tcW w:w="1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844,877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3,024,684</w:t>
            </w:r>
          </w:p>
        </w:tc>
        <w:tc>
          <w:tcPr>
            <w:tcW w:w="0" w:type="dxa"/>
            <w:vAlign w:val="bottom"/>
          </w:tcPr>
          <w:p>
            <w:pPr>
              <w:spacing w:after="0"/>
              <w:rPr>
                <w:sz w:val="1"/>
                <w:szCs w:val="1"/>
                <w:color w:val="auto"/>
              </w:rPr>
            </w:pPr>
          </w:p>
        </w:tc>
      </w:tr>
      <w:tr>
        <w:trPr>
          <w:trHeight w:val="61"/>
        </w:trPr>
        <w:tc>
          <w:tcPr>
            <w:tcW w:w="4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(18,076,077)</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(20,028,526)</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(26,505,567)</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2"/>
                <w:szCs w:val="2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383,655</w:t>
            </w:r>
          </w:p>
        </w:tc>
        <w:tc>
          <w:tcPr>
            <w:tcW w:w="0" w:type="dxa"/>
            <w:vAlign w:val="bottom"/>
          </w:tcPr>
          <w:p>
            <w:pPr>
              <w:spacing w:after="0"/>
              <w:rPr>
                <w:sz w:val="1"/>
                <w:szCs w:val="1"/>
                <w:color w:val="auto"/>
              </w:rPr>
            </w:pPr>
          </w:p>
        </w:tc>
      </w:tr>
      <w:tr>
        <w:trPr>
          <w:trHeight w:val="61"/>
        </w:trPr>
        <w:tc>
          <w:tcPr>
            <w:tcW w:w="4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(18,076,077)</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(20,028,526)</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(26,121,912)</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year, net of tax</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i w:val="1"/>
                <w:iCs w:val="1"/>
                <w:color w:val="auto"/>
              </w:rPr>
              <w:t>Items that may be reclassified to profit or loss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differences on translation of foreign</w:t>
            </w: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operations</w:t>
            </w: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(2,101,097)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550,243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809,396</w:t>
            </w:r>
          </w:p>
        </w:tc>
        <w:tc>
          <w:tcPr>
            <w:tcW w:w="0" w:type="dxa"/>
            <w:vAlign w:val="bottom"/>
          </w:tcPr>
          <w:p>
            <w:pPr>
              <w:spacing w:after="0"/>
              <w:rPr>
                <w:sz w:val="1"/>
                <w:szCs w:val="1"/>
                <w:color w:val="auto"/>
              </w:rPr>
            </w:pPr>
          </w:p>
        </w:tc>
      </w:tr>
      <w:tr>
        <w:trPr>
          <w:trHeight w:val="61"/>
        </w:trPr>
        <w:tc>
          <w:tcPr>
            <w:tcW w:w="47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44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5"/>
              </w:rPr>
              <w:t>(20,177,174)</w:t>
            </w:r>
          </w:p>
        </w:tc>
        <w:tc>
          <w:tcPr>
            <w:tcW w:w="1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(19,478,283)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(25,312,516)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4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4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7"/>
              </w:rPr>
              <w:t>Cents</w:t>
            </w:r>
          </w:p>
        </w:tc>
        <w:tc>
          <w:tcPr>
            <w:tcW w:w="9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4"/>
              </w:rPr>
              <w:t>Cents</w:t>
            </w: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Cents</w:t>
            </w: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0"/>
                <w:szCs w:val="20"/>
                <w:color w:val="auto"/>
              </w:rPr>
            </w:pPr>
            <w:r>
              <w:rPr>
                <w:rFonts w:ascii="Arial" w:cs="Arial" w:eastAsia="Arial" w:hAnsi="Arial"/>
                <w:sz w:val="18"/>
                <w:szCs w:val="18"/>
                <w:b w:val="1"/>
                <w:bCs w:val="1"/>
                <w:color w:val="auto"/>
              </w:rPr>
              <w:t>Earnings per share for loss from continuing operations</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80"/>
              <w:spacing w:after="0"/>
              <w:rPr>
                <w:sz w:val="20"/>
                <w:szCs w:val="20"/>
                <w:color w:val="auto"/>
              </w:rPr>
            </w:pPr>
            <w:r>
              <w:rPr>
                <w:rFonts w:ascii="Arial" w:cs="Arial" w:eastAsia="Arial" w:hAnsi="Arial"/>
                <w:sz w:val="18"/>
                <w:szCs w:val="18"/>
                <w:b w:val="1"/>
                <w:bCs w:val="1"/>
                <w:color w:val="auto"/>
                <w:w w:val="90"/>
              </w:rPr>
              <w:t>attributable to the ordinary equity holders of the Company:</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9"/>
              </w:rPr>
              <w:t>(4.9 cents)</w:t>
            </w:r>
          </w:p>
        </w:tc>
        <w:tc>
          <w:tcPr>
            <w:tcW w:w="9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(14.7 cents)</w:t>
            </w:r>
          </w:p>
        </w:tc>
        <w:tc>
          <w:tcPr>
            <w:tcW w:w="1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(21.2 cents)</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3"/>
                <w:szCs w:val="23"/>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(4.9 cents)</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(14.7 cents)</w:t>
            </w:r>
          </w:p>
        </w:tc>
        <w:tc>
          <w:tcPr>
            <w:tcW w:w="160" w:type="dxa"/>
            <w:vAlign w:val="bottom"/>
          </w:tcPr>
          <w:p>
            <w:pPr>
              <w:spacing w:after="0"/>
              <w:rPr>
                <w:sz w:val="23"/>
                <w:szCs w:val="23"/>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(21.2 cents)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-5185410</wp:posOffset>
            </wp:positionV>
            <wp:extent cx="1028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-5185410</wp:posOffset>
            </wp:positionV>
            <wp:extent cx="1028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-5185410</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jc w:val="center"/>
        <w:ind w:left="300" w:right="519"/>
        <w:spacing w:after="0" w:line="277" w:lineRule="auto"/>
        <w:rPr>
          <w:sz w:val="20"/>
          <w:szCs w:val="20"/>
          <w:color w:val="auto"/>
        </w:rPr>
      </w:pPr>
      <w:r>
        <w:rPr>
          <w:rFonts w:ascii="Arial" w:cs="Arial" w:eastAsia="Arial" w:hAnsi="Arial"/>
          <w:sz w:val="18"/>
          <w:szCs w:val="18"/>
          <w:i w:val="1"/>
          <w:iCs w:val="1"/>
          <w:color w:val="auto"/>
        </w:rPr>
        <w:t>The above consolidated statement of profit or loss and other comprehensive income should be read in conjunction with the accompanying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30 June 2021</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53"/>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60" w:type="dxa"/>
            <w:vAlign w:val="bottom"/>
          </w:tcPr>
          <w:p>
            <w:pPr>
              <w:spacing w:after="0"/>
              <w:rPr>
                <w:sz w:val="16"/>
                <w:szCs w:val="16"/>
                <w:color w:val="auto"/>
              </w:rPr>
            </w:pPr>
          </w:p>
        </w:tc>
        <w:tc>
          <w:tcPr>
            <w:tcW w:w="2120" w:type="dxa"/>
            <w:vAlign w:val="bottom"/>
            <w:vMerge w:val="restart"/>
          </w:tcPr>
          <w:p>
            <w:pPr>
              <w:jc w:val="center"/>
              <w:ind w:left="1491"/>
              <w:spacing w:after="0"/>
              <w:rPr>
                <w:sz w:val="20"/>
                <w:szCs w:val="20"/>
                <w:color w:val="auto"/>
              </w:rPr>
            </w:pPr>
            <w:r>
              <w:rPr>
                <w:rFonts w:ascii="Arial" w:cs="Arial" w:eastAsia="Arial" w:hAnsi="Arial"/>
                <w:sz w:val="14"/>
                <w:szCs w:val="14"/>
                <w:b w:val="1"/>
                <w:bCs w:val="1"/>
                <w:color w:val="auto"/>
                <w:w w:val="87"/>
              </w:rPr>
              <w:t>Notes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08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60" w:type="dxa"/>
            <w:vAlign w:val="bottom"/>
            <w:tcBorders>
              <w:bottom w:val="single" w:sz="8" w:color="CCEEFF"/>
            </w:tcBorders>
          </w:tcPr>
          <w:p>
            <w:pPr>
              <w:spacing w:after="0"/>
              <w:rPr>
                <w:sz w:val="4"/>
                <w:szCs w:val="4"/>
                <w:color w:val="auto"/>
              </w:rPr>
            </w:pPr>
          </w:p>
        </w:tc>
        <w:tc>
          <w:tcPr>
            <w:tcW w:w="2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tcBorders>
              <w:bottom w:val="single" w:sz="8" w:color="CCEEFF"/>
            </w:tcBorders>
            <w:shd w:val="clear" w:color="auto" w:fill="CCEEFF"/>
          </w:tcPr>
          <w:p>
            <w:pPr>
              <w:jc w:val="center"/>
              <w:ind w:left="1491"/>
              <w:spacing w:after="0"/>
              <w:rPr>
                <w:sz w:val="20"/>
                <w:szCs w:val="20"/>
                <w:color w:val="auto"/>
              </w:rPr>
            </w:pPr>
            <w:r>
              <w:rPr>
                <w:rFonts w:ascii="Arial" w:cs="Arial" w:eastAsia="Arial" w:hAnsi="Arial"/>
                <w:sz w:val="18"/>
                <w:szCs w:val="18"/>
                <w:color w:val="auto"/>
                <w:w w:val="89"/>
              </w:rPr>
              <w:t>12</w:t>
            </w:r>
          </w:p>
        </w:tc>
        <w:tc>
          <w:tcPr>
            <w:tcW w:w="10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136,663,976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38,807,662</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120" w:type="dxa"/>
            <w:vAlign w:val="bottom"/>
          </w:tcPr>
          <w:p>
            <w:pPr>
              <w:jc w:val="center"/>
              <w:ind w:left="1491"/>
              <w:spacing w:after="0"/>
              <w:rPr>
                <w:sz w:val="20"/>
                <w:szCs w:val="20"/>
                <w:color w:val="auto"/>
              </w:rPr>
            </w:pPr>
            <w:r>
              <w:rPr>
                <w:rFonts w:ascii="Arial" w:cs="Arial" w:eastAsia="Arial" w:hAnsi="Arial"/>
                <w:sz w:val="18"/>
                <w:szCs w:val="18"/>
                <w:color w:val="auto"/>
                <w:w w:val="89"/>
              </w:rPr>
              <w:t>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2,042,963</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1,075,358</w:t>
            </w: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120" w:type="dxa"/>
            <w:vAlign w:val="bottom"/>
            <w:tcBorders>
              <w:bottom w:val="single" w:sz="8" w:color="CCEEFF"/>
            </w:tcBorders>
            <w:shd w:val="clear" w:color="auto" w:fill="CCEEFF"/>
          </w:tcPr>
          <w:p>
            <w:pPr>
              <w:jc w:val="center"/>
              <w:ind w:left="1491"/>
              <w:spacing w:after="0"/>
              <w:rPr>
                <w:sz w:val="20"/>
                <w:szCs w:val="20"/>
                <w:color w:val="auto"/>
              </w:rPr>
            </w:pPr>
            <w:r>
              <w:rPr>
                <w:rFonts w:ascii="Arial" w:cs="Arial" w:eastAsia="Arial" w:hAnsi="Arial"/>
                <w:sz w:val="18"/>
                <w:szCs w:val="18"/>
                <w:color w:val="auto"/>
                <w:w w:val="89"/>
              </w:rPr>
              <w:t>15</w:t>
            </w:r>
          </w:p>
        </w:tc>
        <w:tc>
          <w:tcPr>
            <w:tcW w:w="10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2,780,373</w:t>
            </w:r>
          </w:p>
        </w:tc>
        <w:tc>
          <w:tcPr>
            <w:tcW w:w="11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1,366,985</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0"/>
                <w:szCs w:val="20"/>
                <w:color w:val="auto"/>
              </w:rPr>
            </w:pPr>
            <w:r>
              <w:rPr>
                <w:rFonts w:ascii="Arial" w:cs="Arial" w:eastAsia="Arial" w:hAnsi="Arial"/>
                <w:sz w:val="18"/>
                <w:szCs w:val="18"/>
                <w:color w:val="auto"/>
              </w:rPr>
              <w:t>Prepayments</w:t>
            </w:r>
          </w:p>
        </w:tc>
        <w:tc>
          <w:tcPr>
            <w:tcW w:w="2120" w:type="dxa"/>
            <w:vAlign w:val="bottom"/>
          </w:tcPr>
          <w:p>
            <w:pPr>
              <w:jc w:val="center"/>
              <w:ind w:left="1491"/>
              <w:spacing w:after="0"/>
              <w:rPr>
                <w:sz w:val="20"/>
                <w:szCs w:val="20"/>
                <w:color w:val="auto"/>
              </w:rPr>
            </w:pPr>
            <w:r>
              <w:rPr>
                <w:rFonts w:ascii="Arial" w:cs="Arial" w:eastAsia="Arial" w:hAnsi="Arial"/>
                <w:sz w:val="18"/>
                <w:szCs w:val="18"/>
                <w:color w:val="auto"/>
                <w:w w:val="89"/>
              </w:rPr>
              <w:t>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2,538,207</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152,434</w:t>
            </w: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120" w:type="dxa"/>
            <w:vAlign w:val="bottom"/>
            <w:shd w:val="clear" w:color="auto" w:fill="CCEEFF"/>
          </w:tcPr>
          <w:p>
            <w:pPr>
              <w:spacing w:after="0"/>
              <w:rPr>
                <w:sz w:val="23"/>
                <w:szCs w:val="23"/>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144,025,519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41,402,439</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40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0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120" w:type="dxa"/>
            <w:vAlign w:val="bottom"/>
            <w:tcBorders>
              <w:bottom w:val="single" w:sz="8" w:color="CCEEFF"/>
            </w:tcBorders>
            <w:shd w:val="clear" w:color="auto" w:fill="CCEEFF"/>
          </w:tcPr>
          <w:p>
            <w:pPr>
              <w:jc w:val="center"/>
              <w:ind w:left="1491"/>
              <w:spacing w:after="0"/>
              <w:rPr>
                <w:sz w:val="20"/>
                <w:szCs w:val="20"/>
                <w:color w:val="auto"/>
              </w:rPr>
            </w:pPr>
            <w:r>
              <w:rPr>
                <w:rFonts w:ascii="Arial" w:cs="Arial" w:eastAsia="Arial" w:hAnsi="Arial"/>
                <w:sz w:val="18"/>
                <w:szCs w:val="18"/>
                <w:color w:val="auto"/>
                <w:w w:val="89"/>
              </w:rPr>
              <w:t>16</w:t>
            </w:r>
          </w:p>
        </w:tc>
        <w:tc>
          <w:tcPr>
            <w:tcW w:w="1080" w:type="dxa"/>
            <w:vAlign w:val="bottom"/>
            <w:tcBorders>
              <w:bottom w:val="single" w:sz="8" w:color="CCEEFF"/>
              <w:right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8"/>
              </w:rPr>
              <w:t>31,578,445</w:t>
            </w:r>
          </w:p>
        </w:tc>
        <w:tc>
          <w:tcPr>
            <w:tcW w:w="11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9,620,797</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Right-of-use assets</w:t>
            </w:r>
          </w:p>
        </w:tc>
        <w:tc>
          <w:tcPr>
            <w:tcW w:w="2120" w:type="dxa"/>
            <w:vAlign w:val="bottom"/>
          </w:tcPr>
          <w:p>
            <w:pPr>
              <w:jc w:val="center"/>
              <w:ind w:left="1491"/>
              <w:spacing w:after="0"/>
              <w:rPr>
                <w:sz w:val="20"/>
                <w:szCs w:val="20"/>
                <w:color w:val="auto"/>
              </w:rPr>
            </w:pPr>
            <w:r>
              <w:rPr>
                <w:rFonts w:ascii="Arial" w:cs="Arial" w:eastAsia="Arial" w:hAnsi="Arial"/>
                <w:sz w:val="18"/>
                <w:szCs w:val="18"/>
                <w:color w:val="auto"/>
                <w:w w:val="89"/>
              </w:rPr>
              <w:t>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7,406,943</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2,853,427</w:t>
            </w: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and evaluation assets</w:t>
            </w:r>
          </w:p>
        </w:tc>
        <w:tc>
          <w:tcPr>
            <w:tcW w:w="2120" w:type="dxa"/>
            <w:vAlign w:val="bottom"/>
            <w:tcBorders>
              <w:bottom w:val="single" w:sz="8" w:color="CCEEFF"/>
            </w:tcBorders>
            <w:shd w:val="clear" w:color="auto" w:fill="CCEEFF"/>
          </w:tcPr>
          <w:p>
            <w:pPr>
              <w:jc w:val="center"/>
              <w:ind w:left="1491"/>
              <w:spacing w:after="0"/>
              <w:rPr>
                <w:sz w:val="20"/>
                <w:szCs w:val="20"/>
                <w:color w:val="auto"/>
              </w:rPr>
            </w:pPr>
            <w:r>
              <w:rPr>
                <w:rFonts w:ascii="Arial" w:cs="Arial" w:eastAsia="Arial" w:hAnsi="Arial"/>
                <w:sz w:val="18"/>
                <w:szCs w:val="18"/>
                <w:color w:val="auto"/>
                <w:w w:val="89"/>
              </w:rPr>
              <w:t>17</w:t>
            </w:r>
          </w:p>
        </w:tc>
        <w:tc>
          <w:tcPr>
            <w:tcW w:w="10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3,108,073</w:t>
            </w:r>
          </w:p>
        </w:tc>
        <w:tc>
          <w:tcPr>
            <w:tcW w:w="11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2,988,921</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Intangible assets</w:t>
            </w:r>
          </w:p>
        </w:tc>
        <w:tc>
          <w:tcPr>
            <w:tcW w:w="2120" w:type="dxa"/>
            <w:vAlign w:val="bottom"/>
          </w:tcPr>
          <w:p>
            <w:pPr>
              <w:jc w:val="center"/>
              <w:ind w:left="1491"/>
              <w:spacing w:after="0"/>
              <w:rPr>
                <w:sz w:val="20"/>
                <w:szCs w:val="20"/>
                <w:color w:val="auto"/>
              </w:rPr>
            </w:pPr>
            <w:r>
              <w:rPr>
                <w:rFonts w:ascii="Arial" w:cs="Arial" w:eastAsia="Arial" w:hAnsi="Arial"/>
                <w:sz w:val="18"/>
                <w:szCs w:val="18"/>
                <w:color w:val="auto"/>
                <w:w w:val="89"/>
              </w:rPr>
              <w:t>18</w:t>
            </w:r>
          </w:p>
        </w:tc>
        <w:tc>
          <w:tcPr>
            <w:tcW w:w="1080" w:type="dxa"/>
            <w:vAlign w:val="bottom"/>
            <w:gridSpan w:val="2"/>
          </w:tcPr>
          <w:p>
            <w:pPr>
              <w:jc w:val="center"/>
              <w:ind w:left="31"/>
              <w:spacing w:after="0"/>
              <w:rPr>
                <w:sz w:val="20"/>
                <w:szCs w:val="20"/>
                <w:color w:val="auto"/>
              </w:rPr>
            </w:pPr>
            <w:r>
              <w:rPr>
                <w:rFonts w:ascii="Arial" w:cs="Arial" w:eastAsia="Arial" w:hAnsi="Arial"/>
                <w:sz w:val="18"/>
                <w:szCs w:val="18"/>
                <w:color w:val="auto"/>
                <w:w w:val="88"/>
              </w:rPr>
              <w:t>16,581,709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18,367,245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12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156,584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0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2120" w:type="dxa"/>
            <w:vAlign w:val="bottom"/>
          </w:tcPr>
          <w:p>
            <w:pPr>
              <w:spacing w:after="0"/>
              <w:rPr>
                <w:sz w:val="23"/>
                <w:szCs w:val="23"/>
                <w:color w:val="auto"/>
              </w:rPr>
            </w:pPr>
          </w:p>
        </w:tc>
        <w:tc>
          <w:tcPr>
            <w:tcW w:w="1080" w:type="dxa"/>
            <w:vAlign w:val="bottom"/>
            <w:gridSpan w:val="2"/>
          </w:tcPr>
          <w:p>
            <w:pPr>
              <w:jc w:val="center"/>
              <w:ind w:left="31"/>
              <w:spacing w:after="0"/>
              <w:rPr>
                <w:sz w:val="20"/>
                <w:szCs w:val="20"/>
                <w:color w:val="auto"/>
              </w:rPr>
            </w:pPr>
            <w:r>
              <w:rPr>
                <w:rFonts w:ascii="Arial" w:cs="Arial" w:eastAsia="Arial" w:hAnsi="Arial"/>
                <w:sz w:val="18"/>
                <w:szCs w:val="18"/>
                <w:color w:val="auto"/>
                <w:w w:val="88"/>
              </w:rPr>
              <w:t>58,831,754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33,854,979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120" w:type="dxa"/>
            <w:vAlign w:val="bottom"/>
            <w:shd w:val="clear" w:color="auto" w:fill="CCEEFF"/>
          </w:tcPr>
          <w:p>
            <w:pPr>
              <w:spacing w:after="0"/>
              <w:rPr>
                <w:sz w:val="23"/>
                <w:szCs w:val="23"/>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202,857,273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75,257,418</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40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120" w:type="dxa"/>
            <w:vAlign w:val="bottom"/>
          </w:tcPr>
          <w:p>
            <w:pPr>
              <w:jc w:val="center"/>
              <w:ind w:left="1491"/>
              <w:spacing w:after="0"/>
              <w:rPr>
                <w:sz w:val="20"/>
                <w:szCs w:val="20"/>
                <w:color w:val="auto"/>
              </w:rPr>
            </w:pPr>
            <w:r>
              <w:rPr>
                <w:rFonts w:ascii="Arial" w:cs="Arial" w:eastAsia="Arial" w:hAnsi="Arial"/>
                <w:sz w:val="18"/>
                <w:szCs w:val="18"/>
                <w:color w:val="auto"/>
                <w:w w:val="89"/>
              </w:rPr>
              <w:t>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4,356,556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3,494,227</w:t>
            </w: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120" w:type="dxa"/>
            <w:vAlign w:val="bottom"/>
            <w:tcBorders>
              <w:bottom w:val="single" w:sz="8" w:color="CCEEFF"/>
            </w:tcBorders>
            <w:shd w:val="clear" w:color="auto" w:fill="CCEEFF"/>
          </w:tcPr>
          <w:p>
            <w:pPr>
              <w:jc w:val="center"/>
              <w:ind w:left="1491"/>
              <w:spacing w:after="0"/>
              <w:rPr>
                <w:sz w:val="20"/>
                <w:szCs w:val="20"/>
                <w:color w:val="auto"/>
              </w:rPr>
            </w:pPr>
            <w:r>
              <w:rPr>
                <w:rFonts w:ascii="Arial" w:cs="Arial" w:eastAsia="Arial" w:hAnsi="Arial"/>
                <w:sz w:val="18"/>
                <w:szCs w:val="18"/>
                <w:color w:val="auto"/>
                <w:w w:val="89"/>
              </w:rPr>
              <w:t>20</w:t>
            </w:r>
          </w:p>
        </w:tc>
        <w:tc>
          <w:tcPr>
            <w:tcW w:w="10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310,102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98,783</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Lease liabilities</w:t>
            </w:r>
          </w:p>
        </w:tc>
        <w:tc>
          <w:tcPr>
            <w:tcW w:w="2120" w:type="dxa"/>
            <w:vAlign w:val="bottom"/>
          </w:tcPr>
          <w:p>
            <w:pPr>
              <w:jc w:val="center"/>
              <w:ind w:left="1491"/>
              <w:spacing w:after="0"/>
              <w:rPr>
                <w:sz w:val="20"/>
                <w:szCs w:val="20"/>
                <w:color w:val="auto"/>
              </w:rPr>
            </w:pPr>
            <w:r>
              <w:rPr>
                <w:rFonts w:ascii="Arial" w:cs="Arial" w:eastAsia="Arial" w:hAnsi="Arial"/>
                <w:sz w:val="18"/>
                <w:szCs w:val="18"/>
                <w:color w:val="auto"/>
                <w:w w:val="89"/>
              </w:rPr>
              <w:t>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410,792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141,124</w:t>
            </w: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12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22</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277,060</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274,917</w:t>
            </w:r>
          </w:p>
        </w:tc>
        <w:tc>
          <w:tcPr>
            <w:tcW w:w="0" w:type="dxa"/>
            <w:vAlign w:val="bottom"/>
          </w:tcPr>
          <w:p>
            <w:pPr>
              <w:spacing w:after="0"/>
              <w:rPr>
                <w:sz w:val="1"/>
                <w:szCs w:val="1"/>
                <w:color w:val="auto"/>
              </w:rPr>
            </w:pPr>
          </w:p>
        </w:tc>
      </w:tr>
      <w:tr>
        <w:trPr>
          <w:trHeight w:val="61"/>
        </w:trPr>
        <w:tc>
          <w:tcPr>
            <w:tcW w:w="40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1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5,354,510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4,009,051</w:t>
            </w: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Lease liabilities</w:t>
            </w:r>
          </w:p>
        </w:tc>
        <w:tc>
          <w:tcPr>
            <w:tcW w:w="2120" w:type="dxa"/>
            <w:vAlign w:val="bottom"/>
          </w:tcPr>
          <w:p>
            <w:pPr>
              <w:jc w:val="center"/>
              <w:ind w:left="1491"/>
              <w:spacing w:after="0"/>
              <w:rPr>
                <w:sz w:val="20"/>
                <w:szCs w:val="20"/>
                <w:color w:val="auto"/>
              </w:rPr>
            </w:pPr>
            <w:r>
              <w:rPr>
                <w:rFonts w:ascii="Arial" w:cs="Arial" w:eastAsia="Arial" w:hAnsi="Arial"/>
                <w:sz w:val="18"/>
                <w:szCs w:val="18"/>
                <w:color w:val="auto"/>
                <w:w w:val="89"/>
              </w:rPr>
              <w:t>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7,120,396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2,778,979</w:t>
            </w: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12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22</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5,986,565</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1,937,095</w:t>
            </w:r>
          </w:p>
        </w:tc>
        <w:tc>
          <w:tcPr>
            <w:tcW w:w="0" w:type="dxa"/>
            <w:vAlign w:val="bottom"/>
          </w:tcPr>
          <w:p>
            <w:pPr>
              <w:spacing w:after="0"/>
              <w:rPr>
                <w:sz w:val="1"/>
                <w:szCs w:val="1"/>
                <w:color w:val="auto"/>
              </w:rPr>
            </w:pPr>
          </w:p>
        </w:tc>
      </w:tr>
      <w:tr>
        <w:trPr>
          <w:trHeight w:val="61"/>
        </w:trPr>
        <w:tc>
          <w:tcPr>
            <w:tcW w:w="40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2120" w:type="dxa"/>
            <w:vAlign w:val="bottom"/>
          </w:tcPr>
          <w:p>
            <w:pPr>
              <w:spacing w:after="0"/>
              <w:rPr>
                <w:sz w:val="23"/>
                <w:szCs w:val="23"/>
                <w:color w:val="auto"/>
              </w:rPr>
            </w:pPr>
          </w:p>
        </w:tc>
        <w:tc>
          <w:tcPr>
            <w:tcW w:w="1080" w:type="dxa"/>
            <w:vAlign w:val="bottom"/>
            <w:gridSpan w:val="2"/>
          </w:tcPr>
          <w:p>
            <w:pPr>
              <w:jc w:val="center"/>
              <w:ind w:left="31"/>
              <w:spacing w:after="0"/>
              <w:rPr>
                <w:sz w:val="20"/>
                <w:szCs w:val="20"/>
                <w:color w:val="auto"/>
              </w:rPr>
            </w:pPr>
            <w:r>
              <w:rPr>
                <w:rFonts w:ascii="Arial" w:cs="Arial" w:eastAsia="Arial" w:hAnsi="Arial"/>
                <w:sz w:val="18"/>
                <w:szCs w:val="18"/>
                <w:color w:val="auto"/>
                <w:w w:val="88"/>
              </w:rPr>
              <w:t>13,106,961</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4,716,074</w:t>
            </w: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120" w:type="dxa"/>
            <w:vAlign w:val="bottom"/>
            <w:shd w:val="clear" w:color="auto" w:fill="CCEEFF"/>
          </w:tcPr>
          <w:p>
            <w:pPr>
              <w:spacing w:after="0"/>
              <w:rPr>
                <w:sz w:val="23"/>
                <w:szCs w:val="23"/>
                <w:color w:val="auto"/>
              </w:rPr>
            </w:pPr>
          </w:p>
        </w:tc>
        <w:tc>
          <w:tcPr>
            <w:tcW w:w="1080" w:type="dxa"/>
            <w:vAlign w:val="bottom"/>
            <w:tcBorders>
              <w:right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8"/>
              </w:rPr>
              <w:t>18,461,471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8,725,125</w:t>
            </w:r>
          </w:p>
        </w:tc>
        <w:tc>
          <w:tcPr>
            <w:tcW w:w="0" w:type="dxa"/>
            <w:vAlign w:val="bottom"/>
          </w:tcPr>
          <w:p>
            <w:pPr>
              <w:spacing w:after="0"/>
              <w:rPr>
                <w:sz w:val="1"/>
                <w:szCs w:val="1"/>
                <w:color w:val="auto"/>
              </w:rPr>
            </w:pPr>
          </w:p>
        </w:tc>
      </w:tr>
      <w:tr>
        <w:trPr>
          <w:trHeight w:val="61"/>
        </w:trPr>
        <w:tc>
          <w:tcPr>
            <w:tcW w:w="40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1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9"/>
              </w:rPr>
              <w:t>184,395,802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66,532,293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Contributed equity</w:t>
            </w:r>
          </w:p>
        </w:tc>
        <w:tc>
          <w:tcPr>
            <w:tcW w:w="2120" w:type="dxa"/>
            <w:vAlign w:val="bottom"/>
          </w:tcPr>
          <w:p>
            <w:pPr>
              <w:jc w:val="center"/>
              <w:ind w:left="1491"/>
              <w:spacing w:after="0"/>
              <w:rPr>
                <w:sz w:val="20"/>
                <w:szCs w:val="20"/>
                <w:color w:val="auto"/>
              </w:rPr>
            </w:pPr>
            <w:r>
              <w:rPr>
                <w:rFonts w:ascii="Arial" w:cs="Arial" w:eastAsia="Arial" w:hAnsi="Arial"/>
                <w:sz w:val="18"/>
                <w:szCs w:val="18"/>
                <w:color w:val="auto"/>
                <w:w w:val="89"/>
              </w:rPr>
              <w:t>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9"/>
              </w:rPr>
              <w:t>233,196,507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99,851,510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Reserves</w:t>
            </w:r>
          </w:p>
        </w:tc>
        <w:tc>
          <w:tcPr>
            <w:tcW w:w="2120" w:type="dxa"/>
            <w:vAlign w:val="bottom"/>
            <w:tcBorders>
              <w:bottom w:val="single" w:sz="8" w:color="CCEEFF"/>
            </w:tcBorders>
            <w:shd w:val="clear" w:color="auto" w:fill="CCEEFF"/>
          </w:tcPr>
          <w:p>
            <w:pPr>
              <w:jc w:val="center"/>
              <w:ind w:left="1491"/>
              <w:spacing w:after="0"/>
              <w:rPr>
                <w:sz w:val="20"/>
                <w:szCs w:val="20"/>
                <w:color w:val="auto"/>
              </w:rPr>
            </w:pPr>
            <w:r>
              <w:rPr>
                <w:rFonts w:ascii="Arial" w:cs="Arial" w:eastAsia="Arial" w:hAnsi="Arial"/>
                <w:sz w:val="18"/>
                <w:szCs w:val="18"/>
                <w:color w:val="auto"/>
                <w:w w:val="89"/>
              </w:rPr>
              <w:t>24</w:t>
            </w:r>
          </w:p>
        </w:tc>
        <w:tc>
          <w:tcPr>
            <w:tcW w:w="1080" w:type="dxa"/>
            <w:vAlign w:val="bottom"/>
            <w:tcBorders>
              <w:bottom w:val="single" w:sz="8" w:color="CCEEFF"/>
              <w:right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8"/>
              </w:rPr>
              <w:t>33,132,556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30,537,967</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60" w:type="dxa"/>
            <w:vAlign w:val="bottom"/>
          </w:tcPr>
          <w:p>
            <w:pPr>
              <w:spacing w:after="0"/>
              <w:rPr>
                <w:sz w:val="20"/>
                <w:szCs w:val="20"/>
                <w:color w:val="auto"/>
              </w:rPr>
            </w:pPr>
            <w:r>
              <w:rPr>
                <w:rFonts w:ascii="Arial" w:cs="Arial" w:eastAsia="Arial" w:hAnsi="Arial"/>
                <w:sz w:val="18"/>
                <w:szCs w:val="18"/>
                <w:color w:val="auto"/>
              </w:rPr>
              <w:t>Accumulated losses</w:t>
            </w:r>
          </w:p>
        </w:tc>
        <w:tc>
          <w:tcPr>
            <w:tcW w:w="2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(81,933,261)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(63,857,184)</w:t>
            </w:r>
          </w:p>
        </w:tc>
        <w:tc>
          <w:tcPr>
            <w:tcW w:w="0" w:type="dxa"/>
            <w:vAlign w:val="bottom"/>
          </w:tcPr>
          <w:p>
            <w:pPr>
              <w:spacing w:after="0"/>
              <w:rPr>
                <w:sz w:val="1"/>
                <w:szCs w:val="1"/>
                <w:color w:val="auto"/>
              </w:rPr>
            </w:pPr>
          </w:p>
        </w:tc>
      </w:tr>
      <w:tr>
        <w:trPr>
          <w:trHeight w:val="61"/>
        </w:trPr>
        <w:tc>
          <w:tcPr>
            <w:tcW w:w="40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120" w:type="dxa"/>
            <w:vAlign w:val="bottom"/>
            <w:shd w:val="clear" w:color="auto" w:fill="CCEEFF"/>
          </w:tcPr>
          <w:p>
            <w:pPr>
              <w:spacing w:after="0"/>
              <w:rPr>
                <w:sz w:val="24"/>
                <w:szCs w:val="24"/>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184,395,802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66,532,293</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6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-7045960</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-7045960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above consolidated balance sheet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30 June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Reserves</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8"/>
              </w:rPr>
              <w:t>Share based</w:t>
            </w:r>
          </w:p>
        </w:tc>
        <w:tc>
          <w:tcPr>
            <w:tcW w:w="180" w:type="dxa"/>
            <w:vAlign w:val="bottom"/>
          </w:tcPr>
          <w:p>
            <w:pPr>
              <w:spacing w:after="0"/>
              <w:rPr>
                <w:sz w:val="16"/>
                <w:szCs w:val="16"/>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Foreign</w:t>
            </w: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Convertible</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Contributed</w:t>
            </w: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currency</w:t>
            </w:r>
          </w:p>
        </w:tc>
        <w:tc>
          <w:tcPr>
            <w:tcW w:w="9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payments</w:t>
            </w:r>
          </w:p>
        </w:tc>
        <w:tc>
          <w:tcPr>
            <w:tcW w:w="1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loan note</w:t>
            </w: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Group</w:t>
            </w:r>
          </w:p>
        </w:tc>
        <w:tc>
          <w:tcPr>
            <w:tcW w:w="20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reserve</w:t>
            </w:r>
          </w:p>
        </w:tc>
        <w:tc>
          <w:tcPr>
            <w:tcW w:w="1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reserve</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reserve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60" w:type="dxa"/>
            <w:vAlign w:val="bottom"/>
            <w:vMerge w:val="continue"/>
          </w:tcPr>
          <w:p>
            <w:pPr>
              <w:spacing w:after="0"/>
              <w:rPr>
                <w:sz w:val="16"/>
                <w:szCs w:val="16"/>
                <w:color w:val="auto"/>
              </w:rPr>
            </w:pPr>
          </w:p>
        </w:tc>
        <w:tc>
          <w:tcPr>
            <w:tcW w:w="10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6"/>
                <w:szCs w:val="16"/>
                <w:color w:val="auto"/>
              </w:rPr>
            </w:pPr>
          </w:p>
        </w:tc>
        <w:tc>
          <w:tcPr>
            <w:tcW w:w="9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c>
          <w:tcPr>
            <w:tcW w:w="96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6"/>
                <w:szCs w:val="16"/>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1 July 2018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38,163,405</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(17,706,746)</w:t>
            </w: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8,585,446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140,608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2,426,120</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31,608,833</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Loss for the year</w:t>
            </w:r>
          </w:p>
        </w:tc>
        <w:tc>
          <w:tcPr>
            <w:tcW w:w="200" w:type="dxa"/>
            <w:vAlign w:val="bottom"/>
          </w:tcPr>
          <w:p>
            <w:pPr>
              <w:spacing w:after="0"/>
              <w:rPr>
                <w:sz w:val="23"/>
                <w:szCs w:val="23"/>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(26,121,912)</w:t>
            </w:r>
          </w:p>
        </w:tc>
        <w:tc>
          <w:tcPr>
            <w:tcW w:w="18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(26,121,912)</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809,396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809,396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160" w:type="dxa"/>
            <w:vAlign w:val="bottom"/>
          </w:tcPr>
          <w:p>
            <w:pPr>
              <w:spacing w:after="0"/>
              <w:rPr>
                <w:sz w:val="20"/>
                <w:szCs w:val="20"/>
                <w:color w:val="auto"/>
              </w:rPr>
            </w:pPr>
            <w:r>
              <w:rPr>
                <w:rFonts w:ascii="Arial" w:cs="Arial" w:eastAsia="Arial" w:hAnsi="Arial"/>
                <w:sz w:val="18"/>
                <w:szCs w:val="18"/>
                <w:b w:val="1"/>
                <w:bCs w:val="1"/>
                <w:color w:val="auto"/>
              </w:rPr>
              <w:t>Total comprehensive (loss)/income</w:t>
            </w:r>
          </w:p>
        </w:tc>
        <w:tc>
          <w:tcPr>
            <w:tcW w:w="200" w:type="dxa"/>
            <w:vAlign w:val="bottom"/>
          </w:tcPr>
          <w:p>
            <w:pPr>
              <w:spacing w:after="0"/>
              <w:rPr>
                <w:sz w:val="24"/>
                <w:szCs w:val="2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(26,121,912)</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809,396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(25,312,516)</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 in their</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capacity as owners:</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0"/>
                <w:szCs w:val="20"/>
                <w:color w:val="auto"/>
              </w:rPr>
            </w:pPr>
            <w:r>
              <w:rPr>
                <w:rFonts w:ascii="Arial" w:cs="Arial" w:eastAsia="Arial" w:hAnsi="Arial"/>
                <w:sz w:val="18"/>
                <w:szCs w:val="18"/>
                <w:color w:val="auto"/>
                <w:w w:val="92"/>
              </w:rPr>
              <w:t>Equity component of convertible notes, net</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of transaction costs</w:t>
            </w:r>
          </w:p>
        </w:tc>
        <w:tc>
          <w:tcPr>
            <w:tcW w:w="20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2,802,951</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2,802,951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2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6,673,510</w:t>
            </w:r>
          </w:p>
        </w:tc>
        <w:tc>
          <w:tcPr>
            <w:tcW w:w="18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6,673,510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at 30 June 2019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38,163,405</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(43,828,658)</w:t>
            </w:r>
          </w:p>
        </w:tc>
        <w:tc>
          <w:tcPr>
            <w:tcW w:w="100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15,258,956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950,004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5,229,071</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15,772,778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(20,028,526)</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(20,028,526)</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550,243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550,243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(loss)/income</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(20,028,526)</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550,243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(19,478,283)</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0"/>
                <w:szCs w:val="20"/>
                <w:color w:val="auto"/>
              </w:rPr>
            </w:pPr>
            <w:r>
              <w:rPr>
                <w:rFonts w:ascii="Arial" w:cs="Arial" w:eastAsia="Arial" w:hAnsi="Arial"/>
                <w:sz w:val="18"/>
                <w:szCs w:val="18"/>
                <w:b w:val="1"/>
                <w:bCs w:val="1"/>
                <w:color w:val="auto"/>
              </w:rPr>
              <w:t>Transactions with owners in their</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capacity as owners: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5"/>
              </w:rPr>
              <w:t>Contributions of equity, net of transaction</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61,688,105</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61,688,105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0"/>
                <w:szCs w:val="20"/>
                <w:color w:val="auto"/>
              </w:rPr>
            </w:pPr>
            <w:r>
              <w:rPr>
                <w:rFonts w:ascii="Arial" w:cs="Arial" w:eastAsia="Arial" w:hAnsi="Arial"/>
                <w:sz w:val="18"/>
                <w:szCs w:val="18"/>
                <w:color w:val="auto"/>
                <w:w w:val="92"/>
              </w:rPr>
              <w:t>Equity component of convertible notes, net</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of transaction costs</w:t>
            </w:r>
          </w:p>
        </w:tc>
        <w:tc>
          <w:tcPr>
            <w:tcW w:w="20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990,741</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990,741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2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7,558,952</w:t>
            </w:r>
          </w:p>
        </w:tc>
        <w:tc>
          <w:tcPr>
            <w:tcW w:w="18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7,558,952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at 30 June 2020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99,851,510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(63,857,184)</w:t>
            </w:r>
          </w:p>
        </w:tc>
        <w:tc>
          <w:tcPr>
            <w:tcW w:w="100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22,817,908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1,500,247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6,219,812</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66,532,293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(18,076,077)</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(18,076,077)</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(2,101,097)</w:t>
            </w: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(2,101,097)</w:t>
            </w: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(18,076,077)</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(2,101,097)</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(20,177,174)</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0"/>
                <w:szCs w:val="20"/>
                <w:color w:val="auto"/>
              </w:rPr>
            </w:pPr>
            <w:r>
              <w:rPr>
                <w:rFonts w:ascii="Arial" w:cs="Arial" w:eastAsia="Arial" w:hAnsi="Arial"/>
                <w:sz w:val="18"/>
                <w:szCs w:val="18"/>
                <w:b w:val="1"/>
                <w:bCs w:val="1"/>
                <w:color w:val="auto"/>
              </w:rPr>
              <w:t>Transactions with owners in their</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capacity as owners: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5"/>
              </w:rPr>
              <w:t>Contributions of equity, net of transaction</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131,844,997</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131,844,997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0"/>
                <w:szCs w:val="20"/>
                <w:color w:val="auto"/>
              </w:rPr>
            </w:pPr>
            <w:r>
              <w:rPr>
                <w:rFonts w:ascii="Arial" w:cs="Arial" w:eastAsia="Arial" w:hAnsi="Arial"/>
                <w:sz w:val="18"/>
                <w:szCs w:val="18"/>
                <w:color w:val="auto"/>
              </w:rPr>
              <w:t>Settlement of limited recourse loan</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(note 24(f))</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1,500,000</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(1,252,846)</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247,154</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2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5,948,532</w:t>
            </w:r>
          </w:p>
        </w:tc>
        <w:tc>
          <w:tcPr>
            <w:tcW w:w="18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5,948,532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at 30 June 2021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233,196,507</w:t>
            </w:r>
          </w:p>
        </w:tc>
        <w:tc>
          <w:tcPr>
            <w:tcW w:w="18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(81,933,261)</w:t>
            </w:r>
          </w:p>
        </w:tc>
        <w:tc>
          <w:tcPr>
            <w:tcW w:w="100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27,513,594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(600,850)</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6,219,812</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184,395,802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5292725</wp:posOffset>
            </wp:positionH>
            <wp:positionV relativeFrom="paragraph">
              <wp:posOffset>-6248400</wp:posOffset>
            </wp:positionV>
            <wp:extent cx="12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-6248400</wp:posOffset>
            </wp:positionV>
            <wp:extent cx="1200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-6248400</wp:posOffset>
            </wp:positionV>
            <wp:extent cx="1200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-6248400</wp:posOffset>
            </wp:positionV>
            <wp:extent cx="1200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-6248400</wp:posOffset>
            </wp:positionV>
            <wp:extent cx="1200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-6248400</wp:posOffset>
            </wp:positionV>
            <wp:extent cx="1200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above consolidated statement of changes in equity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126365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5" w:right="1199"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30 June 2021</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Consolidated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7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Notes</w:t>
            </w:r>
          </w:p>
        </w:tc>
        <w:tc>
          <w:tcPr>
            <w:tcW w:w="88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6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Receipts from customers (inclusive of consumption tax)</w:t>
            </w:r>
          </w:p>
        </w:tc>
        <w:tc>
          <w:tcPr>
            <w:tcW w:w="72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5,724,549</w:t>
            </w:r>
          </w:p>
        </w:tc>
        <w:tc>
          <w:tcPr>
            <w:tcW w:w="6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3,542,286</w:t>
            </w:r>
          </w:p>
        </w:tc>
        <w:tc>
          <w:tcPr>
            <w:tcW w:w="6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2,179,964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Payments to suppliers and employees (inclusive of</w:t>
            </w:r>
          </w:p>
        </w:tc>
        <w:tc>
          <w:tcPr>
            <w:tcW w:w="7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consumption tax)</w:t>
            </w:r>
          </w:p>
        </w:tc>
        <w:tc>
          <w:tcPr>
            <w:tcW w:w="7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(14,555,132)</w:t>
            </w: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(9,748,625)</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(6,464,050)</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Interest received</w:t>
            </w:r>
          </w:p>
        </w:tc>
        <w:tc>
          <w:tcPr>
            <w:tcW w:w="7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35,066</w:t>
            </w:r>
          </w:p>
        </w:tc>
        <w:tc>
          <w:tcPr>
            <w:tcW w:w="60" w:type="dxa"/>
            <w:vAlign w:val="bottom"/>
          </w:tcPr>
          <w:p>
            <w:pPr>
              <w:spacing w:after="0"/>
              <w:rPr>
                <w:sz w:val="23"/>
                <w:szCs w:val="23"/>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723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borrowing costs</w:t>
            </w:r>
          </w:p>
        </w:tc>
        <w:tc>
          <w:tcPr>
            <w:tcW w:w="7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(227,789)</w:t>
            </w: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(232,055)</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(154,047)</w:t>
            </w:r>
          </w:p>
        </w:tc>
        <w:tc>
          <w:tcPr>
            <w:tcW w:w="0" w:type="dxa"/>
            <w:vAlign w:val="bottom"/>
          </w:tcPr>
          <w:p>
            <w:pPr>
              <w:spacing w:after="0"/>
              <w:rPr>
                <w:sz w:val="1"/>
                <w:szCs w:val="1"/>
                <w:color w:val="auto"/>
              </w:rPr>
            </w:pPr>
          </w:p>
        </w:tc>
      </w:tr>
      <w:tr>
        <w:trPr>
          <w:trHeight w:val="257"/>
        </w:trPr>
        <w:tc>
          <w:tcPr>
            <w:tcW w:w="4600" w:type="dxa"/>
            <w:vAlign w:val="bottom"/>
          </w:tcPr>
          <w:p>
            <w:pPr>
              <w:spacing w:after="0"/>
              <w:rPr>
                <w:sz w:val="20"/>
                <w:szCs w:val="20"/>
                <w:color w:val="auto"/>
              </w:rPr>
            </w:pPr>
            <w:r>
              <w:rPr>
                <w:rFonts w:ascii="Arial" w:cs="Arial" w:eastAsia="Arial" w:hAnsi="Arial"/>
                <w:sz w:val="18"/>
                <w:szCs w:val="18"/>
                <w:color w:val="auto"/>
              </w:rPr>
              <w:t>Government grants received</w:t>
            </w:r>
          </w:p>
        </w:tc>
        <w:tc>
          <w:tcPr>
            <w:tcW w:w="72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851,242</w:t>
            </w:r>
          </w:p>
        </w:tc>
        <w:tc>
          <w:tcPr>
            <w:tcW w:w="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844,155</w:t>
            </w: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433,513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outflow from operating activities</w:t>
            </w:r>
          </w:p>
        </w:tc>
        <w:tc>
          <w:tcPr>
            <w:tcW w:w="7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26</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(8,172,064)</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(5,593,517)</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(4,000,087)</w:t>
            </w:r>
          </w:p>
        </w:tc>
        <w:tc>
          <w:tcPr>
            <w:tcW w:w="0" w:type="dxa"/>
            <w:vAlign w:val="bottom"/>
          </w:tcPr>
          <w:p>
            <w:pPr>
              <w:spacing w:after="0"/>
              <w:rPr>
                <w:sz w:val="1"/>
                <w:szCs w:val="1"/>
                <w:color w:val="auto"/>
              </w:rPr>
            </w:pPr>
          </w:p>
        </w:tc>
      </w:tr>
      <w:tr>
        <w:trPr>
          <w:trHeight w:val="61"/>
        </w:trPr>
        <w:tc>
          <w:tcPr>
            <w:tcW w:w="4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 for exploration assets</w:t>
            </w:r>
          </w:p>
        </w:tc>
        <w:tc>
          <w:tcPr>
            <w:tcW w:w="7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(117,635)</w:t>
            </w: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(146,195)</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(270,027)</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w w:val="96"/>
              </w:rPr>
              <w:t>Net outflow from the acquisition of Novonix Anode Materials</w:t>
            </w:r>
          </w:p>
        </w:tc>
        <w:tc>
          <w:tcPr>
            <w:tcW w:w="720" w:type="dxa"/>
            <w:vAlign w:val="bottom"/>
          </w:tcPr>
          <w:p>
            <w:pPr>
              <w:spacing w:after="0"/>
              <w:rPr>
                <w:sz w:val="23"/>
                <w:szCs w:val="23"/>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(5,195,171)</w:t>
            </w: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 for security deposits</w:t>
            </w:r>
          </w:p>
        </w:tc>
        <w:tc>
          <w:tcPr>
            <w:tcW w:w="7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(134,250)</w:t>
            </w:r>
          </w:p>
        </w:tc>
        <w:tc>
          <w:tcPr>
            <w:tcW w:w="10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(16,369)</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Arial" w:cs="Arial" w:eastAsia="Arial" w:hAnsi="Arial"/>
                <w:sz w:val="18"/>
                <w:szCs w:val="18"/>
                <w:color w:val="auto"/>
              </w:rPr>
              <w:t>Payments for property, plant and equipment</w:t>
            </w:r>
          </w:p>
        </w:tc>
        <w:tc>
          <w:tcPr>
            <w:tcW w:w="720" w:type="dxa"/>
            <w:vAlign w:val="bottom"/>
          </w:tcPr>
          <w:p>
            <w:pPr>
              <w:spacing w:after="0"/>
              <w:rPr>
                <w:sz w:val="22"/>
                <w:szCs w:val="22"/>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(26,164,470)</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(5,339,448)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(1,888,231)</w:t>
            </w:r>
          </w:p>
        </w:tc>
        <w:tc>
          <w:tcPr>
            <w:tcW w:w="0" w:type="dxa"/>
            <w:vAlign w:val="bottom"/>
          </w:tcPr>
          <w:p>
            <w:pPr>
              <w:spacing w:after="0"/>
              <w:rPr>
                <w:sz w:val="1"/>
                <w:szCs w:val="1"/>
                <w:color w:val="auto"/>
              </w:rPr>
            </w:pPr>
          </w:p>
        </w:tc>
      </w:tr>
      <w:tr>
        <w:trPr>
          <w:trHeight w:val="61"/>
        </w:trPr>
        <w:tc>
          <w:tcPr>
            <w:tcW w:w="4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outflow from investing activities</w:t>
            </w:r>
          </w:p>
        </w:tc>
        <w:tc>
          <w:tcPr>
            <w:tcW w:w="720" w:type="dxa"/>
            <w:vAlign w:val="bottom"/>
            <w:shd w:val="clear" w:color="auto" w:fill="CCEEFF"/>
          </w:tcPr>
          <w:p>
            <w:pPr>
              <w:spacing w:after="0"/>
              <w:rPr>
                <w:sz w:val="23"/>
                <w:szCs w:val="23"/>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(26,416,355)</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(5,502,012)</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(7,353,929)</w:t>
            </w:r>
          </w:p>
        </w:tc>
        <w:tc>
          <w:tcPr>
            <w:tcW w:w="0" w:type="dxa"/>
            <w:vAlign w:val="bottom"/>
          </w:tcPr>
          <w:p>
            <w:pPr>
              <w:spacing w:after="0"/>
              <w:rPr>
                <w:sz w:val="1"/>
                <w:szCs w:val="1"/>
                <w:color w:val="auto"/>
              </w:rPr>
            </w:pPr>
          </w:p>
        </w:tc>
      </w:tr>
      <w:tr>
        <w:trPr>
          <w:trHeight w:val="61"/>
        </w:trPr>
        <w:tc>
          <w:tcPr>
            <w:tcW w:w="4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on issue of shares</w:t>
            </w:r>
          </w:p>
        </w:tc>
        <w:tc>
          <w:tcPr>
            <w:tcW w:w="7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136,818,667</w:t>
            </w:r>
          </w:p>
        </w:tc>
        <w:tc>
          <w:tcPr>
            <w:tcW w:w="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45,845,239</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Proceeds on issue of loan notes (net of expenses)</w:t>
            </w:r>
          </w:p>
        </w:tc>
        <w:tc>
          <w:tcPr>
            <w:tcW w:w="720" w:type="dxa"/>
            <w:vAlign w:val="bottom"/>
          </w:tcPr>
          <w:p>
            <w:pPr>
              <w:spacing w:after="0"/>
              <w:rPr>
                <w:sz w:val="23"/>
                <w:szCs w:val="23"/>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12,334,899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share issue expenses</w:t>
            </w:r>
          </w:p>
        </w:tc>
        <w:tc>
          <w:tcPr>
            <w:tcW w:w="7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(7,908,866)</w:t>
            </w: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(1,308,596)</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Proceeds from borrowings</w:t>
            </w:r>
          </w:p>
        </w:tc>
        <w:tc>
          <w:tcPr>
            <w:tcW w:w="72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4,059,714</w:t>
            </w:r>
          </w:p>
        </w:tc>
        <w:tc>
          <w:tcPr>
            <w:tcW w:w="6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6,603,722</w:t>
            </w:r>
          </w:p>
        </w:tc>
        <w:tc>
          <w:tcPr>
            <w:tcW w:w="6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4,582,160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elements of lease repayments</w:t>
            </w:r>
          </w:p>
        </w:tc>
        <w:tc>
          <w:tcPr>
            <w:tcW w:w="7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(190,426)</w:t>
            </w: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(141,968)</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Arial" w:cs="Arial" w:eastAsia="Arial" w:hAnsi="Arial"/>
                <w:sz w:val="18"/>
                <w:szCs w:val="18"/>
                <w:color w:val="auto"/>
              </w:rPr>
              <w:t>Repayment of borrowings</w:t>
            </w:r>
          </w:p>
        </w:tc>
        <w:tc>
          <w:tcPr>
            <w:tcW w:w="720" w:type="dxa"/>
            <w:vAlign w:val="bottom"/>
          </w:tcPr>
          <w:p>
            <w:pPr>
              <w:spacing w:after="0"/>
              <w:rPr>
                <w:sz w:val="22"/>
                <w:szCs w:val="22"/>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(86,543)</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(6,996,422)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(56,319)</w:t>
            </w:r>
          </w:p>
        </w:tc>
        <w:tc>
          <w:tcPr>
            <w:tcW w:w="0" w:type="dxa"/>
            <w:vAlign w:val="bottom"/>
          </w:tcPr>
          <w:p>
            <w:pPr>
              <w:spacing w:after="0"/>
              <w:rPr>
                <w:sz w:val="1"/>
                <w:szCs w:val="1"/>
                <w:color w:val="auto"/>
              </w:rPr>
            </w:pPr>
          </w:p>
        </w:tc>
      </w:tr>
      <w:tr>
        <w:trPr>
          <w:trHeight w:val="61"/>
        </w:trPr>
        <w:tc>
          <w:tcPr>
            <w:tcW w:w="4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inflow from financing activities</w:t>
            </w:r>
          </w:p>
        </w:tc>
        <w:tc>
          <w:tcPr>
            <w:tcW w:w="7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132,692,546</w:t>
            </w:r>
          </w:p>
        </w:tc>
        <w:tc>
          <w:tcPr>
            <w:tcW w:w="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44,001,975</w:t>
            </w:r>
          </w:p>
        </w:tc>
        <w:tc>
          <w:tcPr>
            <w:tcW w:w="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16,860,740</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4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6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7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98,104,127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32,906,446</w:t>
            </w:r>
          </w:p>
        </w:tc>
        <w:tc>
          <w:tcPr>
            <w:tcW w:w="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5,506,724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Effects of foreign currency</w:t>
            </w:r>
          </w:p>
        </w:tc>
        <w:tc>
          <w:tcPr>
            <w:tcW w:w="7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(247,813)</w:t>
            </w: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(153,448)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182,348</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7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38,807,662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6,054,664</w:t>
            </w:r>
          </w:p>
        </w:tc>
        <w:tc>
          <w:tcPr>
            <w:tcW w:w="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365,592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7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136,663,976</w:t>
            </w:r>
          </w:p>
        </w:tc>
        <w:tc>
          <w:tcPr>
            <w:tcW w:w="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38,807,662</w:t>
            </w:r>
          </w:p>
        </w:tc>
        <w:tc>
          <w:tcPr>
            <w:tcW w:w="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6,054,664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Non–cash financing and investing activities</w:t>
            </w:r>
          </w:p>
        </w:tc>
        <w:tc>
          <w:tcPr>
            <w:tcW w:w="720" w:type="dxa"/>
            <w:vAlign w:val="bottom"/>
            <w:tcBorders>
              <w:top w:val="single" w:sz="8" w:color="CCEEFF"/>
            </w:tcBorders>
          </w:tcPr>
          <w:p>
            <w:pPr>
              <w:jc w:val="right"/>
              <w:ind w:right="115"/>
              <w:spacing w:after="0"/>
              <w:rPr>
                <w:sz w:val="20"/>
                <w:szCs w:val="20"/>
                <w:color w:val="auto"/>
              </w:rPr>
            </w:pPr>
            <w:r>
              <w:rPr>
                <w:rFonts w:ascii="Arial" w:cs="Arial" w:eastAsia="Arial" w:hAnsi="Arial"/>
                <w:sz w:val="18"/>
                <w:szCs w:val="18"/>
                <w:color w:val="auto"/>
              </w:rPr>
              <w:t>26(b)</w:t>
            </w: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-5640070</wp:posOffset>
            </wp:positionV>
            <wp:extent cx="120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-5640070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-5640070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above consolidated statement of cash flows should be read in conjunction with the accompanying notes.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consolidated financial statements for the years ended 30 June 2021</w:t>
      </w:r>
    </w:p>
    <w:p>
      <w:pPr>
        <w:spacing w:after="0" w:line="144"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Basis of preparation</w:t>
      </w:r>
    </w:p>
    <w:p>
      <w:pPr>
        <w:spacing w:after="0" w:line="117" w:lineRule="exact"/>
        <w:rPr>
          <w:sz w:val="20"/>
          <w:szCs w:val="20"/>
          <w:color w:val="auto"/>
        </w:rPr>
      </w:pPr>
    </w:p>
    <w:p>
      <w:pPr>
        <w:ind w:left="300" w:right="299"/>
        <w:spacing w:after="0" w:line="257" w:lineRule="auto"/>
        <w:rPr>
          <w:sz w:val="20"/>
          <w:szCs w:val="20"/>
          <w:color w:val="auto"/>
        </w:rPr>
      </w:pPr>
      <w:r>
        <w:rPr>
          <w:rFonts w:ascii="Arial" w:cs="Arial" w:eastAsia="Arial" w:hAnsi="Arial"/>
          <w:sz w:val="18"/>
          <w:szCs w:val="18"/>
          <w:color w:val="auto"/>
        </w:rPr>
        <w:t>These general purpose financial statements have been prepared in accordance with International Financial Reporting Standards (‘IFRS’) as issued by the International Accounting Standards Board. The Group is a for-profit entity for financial reporting purposes under International Financial Reporting Standards. Material accounting policies adopted in the preparation of these financial statements are presented below and have been consistently applied unless stated otherwise.</w:t>
      </w:r>
    </w:p>
    <w:p>
      <w:pPr>
        <w:spacing w:after="0" w:line="80"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Except for cash flow information, the financial statements have been prepared on an accruals basis and are based on historical costs, modified, where applicable, by the measurement at fair value of selected non-current assets, financial assets and financial liabilities.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left="300" w:right="419"/>
        <w:spacing w:after="0" w:line="308" w:lineRule="auto"/>
        <w:rPr>
          <w:sz w:val="20"/>
          <w:szCs w:val="20"/>
          <w:color w:val="auto"/>
        </w:rPr>
      </w:pPr>
      <w:r>
        <w:rPr>
          <w:rFonts w:ascii="Arial" w:cs="Arial" w:eastAsia="Arial" w:hAnsi="Arial"/>
          <w:sz w:val="17"/>
          <w:szCs w:val="17"/>
          <w:color w:val="auto"/>
        </w:rPr>
        <w:t>The financial report has been prepared on a going concern basis, which contemplates continuity of normal business activities and the realisation of assets and settlement of liabilities in the normal course of business.</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disclosed in the financial report, the consolidated entity incurred a net loss of $18,076,077 (30 June 2020:</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$20,028,526) and net operating cash outflows of $8,172,064 (30 June 2020: $5,593,517) for the year ended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30 June 2021. As at 30 June 2021 the consolidated entity has a cash balance of $136,663,976 (30 June 2020:</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$38,807,662) and net current assets of $138,671,009 (30 June 2020: $37,393,388).</w:t>
      </w:r>
    </w:p>
    <w:p>
      <w:pPr>
        <w:spacing w:after="0" w:line="103"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color w:val="auto"/>
        </w:rPr>
        <w:t>The ability of the consolidated entity to continue as a going concern is principally dependent upon one or more of the following:</w:t>
      </w:r>
    </w:p>
    <w:p>
      <w:pPr>
        <w:spacing w:after="0" w:line="62" w:lineRule="exact"/>
        <w:rPr>
          <w:sz w:val="20"/>
          <w:szCs w:val="20"/>
          <w:color w:val="auto"/>
        </w:rPr>
      </w:pPr>
    </w:p>
    <w:p>
      <w:pPr>
        <w:ind w:left="1000" w:right="619" w:hanging="348"/>
        <w:spacing w:after="0" w:line="277"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successful and profitable growth of the battery materials, battery consulting and battery technology businesses;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ability of the consolidated entity to meet its cashflow forecasts; and</w:t>
      </w:r>
    </w:p>
    <w:p>
      <w:pPr>
        <w:spacing w:after="0" w:line="117"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ability of the consolidated entity to raise capital as and when necessary and/or secure prepayments from customers for product.</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These conditions raise substantial doubt over the consolidated entity’s ability to continue as a going concern.</w:t>
      </w:r>
    </w:p>
    <w:p>
      <w:pPr>
        <w:spacing w:after="0" w:line="129" w:lineRule="exact"/>
        <w:rPr>
          <w:sz w:val="20"/>
          <w:szCs w:val="20"/>
          <w:color w:val="auto"/>
        </w:rPr>
      </w:pPr>
    </w:p>
    <w:p>
      <w:pPr>
        <w:ind w:left="300" w:right="439"/>
        <w:spacing w:after="0" w:line="254" w:lineRule="auto"/>
        <w:rPr>
          <w:sz w:val="20"/>
          <w:szCs w:val="20"/>
          <w:color w:val="auto"/>
        </w:rPr>
      </w:pPr>
      <w:r>
        <w:rPr>
          <w:rFonts w:ascii="Arial" w:cs="Arial" w:eastAsia="Arial" w:hAnsi="Arial"/>
          <w:sz w:val="18"/>
          <w:szCs w:val="18"/>
          <w:color w:val="auto"/>
        </w:rPr>
        <w:t>The directors believe that the going concern basis of preparation is appropriate as the consolidated entity has a strong history of being able to raise capital from debt and equity sources, raising $63million of additional capital in June 2020, $115 million in March 2021 and $16 million in May 2021. Since the end of the financial year, the consolidated entity has entered into an agreement, which is subject to shareholder approval, with Phillips 66, a global producer of petroleum needle coke, for them to subscribe for 77,962,578 ordinary shares, which will raise a further $203 million (refer to note 29). The directors are also pursuing a NASDAQ listing which will provide additional funds.</w:t>
      </w:r>
    </w:p>
    <w:p>
      <w:pPr>
        <w:spacing w:after="0" w:line="87"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The Directors have considered the impact of Covid 19 and found that the pandemic has not had a significant effect on the consolidated entity’s ability to continue as a going concern.</w:t>
      </w:r>
    </w:p>
    <w:p>
      <w:pPr>
        <w:spacing w:after="0" w:line="62" w:lineRule="exact"/>
        <w:rPr>
          <w:sz w:val="20"/>
          <w:szCs w:val="20"/>
          <w:color w:val="auto"/>
        </w:rPr>
      </w:pPr>
    </w:p>
    <w:p>
      <w:pPr>
        <w:jc w:val="both"/>
        <w:ind w:left="300" w:right="399"/>
        <w:spacing w:after="0" w:line="263" w:lineRule="auto"/>
        <w:rPr>
          <w:sz w:val="20"/>
          <w:szCs w:val="20"/>
          <w:color w:val="auto"/>
        </w:rPr>
      </w:pPr>
      <w:r>
        <w:rPr>
          <w:rFonts w:ascii="Arial" w:cs="Arial" w:eastAsia="Arial" w:hAnsi="Arial"/>
          <w:sz w:val="18"/>
          <w:szCs w:val="18"/>
          <w:color w:val="auto"/>
        </w:rPr>
        <w:t>Should the consolidated entity be unable to continue as a going concern, it may be required to realise its assets and extinguish its liabilities other than in the ordinary course of business, and at amounts that differ from those stated in the financial report.</w:t>
      </w:r>
    </w:p>
    <w:p>
      <w:pPr>
        <w:spacing w:after="0" w:line="76"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This financial report does not include any adjustments relating to the recoverability and classification of recorded asset amounts or the amounts or classification of liabilities and appropriate disclosures that may be necessary should the consolidated entity be unable to continue as a going concern.</w:t>
      </w:r>
    </w:p>
    <w:p>
      <w:pPr>
        <w:spacing w:after="0" w:line="76"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The financial statements were authorised for issue by the Directors on 14 September 2021. The Directors have the power to amend and reissue the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27" w:lineRule="exact"/>
        <w:rPr>
          <w:sz w:val="20"/>
          <w:szCs w:val="20"/>
          <w:color w:val="auto"/>
        </w:rPr>
      </w:pPr>
    </w:p>
    <w:p>
      <w:pPr>
        <w:ind w:left="640" w:hanging="348"/>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03" w:lineRule="exact"/>
        <w:rPr>
          <w:sz w:val="20"/>
          <w:szCs w:val="20"/>
          <w:color w:val="auto"/>
        </w:rPr>
      </w:pPr>
    </w:p>
    <w:p>
      <w:pPr>
        <w:ind w:left="300" w:right="399"/>
        <w:spacing w:after="0" w:line="311" w:lineRule="auto"/>
        <w:rPr>
          <w:sz w:val="20"/>
          <w:szCs w:val="20"/>
          <w:color w:val="auto"/>
        </w:rPr>
      </w:pPr>
      <w:r>
        <w:rPr>
          <w:rFonts w:ascii="Arial" w:cs="Arial" w:eastAsia="Arial" w:hAnsi="Arial"/>
          <w:sz w:val="16"/>
          <w:szCs w:val="16"/>
          <w:color w:val="auto"/>
        </w:rPr>
        <w:t>The consolidated financial statements incorporate the assets and liabilities of all subsidiaries of NOVONIX Limited (‘Company’ or ‘Parent Entity’) as at 30 June 2021 and the results of all subsidiaries for the year then ended. NOVONIX Limited and its subsidiaries together are referred to in these financial statements as the ‘Group’.</w:t>
      </w:r>
    </w:p>
    <w:p>
      <w:pPr>
        <w:spacing w:after="0" w:line="41"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Subsidiaries are all those entities over which the Group has control. The Group controls an entity when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w:t>
      </w:r>
    </w:p>
    <w:p>
      <w:pPr>
        <w:spacing w:after="0" w:line="49"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Intercompany transactions, balances and unrealised gains on transactions between entities in the Group are eliminated. Unrealised losses are also eliminated unless the transaction provides evidence of the impairment of the asset transferred. Accounting policies of subsidiaries have been changed where necessary to ensure consistency with the policies adopted by the Group.</w:t>
      </w:r>
    </w:p>
    <w:p>
      <w:pPr>
        <w:spacing w:after="0" w:line="79" w:lineRule="exact"/>
        <w:rPr>
          <w:sz w:val="20"/>
          <w:szCs w:val="20"/>
          <w:color w:val="auto"/>
        </w:rPr>
      </w:pPr>
    </w:p>
    <w:p>
      <w:pPr>
        <w:jc w:val="both"/>
        <w:ind w:left="300" w:right="439"/>
        <w:spacing w:after="0" w:line="259" w:lineRule="auto"/>
        <w:rPr>
          <w:sz w:val="20"/>
          <w:szCs w:val="20"/>
          <w:color w:val="auto"/>
        </w:rPr>
      </w:pPr>
      <w:r>
        <w:rPr>
          <w:rFonts w:ascii="Arial" w:cs="Arial" w:eastAsia="Arial" w:hAnsi="Arial"/>
          <w:sz w:val="18"/>
          <w:szCs w:val="18"/>
          <w:color w:val="auto"/>
        </w:rPr>
        <w:t>Where equity instruments are issued in a business combination, the fair value of the instruments is their published market price as at the date of exchange. Transaction costs arising on the issue of equity instruments are recognised directly in equity. The consideration transferred also includes the fair value of any asset or liability resulting from a contingent consideration arrangement.</w:t>
      </w:r>
    </w:p>
    <w:p>
      <w:pPr>
        <w:spacing w:after="0" w:line="79" w:lineRule="exact"/>
        <w:rPr>
          <w:sz w:val="20"/>
          <w:szCs w:val="20"/>
          <w:color w:val="auto"/>
        </w:rPr>
      </w:pPr>
    </w:p>
    <w:p>
      <w:pPr>
        <w:ind w:left="300" w:right="379"/>
        <w:spacing w:after="0" w:line="254" w:lineRule="auto"/>
        <w:rPr>
          <w:sz w:val="20"/>
          <w:szCs w:val="20"/>
          <w:color w:val="auto"/>
        </w:rPr>
      </w:pPr>
      <w:r>
        <w:rPr>
          <w:rFonts w:ascii="Arial" w:cs="Arial" w:eastAsia="Arial" w:hAnsi="Arial"/>
          <w:sz w:val="18"/>
          <w:szCs w:val="18"/>
          <w:color w:val="auto"/>
        </w:rPr>
        <w:t>With limited exceptions, all identifiable assets acquired and liabilities and contingent liabilities assumed in a business combination are measured initially at their fair values at the acquisition date. The excess of the consideration transferred, amount of any non-controlling interest in the acquired entity, over the net fair value of the Group's share of the identifiable net assets acquired is recognised as goodwill. If the consideration transferred of the acquisition is less than the Group's share of the net fair value of the identifiable net assets of the subsidiary, the difference is recognised as a gain in the profit and loss in the Consolidated Statement of Profit or Loss and Other Comprehensive Income, but only after a reassessment of the identification and measurement of the net assets acquired.</w:t>
      </w:r>
    </w:p>
    <w:p>
      <w:pPr>
        <w:spacing w:after="0" w:line="84"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Where settlement of any part of the cash consideration is deferred, the amounts payable in the future are discounted to their present value, as at the date of exchange. The discount rate used is the entity's incremental borrowing rate, being the rate at which a similar borrowing could be obtained from an independent financier under comparable terms and conditions.</w:t>
      </w:r>
    </w:p>
    <w:p>
      <w:pPr>
        <w:spacing w:after="0" w:line="183" w:lineRule="exact"/>
        <w:rPr>
          <w:sz w:val="20"/>
          <w:szCs w:val="20"/>
          <w:color w:val="auto"/>
        </w:rPr>
      </w:pPr>
    </w:p>
    <w:p>
      <w:pPr>
        <w:ind w:left="640" w:hanging="348"/>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300" w:right="679"/>
        <w:spacing w:after="0" w:line="259" w:lineRule="auto"/>
        <w:rPr>
          <w:sz w:val="20"/>
          <w:szCs w:val="20"/>
          <w:color w:val="auto"/>
        </w:rPr>
      </w:pPr>
      <w:r>
        <w:rPr>
          <w:rFonts w:ascii="Arial" w:cs="Arial" w:eastAsia="Arial" w:hAnsi="Arial"/>
          <w:sz w:val="18"/>
          <w:szCs w:val="18"/>
          <w:color w:val="auto"/>
        </w:rPr>
        <w:t>The income tax expense or benefit for the period is the tax payable on that period’s taxable income based on the applicable income tax rate for each jurisdiction, adjusted by the changes in deferred tax assets and liabilities attributable to temporary differences, unused tax losses and the adjustment recognised for prior periods, where applicable.</w:t>
      </w:r>
    </w:p>
    <w:p>
      <w:pPr>
        <w:spacing w:after="0" w:line="79" w:lineRule="exact"/>
        <w:rPr>
          <w:sz w:val="20"/>
          <w:szCs w:val="20"/>
          <w:color w:val="auto"/>
        </w:rPr>
      </w:pPr>
    </w:p>
    <w:p>
      <w:pPr>
        <w:ind w:left="300" w:right="619"/>
        <w:spacing w:after="0" w:line="263" w:lineRule="auto"/>
        <w:rPr>
          <w:sz w:val="20"/>
          <w:szCs w:val="20"/>
          <w:color w:val="auto"/>
        </w:rPr>
      </w:pPr>
      <w:r>
        <w:rPr>
          <w:rFonts w:ascii="Arial" w:cs="Arial" w:eastAsia="Arial" w:hAnsi="Arial"/>
          <w:sz w:val="18"/>
          <w:szCs w:val="18"/>
          <w:color w:val="auto"/>
        </w:rPr>
        <w:t>Deferred tax assets and liabilities are recognised for temporary differences at the tax rates expected to be applied when the assets are recovered or liabilities are settled, based on those tax rates that are enacted or substantively enacted, except for:</w:t>
      </w:r>
    </w:p>
    <w:p>
      <w:pPr>
        <w:spacing w:after="0" w:line="76" w:lineRule="exact"/>
        <w:rPr>
          <w:sz w:val="20"/>
          <w:szCs w:val="20"/>
          <w:color w:val="auto"/>
        </w:rPr>
      </w:pPr>
    </w:p>
    <w:p>
      <w:pPr>
        <w:ind w:left="1000" w:right="319" w:hanging="348"/>
        <w:spacing w:after="0" w:line="263"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When the deferred income tax asset or liability arises from the initial recognition of goodwill or an asset or liability in a transaction that is not a business combination and that, at the time of the transaction, affects neither the accounting nor taxable profits; or</w:t>
      </w:r>
    </w:p>
    <w:p>
      <w:pPr>
        <w:spacing w:after="0" w:line="75" w:lineRule="exact"/>
        <w:rPr>
          <w:rFonts w:ascii="Arial" w:cs="Arial" w:eastAsia="Arial" w:hAnsi="Arial"/>
          <w:sz w:val="18"/>
          <w:szCs w:val="18"/>
          <w:color w:val="auto"/>
        </w:rPr>
      </w:pPr>
    </w:p>
    <w:p>
      <w:pPr>
        <w:ind w:left="1000" w:right="499" w:hanging="348"/>
        <w:spacing w:after="0" w:line="263"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When the taxable temporary difference is associated with interests in subsidiaries, associates or joint ventures, and the timing of the reversal can be controlled and it is probable that the temporary difference will not reverse in the foreseeable future.</w:t>
      </w:r>
    </w:p>
    <w:p>
      <w:pPr>
        <w:spacing w:after="0" w:line="76" w:lineRule="exact"/>
        <w:rPr>
          <w:sz w:val="20"/>
          <w:szCs w:val="20"/>
          <w:color w:val="auto"/>
        </w:rPr>
      </w:pPr>
    </w:p>
    <w:p>
      <w:pPr>
        <w:ind w:left="300" w:right="499"/>
        <w:spacing w:after="0" w:line="308" w:lineRule="auto"/>
        <w:rPr>
          <w:sz w:val="20"/>
          <w:szCs w:val="20"/>
          <w:color w:val="auto"/>
        </w:rPr>
      </w:pPr>
      <w:r>
        <w:rPr>
          <w:rFonts w:ascii="Arial" w:cs="Arial" w:eastAsia="Arial" w:hAnsi="Arial"/>
          <w:sz w:val="17"/>
          <w:szCs w:val="17"/>
          <w:color w:val="auto"/>
        </w:rPr>
        <w:t>Deferred tax assets are recognised for deductible temporary differences and unused tax losses only if it is probable that future taxable amounts will be available to utilise those temporary differences and losses.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48" w:lineRule="exact"/>
        <w:rPr>
          <w:sz w:val="20"/>
          <w:szCs w:val="20"/>
          <w:color w:val="auto"/>
        </w:rPr>
      </w:pPr>
    </w:p>
    <w:p>
      <w:pPr>
        <w:ind w:left="300" w:right="439"/>
        <w:spacing w:after="0" w:line="301" w:lineRule="auto"/>
        <w:rPr>
          <w:sz w:val="20"/>
          <w:szCs w:val="20"/>
          <w:color w:val="auto"/>
        </w:rPr>
      </w:pPr>
      <w:r>
        <w:rPr>
          <w:rFonts w:ascii="Arial" w:cs="Arial" w:eastAsia="Arial" w:hAnsi="Arial"/>
          <w:sz w:val="16"/>
          <w:szCs w:val="16"/>
          <w:color w:val="auto"/>
        </w:rPr>
        <w:t>The carrying amount of recognised and unrecognised deferred tax assets are reviewed at each reporting date. Deferred tax assets recognised are reduced to the extent that it is no longer probable that future taxable profits will be available for the carrying amount to be recovered. Previously unrecognised deferred tax assets are recognised to the extent that it is probable that there are future taxable profits available to recover the asset.</w:t>
      </w:r>
    </w:p>
    <w:p>
      <w:pPr>
        <w:spacing w:after="0" w:line="49" w:lineRule="exact"/>
        <w:rPr>
          <w:sz w:val="20"/>
          <w:szCs w:val="20"/>
          <w:color w:val="auto"/>
        </w:rPr>
      </w:pPr>
    </w:p>
    <w:p>
      <w:pPr>
        <w:ind w:left="300" w:right="359"/>
        <w:spacing w:after="0" w:line="311" w:lineRule="auto"/>
        <w:rPr>
          <w:sz w:val="20"/>
          <w:szCs w:val="20"/>
          <w:color w:val="auto"/>
        </w:rPr>
      </w:pPr>
      <w:r>
        <w:rPr>
          <w:rFonts w:ascii="Arial" w:cs="Arial" w:eastAsia="Arial" w:hAnsi="Arial"/>
          <w:sz w:val="16"/>
          <w:szCs w:val="16"/>
          <w:color w:val="auto"/>
        </w:rPr>
        <w:t>Deferred tax assets and liabilities are offset only where there is a legally enforceable right to offset current tax assets against current tax liabilities and deferred tax assets against deferred tax liabilities; and they relate to the same taxable authority on either the same taxable entity or different taxable entities which intend to settle simultaneously.</w:t>
      </w:r>
    </w:p>
    <w:p>
      <w:pPr>
        <w:spacing w:after="0" w:line="145" w:lineRule="exact"/>
        <w:rPr>
          <w:sz w:val="20"/>
          <w:szCs w:val="20"/>
          <w:color w:val="auto"/>
        </w:rPr>
      </w:pPr>
    </w:p>
    <w:p>
      <w:pPr>
        <w:ind w:left="640" w:hanging="348"/>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300" w:right="479"/>
        <w:spacing w:after="0" w:line="308" w:lineRule="auto"/>
        <w:rPr>
          <w:sz w:val="20"/>
          <w:szCs w:val="20"/>
          <w:color w:val="auto"/>
        </w:rPr>
      </w:pPr>
      <w:r>
        <w:rPr>
          <w:rFonts w:ascii="Arial" w:cs="Arial" w:eastAsia="Arial" w:hAnsi="Arial"/>
          <w:sz w:val="17"/>
          <w:szCs w:val="17"/>
          <w:color w:val="auto"/>
        </w:rPr>
        <w:t>Revenue is recognised when it is probable that the economic benefit will flow to the Group and the revenue can be reliably measured. Revenue is measured at the fair value of the consideration received or receivable.</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Sales of Goods</w:t>
      </w:r>
    </w:p>
    <w:p>
      <w:pPr>
        <w:spacing w:after="0" w:line="117"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Revenue for the hardware is recognised at a point in time when the hardware is delivered, the legal title has passed and the customer has accepted the hardware.</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Consulting services</w:t>
      </w:r>
    </w:p>
    <w:p>
      <w:pPr>
        <w:spacing w:after="0" w:line="117" w:lineRule="exact"/>
        <w:rPr>
          <w:sz w:val="20"/>
          <w:szCs w:val="20"/>
          <w:color w:val="auto"/>
        </w:rPr>
      </w:pPr>
    </w:p>
    <w:p>
      <w:pPr>
        <w:ind w:left="300" w:right="579"/>
        <w:spacing w:after="0" w:line="255" w:lineRule="auto"/>
        <w:rPr>
          <w:sz w:val="20"/>
          <w:szCs w:val="20"/>
          <w:color w:val="auto"/>
        </w:rPr>
      </w:pPr>
      <w:r>
        <w:rPr>
          <w:rFonts w:ascii="Arial" w:cs="Arial" w:eastAsia="Arial" w:hAnsi="Arial"/>
          <w:sz w:val="18"/>
          <w:szCs w:val="18"/>
          <w:color w:val="auto"/>
        </w:rPr>
        <w:t>The consulting division provides battery cell design, implementation and support services under fixed-price and variable price contracts. Revenue from providing services is recognised in the accounting period in which the services are rendered. For fixed-price contracts, revenue is recognised based on the actual service provided to the end of the reporting period as a proportion of the total services to be provided because the customer receives and uses the benefits simultaneously. This is determined based on the actual labour hours spent relative to the total expected labour hours.</w:t>
      </w:r>
    </w:p>
    <w:p>
      <w:pPr>
        <w:spacing w:after="0" w:line="84" w:lineRule="exact"/>
        <w:rPr>
          <w:sz w:val="20"/>
          <w:szCs w:val="20"/>
          <w:color w:val="auto"/>
        </w:rPr>
      </w:pPr>
    </w:p>
    <w:p>
      <w:pPr>
        <w:ind w:left="300" w:right="619"/>
        <w:spacing w:after="0" w:line="263" w:lineRule="auto"/>
        <w:rPr>
          <w:sz w:val="20"/>
          <w:szCs w:val="20"/>
          <w:color w:val="auto"/>
        </w:rPr>
      </w:pPr>
      <w:r>
        <w:rPr>
          <w:rFonts w:ascii="Arial" w:cs="Arial" w:eastAsia="Arial" w:hAnsi="Arial"/>
          <w:sz w:val="18"/>
          <w:szCs w:val="18"/>
          <w:color w:val="auto"/>
        </w:rPr>
        <w:t>Where the contracts include multiple performance obligations, the transaction price will be allocated to each performance obligation based on the stand-alone selling prices. Where these are not directly observable, they are estimated based on expected cost plus margin.</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revenue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revenue is recognised when it is received or when the right to receive payment is established.</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INCOME</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Interest income is recognised as interest accrues using the effective interest method. This is a method of calculating the amortised cost of a financial asset and allocating the interest income over the relevant period using the effective interest rate, which is the rate that exactly discounts estimated future cash receipts through the expected life of the financial asset to the net carrying amount of the financial asset.</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ind w:left="300" w:right="339"/>
        <w:spacing w:after="0" w:line="277" w:lineRule="auto"/>
        <w:rPr>
          <w:sz w:val="20"/>
          <w:szCs w:val="20"/>
          <w:color w:val="auto"/>
        </w:rPr>
      </w:pPr>
      <w:r>
        <w:rPr>
          <w:rFonts w:ascii="Arial" w:cs="Arial" w:eastAsia="Arial" w:hAnsi="Arial"/>
          <w:sz w:val="18"/>
          <w:szCs w:val="18"/>
          <w:color w:val="auto"/>
        </w:rPr>
        <w:t>Grants from government bodies are recognised at their fair value where there is a reasonable assurance that the grant will be received and the group will comply with all attached conditions.</w:t>
      </w:r>
    </w:p>
    <w:p>
      <w:pPr>
        <w:spacing w:after="0" w:line="166" w:lineRule="exact"/>
        <w:rPr>
          <w:sz w:val="20"/>
          <w:szCs w:val="20"/>
          <w:color w:val="auto"/>
        </w:rPr>
      </w:pPr>
    </w:p>
    <w:p>
      <w:pPr>
        <w:ind w:left="640" w:hanging="348"/>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left="300" w:right="319"/>
        <w:spacing w:after="0" w:line="286" w:lineRule="auto"/>
        <w:rPr>
          <w:sz w:val="20"/>
          <w:szCs w:val="20"/>
          <w:color w:val="auto"/>
        </w:rPr>
      </w:pPr>
      <w:r>
        <w:rPr>
          <w:rFonts w:ascii="Arial" w:cs="Arial" w:eastAsia="Arial" w:hAnsi="Arial"/>
          <w:sz w:val="17"/>
          <w:szCs w:val="17"/>
          <w:color w:val="auto"/>
        </w:rPr>
        <w:t>Operating segments are presented using the ‘management approach’, where the information presented is on the same basis as the internal reports provided to the Chief Operating Decision Makers (‘CODMs’). The CODMs is responsible for the allocation of resources to operating segments and assessing their performance.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27" w:lineRule="exact"/>
        <w:rPr>
          <w:sz w:val="20"/>
          <w:szCs w:val="20"/>
          <w:color w:val="auto"/>
        </w:rPr>
      </w:pPr>
    </w:p>
    <w:p>
      <w:pPr>
        <w:ind w:left="640" w:hanging="348"/>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Current and non-current classification</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Assets and liabilities are presented in the balance sheet based on current and non-current classification.</w:t>
      </w:r>
    </w:p>
    <w:p>
      <w:pPr>
        <w:spacing w:after="0" w:line="117" w:lineRule="exact"/>
        <w:rPr>
          <w:sz w:val="20"/>
          <w:szCs w:val="20"/>
          <w:color w:val="auto"/>
        </w:rPr>
      </w:pPr>
    </w:p>
    <w:p>
      <w:pPr>
        <w:ind w:left="300" w:right="399"/>
        <w:spacing w:after="0" w:line="301" w:lineRule="auto"/>
        <w:rPr>
          <w:sz w:val="20"/>
          <w:szCs w:val="20"/>
          <w:color w:val="auto"/>
        </w:rPr>
      </w:pPr>
      <w:r>
        <w:rPr>
          <w:rFonts w:ascii="Arial" w:cs="Arial" w:eastAsia="Arial" w:hAnsi="Arial"/>
          <w:sz w:val="16"/>
          <w:szCs w:val="16"/>
          <w:color w:val="auto"/>
        </w:rPr>
        <w:t>An asset is classified as current when: it is either expected to be realised or intended to be sold or consumed in normal operating cycle; it is held primarily for the purpose of trading; it is expected to be realised within 12 months after the reporting period; or the asset is cash or cash equivalent unless restricted from being exchanged or used to settle a liability for at least 12 months after the reporting period. All other assets are classified as non-current.</w:t>
      </w:r>
    </w:p>
    <w:p>
      <w:pPr>
        <w:spacing w:after="0" w:line="49"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A liability is classified as current when: it is either expected to be settled in normal operating cycle; it is held primarily for the purpose of trading; it is due to be settled within 12 months after the reporting period; or there is no unconditional right to defer the settlement of the liability for at least 12 months after the reporting period. All other liabilities are classified as non-current.</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Deferred tax assets and liabilities are always classified as non-current.</w:t>
      </w:r>
    </w:p>
    <w:p>
      <w:pPr>
        <w:spacing w:after="0" w:line="221" w:lineRule="exact"/>
        <w:rPr>
          <w:sz w:val="20"/>
          <w:szCs w:val="20"/>
          <w:color w:val="auto"/>
        </w:rPr>
      </w:pPr>
    </w:p>
    <w:p>
      <w:pPr>
        <w:ind w:left="640" w:hanging="348"/>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300" w:right="499"/>
        <w:spacing w:after="0" w:line="286" w:lineRule="auto"/>
        <w:rPr>
          <w:sz w:val="20"/>
          <w:szCs w:val="20"/>
          <w:color w:val="auto"/>
        </w:rPr>
      </w:pPr>
      <w:r>
        <w:rPr>
          <w:rFonts w:ascii="Arial" w:cs="Arial" w:eastAsia="Arial" w:hAnsi="Arial"/>
          <w:sz w:val="17"/>
          <w:szCs w:val="17"/>
          <w:color w:val="auto"/>
        </w:rPr>
        <w:t>Cash and cash equivalents includes cash on hand, deposits held at call with financial institutions, other short-term, highly liquid investments with original maturities of three months or less that are readily convertible to known amounts of cash and which are subject to an insignificant risk of changes in value.</w:t>
      </w:r>
    </w:p>
    <w:p>
      <w:pPr>
        <w:spacing w:after="0" w:line="57"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For the statement of cash flows presentation purposes, cash and cash equivalents also includes bank overdrafts, which are shown within borrowings in current liabilities on the balance sheet.</w:t>
      </w:r>
    </w:p>
    <w:p>
      <w:pPr>
        <w:spacing w:after="0" w:line="166" w:lineRule="exact"/>
        <w:rPr>
          <w:sz w:val="20"/>
          <w:szCs w:val="20"/>
          <w:color w:val="auto"/>
        </w:rPr>
      </w:pPr>
    </w:p>
    <w:p>
      <w:pPr>
        <w:ind w:left="640" w:hanging="348"/>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Other receivables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receivables are recognised at amortised cost, less any provision for impairment.</w:t>
      </w:r>
    </w:p>
    <w:p>
      <w:pPr>
        <w:spacing w:after="0" w:line="221" w:lineRule="exact"/>
        <w:rPr>
          <w:sz w:val="20"/>
          <w:szCs w:val="20"/>
          <w:color w:val="auto"/>
        </w:rPr>
      </w:pPr>
    </w:p>
    <w:p>
      <w:pPr>
        <w:ind w:left="640" w:hanging="348"/>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left="300" w:right="499"/>
        <w:spacing w:after="0" w:line="263" w:lineRule="auto"/>
        <w:rPr>
          <w:sz w:val="20"/>
          <w:szCs w:val="20"/>
          <w:color w:val="auto"/>
        </w:rPr>
      </w:pPr>
      <w:r>
        <w:rPr>
          <w:rFonts w:ascii="Arial" w:cs="Arial" w:eastAsia="Arial" w:hAnsi="Arial"/>
          <w:sz w:val="18"/>
          <w:szCs w:val="18"/>
          <w:color w:val="auto"/>
        </w:rPr>
        <w:t>Inventories are measured at the lower of cost and net realisable value. The cost of manufactured products includes direct materials, direct labour and an appropriate proportion of variable and fixed overheads. Costs are assigned to individual items of inventory on the basis of weighted average costs.</w:t>
      </w:r>
    </w:p>
    <w:p>
      <w:pPr>
        <w:spacing w:after="0" w:line="180" w:lineRule="exact"/>
        <w:rPr>
          <w:sz w:val="20"/>
          <w:szCs w:val="20"/>
          <w:color w:val="auto"/>
        </w:rPr>
      </w:pPr>
    </w:p>
    <w:p>
      <w:pPr>
        <w:ind w:left="640" w:hanging="348"/>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and evaluation assets</w:t>
      </w:r>
    </w:p>
    <w:p>
      <w:pPr>
        <w:spacing w:after="0" w:line="12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Exploration and evaluation expenditure incurred is accumulated in respect of each identifiable area of interest. Such expenditures comprise net direct costs and an appropriate portion of related overhead expenditure but do not include overheads or administration expenditure not having a specific nexus with a particular area of interest. These costs are only carried forward to the extent that they are expected to be recouped through the successful development of the area or where activities in the area have not yet reached a stage which permits reasonable assessment of the existence of economically recoverable reserves and active or significant operations in relation to the area are continuing.</w:t>
      </w:r>
    </w:p>
    <w:p>
      <w:pPr>
        <w:spacing w:after="0" w:line="87" w:lineRule="exact"/>
        <w:rPr>
          <w:sz w:val="20"/>
          <w:szCs w:val="20"/>
          <w:color w:val="auto"/>
        </w:rPr>
      </w:pPr>
    </w:p>
    <w:p>
      <w:pPr>
        <w:ind w:left="300" w:right="699"/>
        <w:spacing w:after="0" w:line="277" w:lineRule="auto"/>
        <w:rPr>
          <w:sz w:val="20"/>
          <w:szCs w:val="20"/>
          <w:color w:val="auto"/>
        </w:rPr>
      </w:pPr>
      <w:r>
        <w:rPr>
          <w:rFonts w:ascii="Arial" w:cs="Arial" w:eastAsia="Arial" w:hAnsi="Arial"/>
          <w:sz w:val="18"/>
          <w:szCs w:val="18"/>
          <w:color w:val="auto"/>
        </w:rPr>
        <w:t>A regular review has been undertaken on each area of interest to determine the appropriateness of continuing to carry forward costs in relation to that area of interest.</w:t>
      </w:r>
    </w:p>
    <w:p>
      <w:pPr>
        <w:spacing w:after="0" w:line="62"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color w:val="auto"/>
        </w:rPr>
        <w:t>An impairment charge is recognised when the Directors are of the opinion that the carried forward net cost may not be recoverable or the right of tenure in the area lapses.</w:t>
      </w:r>
    </w:p>
    <w:p>
      <w:pPr>
        <w:spacing w:after="0" w:line="62"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When production commences, the accumulated costs for the relevant area of interest are amortised over the life of the area according to the rate of depletion of the economically recoverable reserves.</w:t>
      </w:r>
    </w:p>
    <w:p>
      <w:pPr>
        <w:spacing w:after="0" w:line="166" w:lineRule="exact"/>
        <w:rPr>
          <w:sz w:val="20"/>
          <w:szCs w:val="20"/>
          <w:color w:val="auto"/>
        </w:rPr>
      </w:pPr>
    </w:p>
    <w:p>
      <w:pPr>
        <w:ind w:left="640" w:hanging="348"/>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Loan notes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Loan notes are initially measured at fair value less transaction costs.</w:t>
      </w:r>
    </w:p>
    <w:p>
      <w:pPr>
        <w:spacing w:after="0" w:line="117" w:lineRule="exact"/>
        <w:rPr>
          <w:sz w:val="20"/>
          <w:szCs w:val="20"/>
          <w:color w:val="auto"/>
        </w:rPr>
      </w:pPr>
    </w:p>
    <w:p>
      <w:pPr>
        <w:ind w:left="300" w:right="619"/>
        <w:spacing w:after="0" w:line="263" w:lineRule="auto"/>
        <w:rPr>
          <w:sz w:val="20"/>
          <w:szCs w:val="20"/>
          <w:color w:val="auto"/>
        </w:rPr>
      </w:pPr>
      <w:r>
        <w:rPr>
          <w:rFonts w:ascii="Arial" w:cs="Arial" w:eastAsia="Arial" w:hAnsi="Arial"/>
          <w:sz w:val="18"/>
          <w:szCs w:val="18"/>
          <w:color w:val="auto"/>
        </w:rPr>
        <w:t>Amortised cost is calculated as the amount at which the loan note is measured at initial recognition less principal repayments, and adjusted for any cumulative amortisation of the difference between that initial amount and the maturity amount calculated using the effective interest method.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48" w:lineRule="exact"/>
        <w:rPr>
          <w:sz w:val="20"/>
          <w:szCs w:val="20"/>
          <w:color w:val="auto"/>
        </w:rPr>
      </w:pPr>
    </w:p>
    <w:p>
      <w:pPr>
        <w:ind w:left="300" w:right="619"/>
        <w:spacing w:after="0" w:line="263" w:lineRule="auto"/>
        <w:rPr>
          <w:sz w:val="20"/>
          <w:szCs w:val="20"/>
          <w:color w:val="auto"/>
        </w:rPr>
      </w:pPr>
      <w:r>
        <w:rPr>
          <w:rFonts w:ascii="Arial" w:cs="Arial" w:eastAsia="Arial" w:hAnsi="Arial"/>
          <w:sz w:val="18"/>
          <w:szCs w:val="18"/>
          <w:color w:val="auto"/>
        </w:rPr>
        <w:t>The effective interest method is used to allocate interest expense over the relevant period and is equivalent to the rate that discounts estimated future cash payments over the expected life of the financial instrument to the net carrying amount of the financial liability.</w:t>
      </w:r>
    </w:p>
    <w:p>
      <w:pPr>
        <w:spacing w:after="0" w:line="76"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Non-derivative financial liabilities, other than financial guarantees, are subsequently measured at amortised cost. Gains or losses are recognised in profit or loss through the amortisation process and when then financial liability is derecognised.</w:t>
      </w:r>
    </w:p>
    <w:p>
      <w:pPr>
        <w:spacing w:after="0" w:line="180" w:lineRule="exact"/>
        <w:rPr>
          <w:sz w:val="20"/>
          <w:szCs w:val="20"/>
          <w:color w:val="auto"/>
        </w:rPr>
      </w:pPr>
    </w:p>
    <w:p>
      <w:pPr>
        <w:ind w:left="640" w:hanging="348"/>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300" w:right="519"/>
        <w:spacing w:after="0" w:line="308" w:lineRule="auto"/>
        <w:rPr>
          <w:sz w:val="20"/>
          <w:szCs w:val="20"/>
          <w:color w:val="auto"/>
        </w:rPr>
      </w:pPr>
      <w:r>
        <w:rPr>
          <w:rFonts w:ascii="Arial" w:cs="Arial" w:eastAsia="Arial" w:hAnsi="Arial"/>
          <w:sz w:val="17"/>
          <w:szCs w:val="17"/>
          <w:color w:val="auto"/>
        </w:rPr>
        <w:t>Property, plant and equipment is stated at historical cost less accumulated depreciation and impairment. Historical cost includes expenditure that is directly attributable to the acquisition of the items.</w:t>
      </w:r>
    </w:p>
    <w:p>
      <w:pPr>
        <w:spacing w:after="0" w:line="38" w:lineRule="exact"/>
        <w:rPr>
          <w:sz w:val="20"/>
          <w:szCs w:val="20"/>
          <w:color w:val="auto"/>
        </w:rPr>
      </w:pPr>
    </w:p>
    <w:p>
      <w:pPr>
        <w:ind w:left="300" w:right="939"/>
        <w:spacing w:after="0" w:line="277" w:lineRule="auto"/>
        <w:rPr>
          <w:sz w:val="20"/>
          <w:szCs w:val="20"/>
          <w:color w:val="auto"/>
        </w:rPr>
      </w:pPr>
      <w:r>
        <w:rPr>
          <w:rFonts w:ascii="Arial" w:cs="Arial" w:eastAsia="Arial" w:hAnsi="Arial"/>
          <w:sz w:val="18"/>
          <w:szCs w:val="18"/>
          <w:color w:val="auto"/>
        </w:rPr>
        <w:t>Depreciation is calculated on a straight-line basis to write off the net cost of each item of property, plant and equipment (excluding land) over their expected useful lives as follows:</w:t>
      </w:r>
    </w:p>
    <w:p>
      <w:pPr>
        <w:sectPr>
          <w:pgSz w:w="11900" w:h="16838" w:orient="portrait"/>
          <w:cols w:equalWidth="0" w:num="1">
            <w:col w:w="9019"/>
          </w:cols>
          <w:pgMar w:left="1440" w:top="265" w:right="1440" w:bottom="1440" w:gutter="0" w:footer="0" w:header="0"/>
        </w:sectPr>
      </w:pPr>
    </w:p>
    <w:p>
      <w:pPr>
        <w:spacing w:after="0" w:line="13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25 years</w:t>
      </w:r>
    </w:p>
    <w:p>
      <w:pPr>
        <w:spacing w:after="0" w:line="151" w:lineRule="exact"/>
        <w:rPr>
          <w:sz w:val="20"/>
          <w:szCs w:val="20"/>
          <w:color w:val="auto"/>
        </w:rPr>
      </w:pPr>
    </w:p>
    <w:p>
      <w:pPr>
        <w:sectPr>
          <w:pgSz w:w="11900" w:h="16838" w:orient="portrait"/>
          <w:cols w:equalWidth="0" w:num="2">
            <w:col w:w="1940" w:space="720"/>
            <w:col w:w="635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Plant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2 - 10 years</w:t>
      </w:r>
    </w:p>
    <w:p>
      <w:pPr>
        <w:spacing w:after="0" w:line="205" w:lineRule="exact"/>
        <w:rPr>
          <w:sz w:val="20"/>
          <w:szCs w:val="20"/>
          <w:color w:val="auto"/>
        </w:rPr>
      </w:pPr>
    </w:p>
    <w:p>
      <w:pPr>
        <w:sectPr>
          <w:pgSz w:w="11900" w:h="16838" w:orient="portrait"/>
          <w:cols w:equalWidth="0" w:num="2">
            <w:col w:w="1940" w:space="720"/>
            <w:col w:w="6359"/>
          </w:cols>
          <w:pgMar w:left="1440" w:top="265" w:right="1440" w:bottom="1440" w:gutter="0" w:footer="0" w:header="0"/>
          <w:type w:val="continuous"/>
        </w:sectPr>
      </w:pPr>
    </w:p>
    <w:p>
      <w:pPr>
        <w:ind w:left="300" w:right="939"/>
        <w:spacing w:after="0" w:line="277" w:lineRule="auto"/>
        <w:rPr>
          <w:sz w:val="20"/>
          <w:szCs w:val="20"/>
          <w:color w:val="auto"/>
        </w:rPr>
      </w:pPr>
      <w:r>
        <w:rPr>
          <w:rFonts w:ascii="Arial" w:cs="Arial" w:eastAsia="Arial" w:hAnsi="Arial"/>
          <w:sz w:val="18"/>
          <w:szCs w:val="18"/>
          <w:color w:val="auto"/>
        </w:rPr>
        <w:t>The residual values, useful lives and depreciation methods are reviewed, and adjusted if appropriate, at each reporting date.</w:t>
      </w:r>
    </w:p>
    <w:p>
      <w:pPr>
        <w:spacing w:after="0" w:line="62" w:lineRule="exact"/>
        <w:rPr>
          <w:sz w:val="20"/>
          <w:szCs w:val="20"/>
          <w:color w:val="auto"/>
        </w:rPr>
      </w:pPr>
    </w:p>
    <w:p>
      <w:pPr>
        <w:ind w:left="300" w:right="599"/>
        <w:spacing w:after="0" w:line="342" w:lineRule="auto"/>
        <w:rPr>
          <w:sz w:val="20"/>
          <w:szCs w:val="20"/>
          <w:color w:val="auto"/>
        </w:rPr>
      </w:pPr>
      <w:r>
        <w:rPr>
          <w:rFonts w:ascii="Arial" w:cs="Arial" w:eastAsia="Arial" w:hAnsi="Arial"/>
          <w:sz w:val="16"/>
          <w:szCs w:val="16"/>
          <w:color w:val="auto"/>
        </w:rPr>
        <w:t>An item of plant and equipment is derecognised upon disposal or when there is no future economic benefit to the Group. Gains and losses between the carrying amount and the disposal proceeds are taken to profit or loss.</w:t>
      </w:r>
    </w:p>
    <w:p>
      <w:pPr>
        <w:spacing w:after="0" w:line="120" w:lineRule="exact"/>
        <w:rPr>
          <w:sz w:val="20"/>
          <w:szCs w:val="20"/>
          <w:color w:val="auto"/>
        </w:rPr>
      </w:pPr>
    </w:p>
    <w:p>
      <w:pPr>
        <w:ind w:left="640" w:hanging="348"/>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payables</w:t>
      </w:r>
    </w:p>
    <w:p>
      <w:pPr>
        <w:spacing w:after="0" w:line="121" w:lineRule="exact"/>
        <w:rPr>
          <w:sz w:val="20"/>
          <w:szCs w:val="20"/>
          <w:color w:val="auto"/>
        </w:rPr>
      </w:pPr>
    </w:p>
    <w:p>
      <w:pPr>
        <w:ind w:left="300" w:right="639"/>
        <w:spacing w:after="0" w:line="286" w:lineRule="auto"/>
        <w:rPr>
          <w:sz w:val="20"/>
          <w:szCs w:val="20"/>
          <w:color w:val="auto"/>
        </w:rPr>
      </w:pPr>
      <w:r>
        <w:rPr>
          <w:rFonts w:ascii="Arial" w:cs="Arial" w:eastAsia="Arial" w:hAnsi="Arial"/>
          <w:sz w:val="17"/>
          <w:szCs w:val="17"/>
          <w:color w:val="auto"/>
        </w:rPr>
        <w:t>These amounts represent liabilities for goods and services provided to the Group prior to the end of the financial year and which are unpaid. Due to their short-term nature they are measured at amortised cost and are not discounted. The amounts are unsecured and are usually paid within 30 days of recognition.</w:t>
      </w:r>
    </w:p>
    <w:p>
      <w:pPr>
        <w:spacing w:after="0" w:line="16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5"/>
          <w:szCs w:val="15"/>
          <w:b w:val="1"/>
          <w:bCs w:val="1"/>
          <w:color w:val="auto"/>
        </w:rPr>
        <w:t>Leases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group leases a warehouse in Tennessee from which the Novonix Anode Materials business operates.</w:t>
      </w:r>
    </w:p>
    <w:p>
      <w:pPr>
        <w:spacing w:after="0" w:line="129" w:lineRule="exact"/>
        <w:rPr>
          <w:sz w:val="20"/>
          <w:szCs w:val="20"/>
          <w:color w:val="auto"/>
        </w:rPr>
      </w:pPr>
    </w:p>
    <w:p>
      <w:pPr>
        <w:jc w:val="both"/>
        <w:ind w:left="300" w:right="499"/>
        <w:spacing w:after="0" w:line="286" w:lineRule="auto"/>
        <w:rPr>
          <w:sz w:val="20"/>
          <w:szCs w:val="20"/>
          <w:color w:val="auto"/>
        </w:rPr>
      </w:pPr>
      <w:r>
        <w:rPr>
          <w:rFonts w:ascii="Arial" w:cs="Arial" w:eastAsia="Arial" w:hAnsi="Arial"/>
          <w:sz w:val="17"/>
          <w:szCs w:val="17"/>
          <w:color w:val="auto"/>
        </w:rPr>
        <w:t>Lease terms are negotiated on an individual basis and contain a wide range of different terms and conditions. The lease agreements do not impose any covenants other than the security interests in the leased assets that are held by the lessor. Leased assets may not be used as security for borrowing purposes.</w:t>
      </w:r>
    </w:p>
    <w:p>
      <w:pPr>
        <w:spacing w:after="0" w:line="57"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Assets and liabilities arising from a lease are initially measured on a present value basis. Lease liabilities include the net present value of the following lease payments:</w:t>
      </w:r>
    </w:p>
    <w:p>
      <w:pPr>
        <w:spacing w:after="0" w:line="62" w:lineRule="exact"/>
        <w:rPr>
          <w:sz w:val="20"/>
          <w:szCs w:val="20"/>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fixed payments (including in-substance fixed payments), less any lease incentives receivable</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variable lease payments that are based on an index or a rate, initially measured using the index or rate as at the commencement date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amounts expected to be payable by the group under residual value guarantees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exercise price of a purchase option if the group is reasonably certain to exercise that option, and</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payments of penalties for terminating the lease, if the lease term reflects the group exercising that option.</w:t>
      </w:r>
    </w:p>
    <w:p>
      <w:pPr>
        <w:spacing w:after="0" w:line="140"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Lease payments to be made under reasonably certain extension options are also included in the measurement of the liability.</w:t>
      </w:r>
    </w:p>
    <w:p>
      <w:pPr>
        <w:spacing w:after="0" w:line="62" w:lineRule="exact"/>
        <w:rPr>
          <w:sz w:val="20"/>
          <w:szCs w:val="20"/>
          <w:color w:val="auto"/>
        </w:rPr>
      </w:pPr>
    </w:p>
    <w:p>
      <w:pPr>
        <w:ind w:left="300" w:right="299"/>
        <w:spacing w:after="0" w:line="301" w:lineRule="auto"/>
        <w:rPr>
          <w:sz w:val="20"/>
          <w:szCs w:val="20"/>
          <w:color w:val="auto"/>
        </w:rPr>
      </w:pPr>
      <w:r>
        <w:rPr>
          <w:rFonts w:ascii="Arial" w:cs="Arial" w:eastAsia="Arial" w:hAnsi="Arial"/>
          <w:sz w:val="16"/>
          <w:szCs w:val="16"/>
          <w:color w:val="auto"/>
        </w:rPr>
        <w:t>The lease payments are discounted using the interest rate implicit in the lease. If that rate cannot be readily determined, which is generally the case for leases in the group, the lessee’s incremental borrowing rate is used, being the rate that the individual lessee would have to pay to borrow the funds necessary to obtain an asset of similar value to the right-of-use asset in a similar economic environment with similar terms, security and conditions.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determine the incremental borrowing rate, the group:</w:t>
      </w:r>
    </w:p>
    <w:p>
      <w:pPr>
        <w:spacing w:after="0" w:line="117" w:lineRule="exact"/>
        <w:rPr>
          <w:sz w:val="20"/>
          <w:szCs w:val="20"/>
          <w:color w:val="auto"/>
        </w:rPr>
      </w:pPr>
    </w:p>
    <w:p>
      <w:pPr>
        <w:ind w:left="1000" w:right="759" w:hanging="348"/>
        <w:spacing w:after="0" w:line="308" w:lineRule="auto"/>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where possible, uses recent third-party financing received by the individual lessee as a starting point, adjusted to reflect changes in financing conditions since third party financing was received</w:t>
      </w:r>
    </w:p>
    <w:p>
      <w:pPr>
        <w:spacing w:after="0" w:line="38" w:lineRule="exact"/>
        <w:rPr>
          <w:rFonts w:ascii="Arial" w:cs="Arial" w:eastAsia="Arial" w:hAnsi="Arial"/>
          <w:sz w:val="17"/>
          <w:szCs w:val="17"/>
          <w:color w:val="auto"/>
        </w:rPr>
      </w:pPr>
    </w:p>
    <w:p>
      <w:pPr>
        <w:ind w:left="1000" w:right="479" w:hanging="348"/>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uses a build-up approach that starts with a risk-free interest rate adjusted for credit risk for leases held by NOVONIX Limited, which does not have recent third party financing,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makes adjustments specific to the lease, e.g. term, country, currency and security.</w:t>
      </w:r>
    </w:p>
    <w:p>
      <w:pPr>
        <w:spacing w:after="0" w:line="117" w:lineRule="exact"/>
        <w:rPr>
          <w:sz w:val="20"/>
          <w:szCs w:val="20"/>
          <w:color w:val="auto"/>
        </w:rPr>
      </w:pPr>
    </w:p>
    <w:p>
      <w:pPr>
        <w:jc w:val="both"/>
        <w:ind w:left="300" w:right="559"/>
        <w:spacing w:after="0" w:line="311" w:lineRule="auto"/>
        <w:rPr>
          <w:sz w:val="20"/>
          <w:szCs w:val="20"/>
          <w:color w:val="auto"/>
        </w:rPr>
      </w:pPr>
      <w:r>
        <w:rPr>
          <w:rFonts w:ascii="Arial" w:cs="Arial" w:eastAsia="Arial" w:hAnsi="Arial"/>
          <w:sz w:val="16"/>
          <w:szCs w:val="16"/>
          <w:color w:val="auto"/>
        </w:rPr>
        <w:t>The group is exposed to potential future increases in variable lease payments based on an index or rate, which are not included in the lease liability until they take effect. When adjustments to lease payments based on an index or rate take effect, the lease liability is reassessed and adjusted against the right-of-use asset.</w:t>
      </w:r>
    </w:p>
    <w:p>
      <w:pPr>
        <w:spacing w:after="0" w:line="41"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Lease payments are allocated between principal and finance cost. The finance cost is charged to profit or loss over the lease period so as to produce a constant periodic rate of interest on the remaining balance of the liability for each period.</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Right-of-use assets are measured at cost comprising the following:</w:t>
      </w:r>
    </w:p>
    <w:p>
      <w:pPr>
        <w:spacing w:after="0" w:line="117" w:lineRule="exact"/>
        <w:rPr>
          <w:sz w:val="20"/>
          <w:szCs w:val="20"/>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 of the initial measurement of lease liability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lease payments made at or before the commencement date less any lease incentives received</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initial direct costs,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restoration costs.</w:t>
      </w:r>
    </w:p>
    <w:p>
      <w:pPr>
        <w:spacing w:after="0" w:line="117"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Right-of-use assets are generally depreciated over the shorter of the asset's useful life and the lease term on a straight-line basis. If the group is reasonably certain to exercise a purchase option, the right-of-use asset is depreciated over the underlying asset’s useful life. The group does not revalue the right-of-use buildings held by the group.</w:t>
      </w:r>
    </w:p>
    <w:p>
      <w:pPr>
        <w:spacing w:after="0" w:line="79" w:lineRule="exact"/>
        <w:rPr>
          <w:sz w:val="20"/>
          <w:szCs w:val="20"/>
          <w:color w:val="auto"/>
        </w:rPr>
      </w:pPr>
    </w:p>
    <w:p>
      <w:pPr>
        <w:ind w:left="300" w:right="319"/>
        <w:spacing w:after="0" w:line="286" w:lineRule="auto"/>
        <w:rPr>
          <w:sz w:val="20"/>
          <w:szCs w:val="20"/>
          <w:color w:val="auto"/>
        </w:rPr>
      </w:pPr>
      <w:r>
        <w:rPr>
          <w:rFonts w:ascii="Arial" w:cs="Arial" w:eastAsia="Arial" w:hAnsi="Arial"/>
          <w:sz w:val="17"/>
          <w:szCs w:val="17"/>
          <w:color w:val="auto"/>
        </w:rPr>
        <w:t>Payments associated with short-term leases of equipment and vehicles and all leases of low-value assets are recognised on a straight-line basis as an expense in profit or loss. Short-term leases are leases with a lease term of 12 months or less. Low-value assets comprise IT equipment and small items of office furniture.</w:t>
      </w:r>
    </w:p>
    <w:p>
      <w:pPr>
        <w:spacing w:after="0" w:line="57"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Extension options are included in property and equipment leases across the group. These are used to maximise operational flexibility in terms of managing the assets used in the group’s operations. The extension options held are exercisable only by the group and not by the lessor.</w:t>
      </w:r>
    </w:p>
    <w:p>
      <w:pPr>
        <w:spacing w:after="0" w:line="76" w:lineRule="exact"/>
        <w:rPr>
          <w:sz w:val="20"/>
          <w:szCs w:val="20"/>
          <w:color w:val="auto"/>
        </w:rPr>
      </w:pPr>
    </w:p>
    <w:p>
      <w:pPr>
        <w:ind w:left="300" w:right="359"/>
        <w:spacing w:after="0" w:line="271" w:lineRule="auto"/>
        <w:rPr>
          <w:sz w:val="20"/>
          <w:szCs w:val="20"/>
          <w:color w:val="auto"/>
        </w:rPr>
      </w:pPr>
      <w:r>
        <w:rPr>
          <w:rFonts w:ascii="Arial" w:cs="Arial" w:eastAsia="Arial" w:hAnsi="Arial"/>
          <w:sz w:val="17"/>
          <w:szCs w:val="17"/>
          <w:color w:val="auto"/>
        </w:rPr>
        <w:t>When the group revises its estimate of the term of any lease (because, for example, it re-assesses the probability of a lessee extension or termination option being exercised), it adjusts the carrying amount of the lease liability to reflect the payments to make over the revised term, which are discounted using a revised discount rate. The carrying value of lease liabilities is similarly revised when the variable element of future lease payments dependent on a rate or index is revised, except the discount rate remains unchanged. In both cases an equivalent adjustment is made to the carrying value of the right-of-use asset, with the revised carrying amount being amortised over the remaining (revised) lease term. If the carrying amount of the right-of-use asset is adjusted to zero, any further reduction is recognised in profit or loss.</w:t>
      </w:r>
    </w:p>
    <w:p>
      <w:pPr>
        <w:spacing w:after="0" w:line="70" w:lineRule="exact"/>
        <w:rPr>
          <w:sz w:val="20"/>
          <w:szCs w:val="20"/>
          <w:color w:val="auto"/>
        </w:rPr>
      </w:pPr>
    </w:p>
    <w:p>
      <w:pPr>
        <w:ind w:left="300" w:right="339"/>
        <w:spacing w:after="0" w:line="277" w:lineRule="auto"/>
        <w:rPr>
          <w:sz w:val="20"/>
          <w:szCs w:val="20"/>
          <w:color w:val="auto"/>
        </w:rPr>
      </w:pPr>
      <w:r>
        <w:rPr>
          <w:rFonts w:ascii="Arial" w:cs="Arial" w:eastAsia="Arial" w:hAnsi="Arial"/>
          <w:sz w:val="18"/>
          <w:szCs w:val="18"/>
          <w:color w:val="auto"/>
        </w:rPr>
        <w:t>When the group renegotiates the contractual terms of a lease with the lessor, the accounting depends on the nature of the modification:</w:t>
      </w:r>
    </w:p>
    <w:p>
      <w:pPr>
        <w:spacing w:after="0" w:line="62" w:lineRule="exact"/>
        <w:rPr>
          <w:sz w:val="20"/>
          <w:szCs w:val="20"/>
          <w:color w:val="auto"/>
        </w:rPr>
      </w:pPr>
    </w:p>
    <w:p>
      <w:pPr>
        <w:ind w:left="1000" w:right="359" w:hanging="348"/>
        <w:spacing w:after="0" w:line="263"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renegotiation results in one or more additional assets being leased for an amount commensurate with the standalone price for the additional rights-of-use obtained, the modification is accounted for as a separate lease in accordance with the above policy</w:t>
      </w:r>
    </w:p>
    <w:p>
      <w:pPr>
        <w:spacing w:after="0" w:line="75" w:lineRule="exact"/>
        <w:rPr>
          <w:rFonts w:ascii="Arial" w:cs="Arial" w:eastAsia="Arial" w:hAnsi="Arial"/>
          <w:sz w:val="18"/>
          <w:szCs w:val="18"/>
          <w:color w:val="auto"/>
        </w:rPr>
      </w:pPr>
    </w:p>
    <w:p>
      <w:pPr>
        <w:jc w:val="both"/>
        <w:ind w:left="1000" w:right="539" w:hanging="348"/>
        <w:spacing w:after="0" w:line="259"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all other cases where the renegotiated increases the scope of the lease (whether that is an extension to the lease term, or one or more additional assets being leased), the lease liability is remeasured using the discount rate applicable on the modification date, with the right-of-use asset being adjusted by the same amount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27" w:lineRule="exact"/>
        <w:rPr>
          <w:sz w:val="20"/>
          <w:szCs w:val="20"/>
          <w:color w:val="auto"/>
        </w:rPr>
      </w:pPr>
    </w:p>
    <w:p>
      <w:pPr>
        <w:ind w:left="1000" w:right="419" w:hanging="348"/>
        <w:spacing w:after="0" w:line="252" w:lineRule="auto"/>
        <w:tabs>
          <w:tab w:leader="none" w:pos="10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the renegotiation results in a decrease in the scope of the lease, both the carrying amount of the lease liability and right-of-use asset are reduced by the same proportion to reflect the partial of full termination of the lease with any difference recognised in profit or loss. The lease liability is then further adjusted to ensure its carrying amount reflects the amount of the renegotiated payments over the renegotiated term, with the modified lease payments discounted at the rate applicable on the modification date. The right-of-use asset is adjusted by the same amount.</w:t>
      </w:r>
    </w:p>
    <w:p>
      <w:pPr>
        <w:spacing w:after="0" w:line="189" w:lineRule="exact"/>
        <w:rPr>
          <w:rFonts w:ascii="Arial" w:cs="Arial" w:eastAsia="Arial" w:hAnsi="Arial"/>
          <w:sz w:val="18"/>
          <w:szCs w:val="18"/>
          <w:color w:val="auto"/>
        </w:rPr>
      </w:pPr>
    </w:p>
    <w:p>
      <w:pPr>
        <w:ind w:left="640" w:hanging="348"/>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Short-term employee benefits</w:t>
      </w:r>
    </w:p>
    <w:p>
      <w:pPr>
        <w:spacing w:after="0" w:line="117"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Liabilities for wages and salaries, including non-monetary benefits, annual leave and long service leave expected to be settled within 12 months of the reporting date are measured at the amounts expected to be paid when the liabilities are settled.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long-term employee benefits</w:t>
      </w:r>
    </w:p>
    <w:p>
      <w:pPr>
        <w:spacing w:after="0" w:line="117" w:lineRule="exact"/>
        <w:rPr>
          <w:sz w:val="20"/>
          <w:szCs w:val="20"/>
          <w:color w:val="auto"/>
        </w:rPr>
      </w:pPr>
    </w:p>
    <w:p>
      <w:pPr>
        <w:ind w:left="300" w:right="359"/>
        <w:spacing w:after="0" w:line="273" w:lineRule="auto"/>
        <w:rPr>
          <w:sz w:val="20"/>
          <w:szCs w:val="20"/>
          <w:color w:val="auto"/>
        </w:rPr>
      </w:pPr>
      <w:r>
        <w:rPr>
          <w:rFonts w:ascii="Arial" w:cs="Arial" w:eastAsia="Arial" w:hAnsi="Arial"/>
          <w:sz w:val="17"/>
          <w:szCs w:val="17"/>
          <w:color w:val="auto"/>
        </w:rPr>
        <w:t>The liability for long service leave not expected to be settled within 12 months of the reporting date are measured as the present value of expected future payments to be made in respect of services provided by employees up to the reporting date using the projected unit credit method. Consideration is given to expected future wage and salary levels, experience of employee departures and periods of service. Expected future payments are discounted using market yields at the reporting date on corporate bonds with terms to maturity and currency that match, as closely as possible, the estimated future cash outflows.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Share-based payments</w:t>
      </w:r>
    </w:p>
    <w:p>
      <w:pPr>
        <w:spacing w:after="0" w:line="117" w:lineRule="exact"/>
        <w:rPr>
          <w:sz w:val="20"/>
          <w:szCs w:val="20"/>
          <w:color w:val="auto"/>
        </w:rPr>
      </w:pPr>
    </w:p>
    <w:p>
      <w:pPr>
        <w:jc w:val="both"/>
        <w:ind w:left="300" w:right="339"/>
        <w:spacing w:after="0" w:line="263" w:lineRule="auto"/>
        <w:rPr>
          <w:sz w:val="20"/>
          <w:szCs w:val="20"/>
          <w:color w:val="auto"/>
        </w:rPr>
      </w:pPr>
      <w:r>
        <w:rPr>
          <w:rFonts w:ascii="Arial" w:cs="Arial" w:eastAsia="Arial" w:hAnsi="Arial"/>
          <w:sz w:val="18"/>
          <w:szCs w:val="18"/>
          <w:color w:val="auto"/>
        </w:rPr>
        <w:t>Equity-settled share-based compensation benefits are provided to employees. Equity-settled transactions are awards of shares, options or performance rights over shares, that are provided to employees in exchange for the rendering of services.</w:t>
      </w:r>
    </w:p>
    <w:p>
      <w:pPr>
        <w:spacing w:after="0" w:line="76"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The cost of equity-settled transactions are measured at fair value on grant date. Fair value is determined using various valuation methods including Black Scholes, Binomial and the Monte Carlo Simulation method that takes into account the exercise price, the term of the performance right, the impact of dilution, the share price at grant date and expect price volatility of the underlying share, the expected dividend yield and the risk-free interest rate for the term of the performance right.</w:t>
      </w:r>
    </w:p>
    <w:p>
      <w:pPr>
        <w:spacing w:after="0" w:line="80"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The cost of equity-settled transactions are recognised as an expense with a corresponding increase in equity over the vesting period. The cumulative charge to profit or loss is calculated based on the grant date fair value of the award, the best estimate of the number of awards that are likely to vest and the expired portion of the vesting period. The amount recognised in profit or loss for the period is the cumulative amount calculated at each reporting date less amounts already recognised in previous periods.</w:t>
      </w:r>
    </w:p>
    <w:p>
      <w:pPr>
        <w:spacing w:after="0" w:line="68" w:lineRule="exact"/>
        <w:rPr>
          <w:sz w:val="20"/>
          <w:szCs w:val="20"/>
          <w:color w:val="auto"/>
        </w:rPr>
      </w:pPr>
    </w:p>
    <w:p>
      <w:pPr>
        <w:ind w:left="300" w:right="559"/>
        <w:spacing w:after="0" w:line="263" w:lineRule="auto"/>
        <w:rPr>
          <w:sz w:val="20"/>
          <w:szCs w:val="20"/>
          <w:color w:val="auto"/>
        </w:rPr>
      </w:pPr>
      <w:r>
        <w:rPr>
          <w:rFonts w:ascii="Arial" w:cs="Arial" w:eastAsia="Arial" w:hAnsi="Arial"/>
          <w:sz w:val="18"/>
          <w:szCs w:val="18"/>
          <w:color w:val="auto"/>
        </w:rPr>
        <w:t>Market conditions are taken into consideration in determining fair value. Therefore, any awards subject to market conditions are considered to vest irrespective of whether or not that market condition has been met, provided all other conditions are satisfied.</w:t>
      </w:r>
    </w:p>
    <w:p>
      <w:pPr>
        <w:spacing w:after="0" w:line="76" w:lineRule="exact"/>
        <w:rPr>
          <w:sz w:val="20"/>
          <w:szCs w:val="20"/>
          <w:color w:val="auto"/>
        </w:rPr>
      </w:pPr>
    </w:p>
    <w:p>
      <w:pPr>
        <w:jc w:val="both"/>
        <w:ind w:left="300" w:right="539"/>
        <w:spacing w:after="0" w:line="286" w:lineRule="auto"/>
        <w:rPr>
          <w:sz w:val="20"/>
          <w:szCs w:val="20"/>
          <w:color w:val="auto"/>
        </w:rPr>
      </w:pPr>
      <w:r>
        <w:rPr>
          <w:rFonts w:ascii="Arial" w:cs="Arial" w:eastAsia="Arial" w:hAnsi="Arial"/>
          <w:sz w:val="17"/>
          <w:szCs w:val="17"/>
          <w:color w:val="auto"/>
        </w:rPr>
        <w:t>If equity-settled awards are modified, as a minimum an expense is recognised as if the modification has not been made. An additional expense is recognised, over the remaining vesting period, for any modification that increases the total fair value of the share-based compensation benefit as at the date of modification.</w:t>
      </w:r>
    </w:p>
    <w:p>
      <w:pPr>
        <w:spacing w:after="0" w:line="57"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Share-based payment expenses are recognised over the period during which the employee provides the relevant services. This period may commence prior to the grant date. In this situation, the entity estimates the grant date fair value of the equity instruments for the purposes of recognising the services received during the period between service commencement date and grant date. Once the grant date has been established, the earlier estimate is revised so that the amount recognised for services received is ultimately based on the grant date fair value of the equity instruments.</w:t>
      </w:r>
    </w:p>
    <w:p>
      <w:pPr>
        <w:spacing w:after="0" w:line="84" w:lineRule="exact"/>
        <w:rPr>
          <w:sz w:val="20"/>
          <w:szCs w:val="20"/>
          <w:color w:val="auto"/>
        </w:rPr>
      </w:pPr>
    </w:p>
    <w:p>
      <w:pPr>
        <w:ind w:left="300" w:right="659"/>
        <w:spacing w:after="0" w:line="259" w:lineRule="auto"/>
        <w:rPr>
          <w:sz w:val="20"/>
          <w:szCs w:val="20"/>
          <w:color w:val="auto"/>
        </w:rPr>
      </w:pPr>
      <w:r>
        <w:rPr>
          <w:rFonts w:ascii="Arial" w:cs="Arial" w:eastAsia="Arial" w:hAnsi="Arial"/>
          <w:sz w:val="18"/>
          <w:szCs w:val="18"/>
          <w:color w:val="auto"/>
        </w:rPr>
        <w:t>If the non-vesting condition is within the control of the Group or employee, the failure to satisfy the condition is treated as a cancellation. If the condition is not within the control of the Group or employee and is not satisfied during the vesting period, any remaining expense for the award is recognised over the remaining vesting period, unless the award is forfeited.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48"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If equity-settled awards are cancelled, it is treated as if it has vested on the date of cancellation, and any remaining expense is recognised immediately. If a new replacement award is substituted for the cancelled award, the cancelled and new award is treated as if they were a modification.</w:t>
      </w:r>
    </w:p>
    <w:p>
      <w:pPr>
        <w:spacing w:after="0" w:line="180" w:lineRule="exact"/>
        <w:rPr>
          <w:sz w:val="20"/>
          <w:szCs w:val="20"/>
          <w:color w:val="auto"/>
        </w:rPr>
      </w:pPr>
    </w:p>
    <w:p>
      <w:pPr>
        <w:ind w:left="640" w:hanging="348"/>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Issued capital</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Ordinary shares are classified as equity.</w:t>
      </w:r>
    </w:p>
    <w:p>
      <w:pPr>
        <w:spacing w:after="0" w:line="117"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Incremental costs directly attributable to the issue of new shares or options are shown in equity as a deduction, net of tax, from the proceeds.</w:t>
      </w:r>
    </w:p>
    <w:p>
      <w:pPr>
        <w:spacing w:after="0" w:line="166" w:lineRule="exact"/>
        <w:rPr>
          <w:sz w:val="20"/>
          <w:szCs w:val="20"/>
          <w:color w:val="auto"/>
        </w:rPr>
      </w:pPr>
    </w:p>
    <w:p>
      <w:pPr>
        <w:ind w:left="640" w:hanging="348"/>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w:t>
      </w:r>
    </w:p>
    <w:p>
      <w:pPr>
        <w:spacing w:after="0" w:line="12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Interests in joint ventures are accounting for using the equity method, after initially being recognised at cost (including transaction costs) and adjusted thereafter for the post-acquisition change in the Group’s share of net assets of the joint venture. In addition, the Group’s share of the profit or loss of the joint venture is included in the Group’s profit or loss.</w:t>
      </w:r>
    </w:p>
    <w:p>
      <w:pPr>
        <w:spacing w:after="0" w:line="79" w:lineRule="exact"/>
        <w:rPr>
          <w:sz w:val="20"/>
          <w:szCs w:val="20"/>
          <w:color w:val="auto"/>
        </w:rPr>
      </w:pPr>
    </w:p>
    <w:p>
      <w:pPr>
        <w:ind w:left="300" w:right="759"/>
        <w:spacing w:after="0" w:line="286" w:lineRule="auto"/>
        <w:rPr>
          <w:sz w:val="20"/>
          <w:szCs w:val="20"/>
          <w:color w:val="auto"/>
        </w:rPr>
      </w:pPr>
      <w:r>
        <w:rPr>
          <w:rFonts w:ascii="Arial" w:cs="Arial" w:eastAsia="Arial" w:hAnsi="Arial"/>
          <w:sz w:val="17"/>
          <w:szCs w:val="17"/>
          <w:color w:val="auto"/>
        </w:rPr>
        <w:t>The carrying amount of the investment includes, when applicable, goodwill relating to the joint venture. Any discount on acquisition, whereby the Group’s share of the net fair value of the joint venture exceeds the cost of investment, is recognised in profit or loss in the period in which the investment is acquired.</w:t>
      </w:r>
    </w:p>
    <w:p>
      <w:pPr>
        <w:spacing w:after="0" w:line="57"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Profits and losses resulting from transactions between the Group and the joint venture are eliminated to the extent of the Group’s interest in the joint venture.</w:t>
      </w:r>
    </w:p>
    <w:p>
      <w:pPr>
        <w:spacing w:after="0" w:line="62" w:lineRule="exact"/>
        <w:rPr>
          <w:sz w:val="20"/>
          <w:szCs w:val="20"/>
          <w:color w:val="auto"/>
        </w:rPr>
      </w:pPr>
    </w:p>
    <w:p>
      <w:pPr>
        <w:ind w:left="300" w:right="439"/>
        <w:spacing w:after="0" w:line="301" w:lineRule="auto"/>
        <w:rPr>
          <w:sz w:val="20"/>
          <w:szCs w:val="20"/>
          <w:color w:val="auto"/>
        </w:rPr>
      </w:pPr>
      <w:r>
        <w:rPr>
          <w:rFonts w:ascii="Arial" w:cs="Arial" w:eastAsia="Arial" w:hAnsi="Arial"/>
          <w:sz w:val="16"/>
          <w:szCs w:val="16"/>
          <w:color w:val="auto"/>
        </w:rPr>
        <w:t>When the Group’s share of losses in a joint venture equals or exceeds its interest in the joint venture, the Group discontinues recognising its share of further losses unless it has incurred legal or constructive obligations or made payments on behalf of the joint venture. When the joint venture subsequently makes profits, the Group will resume recognising its share of those profits once its share of the profits equals the share of the losses not recognised.</w:t>
      </w:r>
    </w:p>
    <w:p>
      <w:pPr>
        <w:spacing w:after="0" w:line="153" w:lineRule="exact"/>
        <w:rPr>
          <w:sz w:val="20"/>
          <w:szCs w:val="20"/>
          <w:color w:val="auto"/>
        </w:rPr>
      </w:pPr>
    </w:p>
    <w:p>
      <w:pPr>
        <w:ind w:left="640" w:hanging="348"/>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Non-Financial Assets</w:t>
      </w:r>
    </w:p>
    <w:p>
      <w:pPr>
        <w:spacing w:after="0" w:line="121" w:lineRule="exact"/>
        <w:rPr>
          <w:sz w:val="20"/>
          <w:szCs w:val="20"/>
          <w:color w:val="auto"/>
        </w:rPr>
      </w:pPr>
    </w:p>
    <w:p>
      <w:pPr>
        <w:ind w:left="300" w:right="359"/>
        <w:spacing w:after="0" w:line="290" w:lineRule="auto"/>
        <w:rPr>
          <w:sz w:val="20"/>
          <w:szCs w:val="20"/>
          <w:color w:val="auto"/>
        </w:rPr>
      </w:pPr>
      <w:r>
        <w:rPr>
          <w:rFonts w:ascii="Arial" w:cs="Arial" w:eastAsia="Arial" w:hAnsi="Arial"/>
          <w:sz w:val="16"/>
          <w:szCs w:val="16"/>
          <w:color w:val="auto"/>
        </w:rPr>
        <w:t>At the end of each reporting period, the Group assesses whether there is any indication that an asset may be impaired. The assessment will include the consideration of external and internal sources of information, including dividends received from subsidiaries, associates or joint ventures deemed to be out of pre-acquisition profits. If such an indication exists, an impairment test is carried out on the asset by comparing the recoverable amount of the asset, being the higher of the asset’s fair value less costs of disposal and value in use, to the asset’s carrying amount. Any excess of the assets carrying amount over its recoverable amount is recognised immediately in profit or loss, unless the asset is carried at a revalued amount in accordance with another Standard. Any impairment loss of a revalued asset is treated as a revaluation decrease in accordance with that other Standard.</w:t>
      </w:r>
    </w:p>
    <w:p>
      <w:pPr>
        <w:spacing w:after="0" w:line="57" w:lineRule="exact"/>
        <w:rPr>
          <w:sz w:val="20"/>
          <w:szCs w:val="20"/>
          <w:color w:val="auto"/>
        </w:rPr>
      </w:pPr>
    </w:p>
    <w:p>
      <w:pPr>
        <w:ind w:left="300" w:right="1099"/>
        <w:spacing w:after="0" w:line="277" w:lineRule="auto"/>
        <w:rPr>
          <w:sz w:val="20"/>
          <w:szCs w:val="20"/>
          <w:color w:val="auto"/>
        </w:rPr>
      </w:pPr>
      <w:r>
        <w:rPr>
          <w:rFonts w:ascii="Arial" w:cs="Arial" w:eastAsia="Arial" w:hAnsi="Arial"/>
          <w:sz w:val="18"/>
          <w:szCs w:val="18"/>
          <w:color w:val="auto"/>
        </w:rPr>
        <w:t>Where it is not possible to estimate the recoverable amount of an individual asset, the Group estimates the recoverable amount of the cash-generating unit to which the asset belongs.</w:t>
      </w:r>
    </w:p>
    <w:p>
      <w:pPr>
        <w:spacing w:after="0" w:line="62"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color w:val="auto"/>
        </w:rPr>
        <w:t>Impairment testing is performed annually for goodwill, intangible assets with indefinite lives and intangible assets not yet available for use.</w:t>
      </w:r>
    </w:p>
    <w:p>
      <w:pPr>
        <w:spacing w:after="0" w:line="166" w:lineRule="exact"/>
        <w:rPr>
          <w:sz w:val="20"/>
          <w:szCs w:val="20"/>
          <w:color w:val="auto"/>
        </w:rPr>
      </w:pPr>
    </w:p>
    <w:p>
      <w:pPr>
        <w:ind w:left="300" w:right="5419" w:hanging="8"/>
        <w:spacing w:after="0" w:line="385" w:lineRule="auto"/>
        <w:tabs>
          <w:tab w:leader="none" w:pos="651"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Other than Goodwill Brand Name</w:t>
      </w:r>
    </w:p>
    <w:p>
      <w:pPr>
        <w:spacing w:after="0" w:line="1"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Brand names are recognised at fair value on the date of acquisition. They have a finite life and are subsequently carried at cost less any accumulated amortisation and any impairment losses. Brand names are amortised over their useful life of 10 years.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jc w:val="both"/>
        <w:ind w:left="300" w:right="559"/>
        <w:spacing w:after="0" w:line="263" w:lineRule="auto"/>
        <w:rPr>
          <w:sz w:val="20"/>
          <w:szCs w:val="20"/>
          <w:color w:val="auto"/>
        </w:rPr>
      </w:pPr>
      <w:r>
        <w:rPr>
          <w:rFonts w:ascii="Arial" w:cs="Arial" w:eastAsia="Arial" w:hAnsi="Arial"/>
          <w:sz w:val="18"/>
          <w:szCs w:val="18"/>
          <w:color w:val="auto"/>
        </w:rPr>
        <w:t>Technology is recognised at fair value on the date of acquisition. It has a finite life and is subsequently carried at cost less any accumulated amortisation and any impairment losses. Technology is amortised over its useful life of 5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27" w:lineRule="exact"/>
        <w:rPr>
          <w:sz w:val="20"/>
          <w:szCs w:val="20"/>
          <w:color w:val="auto"/>
        </w:rPr>
      </w:pPr>
    </w:p>
    <w:p>
      <w:pPr>
        <w:ind w:left="640" w:hanging="348"/>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3"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Goodwill acquired on a business combination is initially measured at cost, being the excess of the consideration transferred for the business combination over the Group’s interest in the net fair value of the acquiree’s identifiable assets, liabilities and contingent liabilities.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Following initial recognition, goodwill is measured at cost less any accumulated impairment losses.</w:t>
      </w:r>
    </w:p>
    <w:p>
      <w:pPr>
        <w:spacing w:after="0" w:line="117"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color w:val="auto"/>
        </w:rPr>
        <w:t>Goodwill is reviewed for impairment, annually, or more frequently, if events or changes in circumstances indicate that the carrying value may be impaired (refer note 12).</w:t>
      </w:r>
    </w:p>
    <w:p>
      <w:pPr>
        <w:spacing w:after="0" w:line="62"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As at the acquisition date, any goodwill acquired is allocated to each of the cash-generating units that are expected to benefit from the combination’s synergies.</w:t>
      </w:r>
    </w:p>
    <w:p>
      <w:pPr>
        <w:spacing w:after="0" w:line="62"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color w:val="auto"/>
        </w:rPr>
        <w:t>Impairment is determined by assessing the recoverable amount of the cash-generating unit to which the goodwill relates.</w:t>
      </w:r>
    </w:p>
    <w:p>
      <w:pPr>
        <w:spacing w:after="0" w:line="62"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color w:val="auto"/>
        </w:rPr>
        <w:t>Where the recoverable amount of the cash-generating unit is less than the carrying amount, an impairment loss is recognised.</w:t>
      </w:r>
    </w:p>
    <w:p>
      <w:pPr>
        <w:spacing w:after="0" w:line="62" w:lineRule="exact"/>
        <w:rPr>
          <w:sz w:val="20"/>
          <w:szCs w:val="20"/>
          <w:color w:val="auto"/>
        </w:rPr>
      </w:pPr>
    </w:p>
    <w:p>
      <w:pPr>
        <w:ind w:left="300" w:right="839"/>
        <w:spacing w:after="0" w:line="263" w:lineRule="auto"/>
        <w:rPr>
          <w:sz w:val="20"/>
          <w:szCs w:val="20"/>
          <w:color w:val="auto"/>
        </w:rPr>
      </w:pPr>
      <w:r>
        <w:rPr>
          <w:rFonts w:ascii="Arial" w:cs="Arial" w:eastAsia="Arial" w:hAnsi="Arial"/>
          <w:sz w:val="18"/>
          <w:szCs w:val="18"/>
          <w:color w:val="auto"/>
        </w:rPr>
        <w:t>Where goodwill forms part of a cash-generating unit and part of the operation within that unit is disposed, the goodwill associated with the disposed operation is included in the carrying amount of the operation when determining the gain or loss on disposal of the operation.</w:t>
      </w:r>
    </w:p>
    <w:p>
      <w:pPr>
        <w:spacing w:after="0" w:line="76"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color w:val="auto"/>
        </w:rPr>
        <w:t>Disposed goodwill in this circumstance is measured on the basis of the relative values of the disposed operation and the portion of the cash-generating unit retained.</w:t>
      </w:r>
    </w:p>
    <w:p>
      <w:pPr>
        <w:spacing w:after="0" w:line="166" w:lineRule="exact"/>
        <w:rPr>
          <w:sz w:val="20"/>
          <w:szCs w:val="20"/>
          <w:color w:val="auto"/>
        </w:rPr>
      </w:pPr>
    </w:p>
    <w:p>
      <w:pPr>
        <w:ind w:left="640" w:hanging="348"/>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costs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Borrowing costs are recognised in the profit or loss in the period in which they are incurred.</w:t>
      </w:r>
    </w:p>
    <w:p>
      <w:pPr>
        <w:spacing w:after="0" w:line="221" w:lineRule="exact"/>
        <w:rPr>
          <w:sz w:val="20"/>
          <w:szCs w:val="20"/>
          <w:color w:val="auto"/>
        </w:rPr>
      </w:pPr>
    </w:p>
    <w:p>
      <w:pPr>
        <w:ind w:left="300" w:right="4899" w:hanging="8"/>
        <w:spacing w:after="0" w:line="442" w:lineRule="auto"/>
        <w:tabs>
          <w:tab w:leader="none" w:pos="651"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Foreign Currency Transactions and Balances Functional and presentation currency</w:t>
      </w:r>
    </w:p>
    <w:p>
      <w:pPr>
        <w:spacing w:after="0" w:line="1"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The functional currency of each of the Group’s entities is measured using the currency of the primary economic environment in which that entity operates. The consolidated financial statements are presented in Australian dollars, which is the parent entity’s functional currency.</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Transactions and balances</w:t>
      </w:r>
    </w:p>
    <w:p>
      <w:pPr>
        <w:spacing w:after="0" w:line="121" w:lineRule="exact"/>
        <w:rPr>
          <w:sz w:val="20"/>
          <w:szCs w:val="20"/>
          <w:color w:val="auto"/>
        </w:rPr>
      </w:pPr>
    </w:p>
    <w:p>
      <w:pPr>
        <w:ind w:left="300" w:right="439"/>
        <w:spacing w:after="0" w:line="257" w:lineRule="auto"/>
        <w:rPr>
          <w:sz w:val="20"/>
          <w:szCs w:val="20"/>
          <w:color w:val="auto"/>
        </w:rPr>
      </w:pPr>
      <w:r>
        <w:rPr>
          <w:rFonts w:ascii="Arial" w:cs="Arial" w:eastAsia="Arial" w:hAnsi="Arial"/>
          <w:sz w:val="18"/>
          <w:szCs w:val="18"/>
          <w:color w:val="auto"/>
        </w:rPr>
        <w:t>Foreign currency transactions are translated into functional currency using the exchange rates prevailing at the date of the transaction. Foreign currency monetary items are translated at the year-end exchange rate. Non-monetary items measured at historical cost continue to be carried at the exchange rate at the date of the transaction. Non-monetary items measured at fair value are reported at the exchange rate at the date when fair values were determined.</w:t>
      </w:r>
    </w:p>
    <w:p>
      <w:pPr>
        <w:spacing w:after="0" w:line="80"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Exchange differences arising on the translation of monetary items are recognised in profit or loss, except where deferred in equity as a qualifying cash flow or net investment hedge.</w:t>
      </w:r>
    </w:p>
    <w:p>
      <w:pPr>
        <w:spacing w:after="0" w:line="62" w:lineRule="exact"/>
        <w:rPr>
          <w:sz w:val="20"/>
          <w:szCs w:val="20"/>
          <w:color w:val="auto"/>
        </w:rPr>
      </w:pPr>
    </w:p>
    <w:p>
      <w:pPr>
        <w:ind w:left="300" w:right="499"/>
        <w:spacing w:after="0" w:line="263" w:lineRule="auto"/>
        <w:rPr>
          <w:sz w:val="20"/>
          <w:szCs w:val="20"/>
          <w:color w:val="auto"/>
        </w:rPr>
      </w:pPr>
      <w:r>
        <w:rPr>
          <w:rFonts w:ascii="Arial" w:cs="Arial" w:eastAsia="Arial" w:hAnsi="Arial"/>
          <w:sz w:val="18"/>
          <w:szCs w:val="18"/>
          <w:color w:val="auto"/>
        </w:rPr>
        <w:t>Exchange differences arising on the translation of non-monetary items are recognised directly in other comprehensive income to the extent that the underlying gain or loss is recognised in other comprehensive income; otherwise the exchange difference is recognised in profit or loss.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Group companies</w:t>
      </w:r>
    </w:p>
    <w:p>
      <w:pPr>
        <w:spacing w:after="0" w:line="121"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The financial results and position of foreign operations, whose functional currency is different from the Group’s presentation currency, are translated as follows:</w:t>
      </w:r>
    </w:p>
    <w:p>
      <w:pPr>
        <w:spacing w:after="0" w:line="62" w:lineRule="exact"/>
        <w:rPr>
          <w:sz w:val="20"/>
          <w:szCs w:val="20"/>
          <w:color w:val="auto"/>
        </w:rPr>
      </w:pPr>
    </w:p>
    <w:p>
      <w:pPr>
        <w:ind w:left="1000" w:hanging="348"/>
        <w:spacing w:after="0"/>
        <w:tabs>
          <w:tab w:leader="none" w:pos="10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Assets and liabilities are translated at exchange rates prevailing at the end of the reporting period;</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Income and expenses are translated at the average exchange rates for the period;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Accumulated losses are translated at the exchange rates prevailing at the date of the transaction.</w:t>
      </w:r>
    </w:p>
    <w:p>
      <w:pPr>
        <w:spacing w:after="0" w:line="129"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Exchange differences arising on translation of foreign operations with functional currencies other than Australian dollars are recognised in other comprehensive income and included in the foreign currency translation reserve in the balance sheet. The cumulative amount of these differences is reclassified into profit or loss in the period in which the operation is disposed of.</w:t>
      </w:r>
    </w:p>
    <w:p>
      <w:pPr>
        <w:spacing w:after="0" w:line="183" w:lineRule="exact"/>
        <w:rPr>
          <w:sz w:val="20"/>
          <w:szCs w:val="20"/>
          <w:color w:val="auto"/>
        </w:rPr>
      </w:pPr>
    </w:p>
    <w:p>
      <w:pPr>
        <w:ind w:left="640" w:hanging="348"/>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Basic earnings per share</w:t>
      </w:r>
    </w:p>
    <w:p>
      <w:pPr>
        <w:spacing w:after="0" w:line="117" w:lineRule="exact"/>
        <w:rPr>
          <w:sz w:val="20"/>
          <w:szCs w:val="20"/>
          <w:color w:val="auto"/>
        </w:rPr>
      </w:pPr>
    </w:p>
    <w:p>
      <w:pPr>
        <w:ind w:left="300" w:right="699"/>
        <w:spacing w:after="0" w:line="259" w:lineRule="auto"/>
        <w:rPr>
          <w:sz w:val="20"/>
          <w:szCs w:val="20"/>
          <w:color w:val="auto"/>
        </w:rPr>
      </w:pPr>
      <w:r>
        <w:rPr>
          <w:rFonts w:ascii="Arial" w:cs="Arial" w:eastAsia="Arial" w:hAnsi="Arial"/>
          <w:sz w:val="18"/>
          <w:szCs w:val="18"/>
          <w:color w:val="auto"/>
        </w:rPr>
        <w:t>Basic earnings per share is calculated by dividing the profit attributable to the owners of NOVONIX Limited, excluding any costs of servicing equity other than ordinary shares, by the weighted average number of ordinary shares outstanding during the financial year, adjusted for bonus elements in ordinary shares issued during the financial year.</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Diluted earnings per share</w:t>
      </w:r>
    </w:p>
    <w:p>
      <w:pPr>
        <w:spacing w:after="0" w:line="117" w:lineRule="exact"/>
        <w:rPr>
          <w:sz w:val="20"/>
          <w:szCs w:val="20"/>
          <w:color w:val="auto"/>
        </w:rPr>
      </w:pPr>
    </w:p>
    <w:p>
      <w:pPr>
        <w:ind w:left="300" w:right="539"/>
        <w:spacing w:after="0" w:line="259" w:lineRule="auto"/>
        <w:rPr>
          <w:sz w:val="20"/>
          <w:szCs w:val="20"/>
          <w:color w:val="auto"/>
        </w:rPr>
      </w:pPr>
      <w:r>
        <w:rPr>
          <w:rFonts w:ascii="Arial" w:cs="Arial" w:eastAsia="Arial" w:hAnsi="Arial"/>
          <w:sz w:val="18"/>
          <w:szCs w:val="18"/>
          <w:color w:val="auto"/>
        </w:rPr>
        <w:t>Diluted earnings per share adjusts the figures used in the determination of basic earnings per share to take into account the after income tax effect of interest and other financing costs associated with dilutive potential ordinary shares and the weighted average number of shares assumed to have been issued for no consideration in relation to dilutive potential ordinary shares.</w:t>
      </w:r>
    </w:p>
    <w:p>
      <w:pPr>
        <w:spacing w:after="0" w:line="183" w:lineRule="exact"/>
        <w:rPr>
          <w:sz w:val="20"/>
          <w:szCs w:val="20"/>
          <w:color w:val="auto"/>
        </w:rPr>
      </w:pPr>
    </w:p>
    <w:p>
      <w:pPr>
        <w:ind w:left="640" w:hanging="348"/>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Goods and Services Tax (‘GST’) and other similar taxes</w:t>
      </w:r>
    </w:p>
    <w:p>
      <w:pPr>
        <w:spacing w:after="0" w:line="121"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Revenues, expenses and assets are recognised net of the amount of associated GST, unless the GST incurred is not recoverable from the tax authority. In this case it is recognised as part of the cost of the acquisition of the asset or as part of the expense.</w:t>
      </w:r>
    </w:p>
    <w:p>
      <w:pPr>
        <w:spacing w:after="0" w:line="76"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Receivables and payables are stated inclusive of the amount of GST receivable or payable. The net amount of GST recoverable from, or payable to, the tax authority is included in other receivables or other payables in the balance sheet.</w:t>
      </w:r>
    </w:p>
    <w:p>
      <w:pPr>
        <w:spacing w:after="0" w:line="76" w:lineRule="exact"/>
        <w:rPr>
          <w:sz w:val="20"/>
          <w:szCs w:val="20"/>
          <w:color w:val="auto"/>
        </w:rPr>
      </w:pPr>
    </w:p>
    <w:p>
      <w:pPr>
        <w:ind w:left="300" w:right="519"/>
        <w:spacing w:after="0" w:line="342" w:lineRule="auto"/>
        <w:rPr>
          <w:sz w:val="20"/>
          <w:szCs w:val="20"/>
          <w:color w:val="auto"/>
        </w:rPr>
      </w:pPr>
      <w:r>
        <w:rPr>
          <w:rFonts w:ascii="Arial" w:cs="Arial" w:eastAsia="Arial" w:hAnsi="Arial"/>
          <w:sz w:val="16"/>
          <w:szCs w:val="16"/>
          <w:color w:val="auto"/>
        </w:rPr>
        <w:t>Cash flows are presented on a gross basis. The GST components of cash flows arising from investing or financing activities which are recoverable from, or payable to the tax authority, are presented as operating cash flows.</w:t>
      </w:r>
    </w:p>
    <w:p>
      <w:pPr>
        <w:spacing w:after="0" w:line="16"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color w:val="auto"/>
        </w:rPr>
        <w:t>Commitments and contingencies are disclosed net of the amount of GST recoverable from, or payable to, the tax authority.</w:t>
      </w:r>
    </w:p>
    <w:p>
      <w:pPr>
        <w:spacing w:after="0" w:line="166" w:lineRule="exact"/>
        <w:rPr>
          <w:sz w:val="20"/>
          <w:szCs w:val="20"/>
          <w:color w:val="auto"/>
        </w:rPr>
      </w:pPr>
    </w:p>
    <w:p>
      <w:pPr>
        <w:ind w:left="640" w:hanging="348"/>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New and Amended Accounting Policies Adopted by the Group</w:t>
      </w:r>
    </w:p>
    <w:p>
      <w:pPr>
        <w:spacing w:after="0" w:line="121"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color w:val="auto"/>
        </w:rPr>
        <w:t>The Group has adopted all of the new, revised or amending accounting standards and interpretations issued by IFRS that are mandatory for the current reporting period.</w:t>
      </w:r>
    </w:p>
    <w:p>
      <w:pPr>
        <w:spacing w:after="0" w:line="62"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Any new, revised or amending accounting standards or interpretations that are not yet mandatory have not been early adopted.</w:t>
      </w:r>
    </w:p>
    <w:p>
      <w:pPr>
        <w:spacing w:after="0" w:line="166" w:lineRule="exact"/>
        <w:rPr>
          <w:sz w:val="20"/>
          <w:szCs w:val="20"/>
          <w:color w:val="auto"/>
        </w:rPr>
      </w:pPr>
    </w:p>
    <w:p>
      <w:pPr>
        <w:ind w:left="640" w:hanging="348"/>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Certain amounts in prior periods have been reclassified to conform to the current presentation.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27" w:lineRule="exact"/>
        <w:rPr>
          <w:sz w:val="20"/>
          <w:szCs w:val="20"/>
          <w:color w:val="auto"/>
        </w:rPr>
      </w:pPr>
    </w:p>
    <w:p>
      <w:pPr>
        <w:ind w:left="640" w:hanging="348"/>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estimates and judgements</w:t>
      </w:r>
    </w:p>
    <w:p>
      <w:pPr>
        <w:spacing w:after="0" w:line="103" w:lineRule="exact"/>
        <w:rPr>
          <w:sz w:val="20"/>
          <w:szCs w:val="20"/>
          <w:color w:val="auto"/>
        </w:rPr>
      </w:pPr>
    </w:p>
    <w:p>
      <w:pPr>
        <w:ind w:left="300" w:right="479"/>
        <w:spacing w:after="0" w:line="259" w:lineRule="auto"/>
        <w:rPr>
          <w:sz w:val="20"/>
          <w:szCs w:val="20"/>
          <w:color w:val="auto"/>
        </w:rPr>
      </w:pPr>
      <w:r>
        <w:rPr>
          <w:rFonts w:ascii="Arial" w:cs="Arial" w:eastAsia="Arial" w:hAnsi="Arial"/>
          <w:sz w:val="18"/>
          <w:szCs w:val="18"/>
          <w:color w:val="auto"/>
        </w:rPr>
        <w:t>The preparation of the financial statements requires the use of certain critical accounting estimates. It also requires management to exercise its judgement in the process of applying the Group’s accounting policies. The areas involving a higher degree of judgement or complexity, or areas where assumptions and estimates are significant to the financial statements, are disclosed below.</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Exploration and evaluation costs</w:t>
      </w:r>
    </w:p>
    <w:p>
      <w:pPr>
        <w:spacing w:after="0" w:line="117" w:lineRule="exact"/>
        <w:rPr>
          <w:sz w:val="20"/>
          <w:szCs w:val="20"/>
          <w:color w:val="auto"/>
        </w:rPr>
      </w:pPr>
    </w:p>
    <w:p>
      <w:pPr>
        <w:ind w:left="300" w:right="419"/>
        <w:spacing w:after="0" w:line="257" w:lineRule="auto"/>
        <w:rPr>
          <w:sz w:val="20"/>
          <w:szCs w:val="20"/>
          <w:color w:val="auto"/>
        </w:rPr>
      </w:pPr>
      <w:r>
        <w:rPr>
          <w:rFonts w:ascii="Arial" w:cs="Arial" w:eastAsia="Arial" w:hAnsi="Arial"/>
          <w:sz w:val="18"/>
          <w:szCs w:val="18"/>
          <w:color w:val="auto"/>
        </w:rPr>
        <w:t>Exploration and evaluation costs have been capitalised on the basis that the Group intend to commence commercial production in the future, from which time the costs will be amortised in proportion to the depletion of the mineral resources. Key judgements are applied in considering costs to be capitalised which includes determining expenditures directly related to these activities and allocating overheads between those that are expensed and capitalised.</w:t>
      </w:r>
    </w:p>
    <w:p>
      <w:pPr>
        <w:spacing w:after="0" w:line="80" w:lineRule="exact"/>
        <w:rPr>
          <w:sz w:val="20"/>
          <w:szCs w:val="20"/>
          <w:color w:val="auto"/>
        </w:rPr>
      </w:pPr>
    </w:p>
    <w:p>
      <w:pPr>
        <w:ind w:left="300" w:right="439"/>
        <w:spacing w:after="0" w:line="296" w:lineRule="auto"/>
        <w:rPr>
          <w:sz w:val="20"/>
          <w:szCs w:val="20"/>
          <w:color w:val="auto"/>
        </w:rPr>
      </w:pPr>
      <w:r>
        <w:rPr>
          <w:rFonts w:ascii="Arial" w:cs="Arial" w:eastAsia="Arial" w:hAnsi="Arial"/>
          <w:sz w:val="16"/>
          <w:szCs w:val="16"/>
          <w:color w:val="auto"/>
        </w:rPr>
        <w:t>In addition, costs are only capitalised that are expected to be recovered either through successful development or sale of the relevant mining interest. Factors that could impact the future commercial production at the mine include the level of reserves and resources, future technology changes, which could impact the cost of mining, future legal changes and changes in commodity prices. To the extent that capitalised costs are determined not to be recoverable in the future, they will be written off in the period in which this determination is made.</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Value of intangible assets relating to acquisitions</w:t>
      </w:r>
    </w:p>
    <w:p>
      <w:pPr>
        <w:spacing w:after="0" w:line="117" w:lineRule="exact"/>
        <w:rPr>
          <w:sz w:val="20"/>
          <w:szCs w:val="20"/>
          <w:color w:val="auto"/>
        </w:rPr>
      </w:pPr>
    </w:p>
    <w:p>
      <w:pPr>
        <w:jc w:val="both"/>
        <w:ind w:left="300" w:right="479"/>
        <w:spacing w:after="0" w:line="263" w:lineRule="auto"/>
        <w:rPr>
          <w:sz w:val="20"/>
          <w:szCs w:val="20"/>
          <w:color w:val="auto"/>
        </w:rPr>
      </w:pPr>
      <w:r>
        <w:rPr>
          <w:rFonts w:ascii="Arial" w:cs="Arial" w:eastAsia="Arial" w:hAnsi="Arial"/>
          <w:sz w:val="18"/>
          <w:szCs w:val="18"/>
          <w:color w:val="auto"/>
        </w:rPr>
        <w:t>The Group has allocated portions of the cost of acquisitions to technology intangibles, valued using the relief from royalty method. These calculations require the use of assumptions including future revenue forecasts and a royalty rate. Technology is amortised over its useful life of 5 years.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Impairment of goodwill and identifiable intangible assets</w:t>
      </w:r>
    </w:p>
    <w:p>
      <w:pPr>
        <w:spacing w:after="0" w:line="117" w:lineRule="exact"/>
        <w:rPr>
          <w:sz w:val="20"/>
          <w:szCs w:val="20"/>
          <w:color w:val="auto"/>
        </w:rPr>
      </w:pPr>
    </w:p>
    <w:p>
      <w:pPr>
        <w:jc w:val="both"/>
        <w:ind w:left="300" w:right="499"/>
        <w:spacing w:after="0" w:line="277" w:lineRule="auto"/>
        <w:rPr>
          <w:sz w:val="20"/>
          <w:szCs w:val="20"/>
          <w:color w:val="auto"/>
        </w:rPr>
      </w:pPr>
      <w:r>
        <w:rPr>
          <w:rFonts w:ascii="Arial" w:cs="Arial" w:eastAsia="Arial" w:hAnsi="Arial"/>
          <w:sz w:val="18"/>
          <w:szCs w:val="18"/>
          <w:color w:val="auto"/>
        </w:rPr>
        <w:t>The Group determines whether goodwill is impaired on an annual basis. This assessment requires an estimation of the recoverable amount of the cash-generating units to which the goodwill is allocated.</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 based payment transactions</w:t>
      </w:r>
    </w:p>
    <w:p>
      <w:pPr>
        <w:spacing w:after="0" w:line="117" w:lineRule="exact"/>
        <w:rPr>
          <w:sz w:val="20"/>
          <w:szCs w:val="20"/>
          <w:color w:val="auto"/>
        </w:rPr>
      </w:pPr>
    </w:p>
    <w:p>
      <w:pPr>
        <w:ind w:left="300" w:right="499"/>
        <w:spacing w:after="0" w:line="273" w:lineRule="auto"/>
        <w:rPr>
          <w:sz w:val="20"/>
          <w:szCs w:val="20"/>
          <w:color w:val="auto"/>
        </w:rPr>
      </w:pPr>
      <w:r>
        <w:rPr>
          <w:rFonts w:ascii="Arial" w:cs="Arial" w:eastAsia="Arial" w:hAnsi="Arial"/>
          <w:sz w:val="17"/>
          <w:szCs w:val="17"/>
          <w:color w:val="auto"/>
        </w:rPr>
        <w:t>The Group measures the cost of equity settled transactions with employees by reference to the fair value of the equity instruments at the date at which they are granted. The fair value is determined by using either a binomial or Monte Carlo option pricing model taking into account the terms and conditions upon which the instruments were granted. The accounting estimates and assumptions, including share price volatility, interest rates and vesting periods would have no impact on the carrying amounts of assets and liabilities within the next annual reporting period but may impact the profit or loss and equity.</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areas of critical accounting estimates and judgements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areas of critical accounting estimates and judgements include:</w:t>
      </w:r>
    </w:p>
    <w:p>
      <w:pPr>
        <w:spacing w:after="0" w:line="117" w:lineRule="exact"/>
        <w:rPr>
          <w:sz w:val="20"/>
          <w:szCs w:val="20"/>
          <w:color w:val="auto"/>
        </w:rPr>
      </w:pPr>
    </w:p>
    <w:p>
      <w:pPr>
        <w:ind w:left="1000" w:hanging="348"/>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Unused tax losses for which no deferred tax asset has been recognised (Refer to Note 7)</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vesting dates of share options (Refer to Note 28)</w:t>
      </w:r>
    </w:p>
    <w:p>
      <w:pPr>
        <w:spacing w:after="0" w:line="117"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accelerated expense on cancellation of share options and the loss on redemption of convertible loan notes (Refer to Note 10)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Parent entity financial information</w:t>
      </w:r>
    </w:p>
    <w:p>
      <w:pPr>
        <w:spacing w:after="0" w:line="121" w:lineRule="exact"/>
        <w:rPr>
          <w:sz w:val="20"/>
          <w:szCs w:val="20"/>
          <w:color w:val="auto"/>
        </w:rPr>
      </w:pPr>
    </w:p>
    <w:p>
      <w:pPr>
        <w:ind w:left="300" w:right="639"/>
        <w:spacing w:after="0" w:line="277" w:lineRule="auto"/>
        <w:rPr>
          <w:sz w:val="20"/>
          <w:szCs w:val="20"/>
          <w:color w:val="auto"/>
        </w:rPr>
      </w:pPr>
      <w:r>
        <w:rPr>
          <w:rFonts w:ascii="Arial" w:cs="Arial" w:eastAsia="Arial" w:hAnsi="Arial"/>
          <w:sz w:val="18"/>
          <w:szCs w:val="18"/>
          <w:color w:val="auto"/>
        </w:rPr>
        <w:t>The following information has been extracted from the books and records of the parent and has been prepared in accordance with International Financial Reporting Standards.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6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86"/>
        </w:trPr>
        <w:tc>
          <w:tcPr>
            <w:tcW w:w="5480" w:type="dxa"/>
            <w:vAlign w:val="bottom"/>
          </w:tcPr>
          <w:p>
            <w:pPr>
              <w:spacing w:after="0"/>
              <w:rPr>
                <w:sz w:val="16"/>
                <w:szCs w:val="16"/>
                <w:color w:val="auto"/>
              </w:rPr>
            </w:pPr>
          </w:p>
        </w:tc>
        <w:tc>
          <w:tcPr>
            <w:tcW w:w="16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53"/>
        </w:trPr>
        <w:tc>
          <w:tcPr>
            <w:tcW w:w="54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7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135,403,115</w:t>
            </w:r>
          </w:p>
        </w:tc>
        <w:tc>
          <w:tcPr>
            <w:tcW w:w="6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37,455,678</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132,838</w:t>
            </w:r>
          </w:p>
        </w:tc>
        <w:tc>
          <w:tcPr>
            <w:tcW w:w="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5480" w:type="dxa"/>
            <w:vAlign w:val="bottom"/>
          </w:tcPr>
          <w:p>
            <w:pPr>
              <w:spacing w:after="0"/>
              <w:rPr>
                <w:sz w:val="20"/>
                <w:szCs w:val="20"/>
                <w:color w:val="auto"/>
              </w:rPr>
            </w:pPr>
            <w:r>
              <w:rPr>
                <w:rFonts w:ascii="Arial" w:cs="Arial" w:eastAsia="Arial" w:hAnsi="Arial"/>
                <w:sz w:val="18"/>
                <w:szCs w:val="18"/>
                <w:color w:val="auto"/>
              </w:rPr>
              <w:t>Prepayments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2,462,643</w:t>
            </w:r>
          </w:p>
        </w:tc>
        <w:tc>
          <w:tcPr>
            <w:tcW w:w="60" w:type="dxa"/>
            <w:vAlign w:val="bottom"/>
          </w:tcPr>
          <w:p>
            <w:pPr>
              <w:spacing w:after="0"/>
              <w:rPr>
                <w:sz w:val="22"/>
                <w:szCs w:val="22"/>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136,297</w:t>
            </w:r>
          </w:p>
        </w:tc>
      </w:tr>
      <w:tr>
        <w:trPr>
          <w:trHeight w:val="61"/>
        </w:trPr>
        <w:tc>
          <w:tcPr>
            <w:tcW w:w="5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137,998,596</w:t>
            </w:r>
          </w:p>
        </w:tc>
        <w:tc>
          <w:tcPr>
            <w:tcW w:w="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37,615,455</w:t>
            </w:r>
          </w:p>
        </w:tc>
        <w:tc>
          <w:tcPr>
            <w:tcW w:w="80" w:type="dxa"/>
            <w:vAlign w:val="bottom"/>
            <w:shd w:val="clear" w:color="auto" w:fill="CCEEFF"/>
          </w:tcPr>
          <w:p>
            <w:pPr>
              <w:spacing w:after="0"/>
              <w:rPr>
                <w:sz w:val="23"/>
                <w:szCs w:val="23"/>
                <w:color w:val="auto"/>
              </w:rPr>
            </w:pPr>
          </w:p>
        </w:tc>
      </w:tr>
      <w:tr>
        <w:trPr>
          <w:trHeight w:val="61"/>
        </w:trPr>
        <w:tc>
          <w:tcPr>
            <w:tcW w:w="54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338"/>
        </w:trPr>
        <w:tc>
          <w:tcPr>
            <w:tcW w:w="5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7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Other receivables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27,897,817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10,139,051</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7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Exploration and evaluation assets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3,329,950</w:t>
            </w:r>
          </w:p>
        </w:tc>
        <w:tc>
          <w:tcPr>
            <w:tcW w:w="60" w:type="dxa"/>
            <w:vAlign w:val="bottom"/>
          </w:tcPr>
          <w:p>
            <w:pPr>
              <w:spacing w:after="0"/>
              <w:rPr>
                <w:sz w:val="23"/>
                <w:szCs w:val="23"/>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3,210,798</w:t>
            </w:r>
          </w:p>
        </w:tc>
      </w:tr>
      <w:tr>
        <w:trPr>
          <w:trHeight w:val="54"/>
        </w:trPr>
        <w:tc>
          <w:tcPr>
            <w:tcW w:w="5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17,748,704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17,748,704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5480" w:type="dxa"/>
            <w:vAlign w:val="bottom"/>
          </w:tcPr>
          <w:p>
            <w:pPr>
              <w:spacing w:after="0"/>
              <w:rPr>
                <w:sz w:val="20"/>
                <w:szCs w:val="20"/>
                <w:color w:val="auto"/>
              </w:rPr>
            </w:pPr>
            <w:r>
              <w:rPr>
                <w:rFonts w:ascii="Arial" w:cs="Arial" w:eastAsia="Arial" w:hAnsi="Arial"/>
                <w:sz w:val="18"/>
                <w:szCs w:val="18"/>
                <w:color w:val="auto"/>
              </w:rPr>
              <w:t>Other assets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8,450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8,450</w:t>
            </w:r>
          </w:p>
        </w:tc>
        <w:tc>
          <w:tcPr>
            <w:tcW w:w="80" w:type="dxa"/>
            <w:vAlign w:val="bottom"/>
          </w:tcPr>
          <w:p>
            <w:pPr>
              <w:spacing w:after="0"/>
              <w:rPr>
                <w:sz w:val="22"/>
                <w:szCs w:val="22"/>
                <w:color w:val="auto"/>
              </w:rPr>
            </w:pPr>
          </w:p>
        </w:tc>
      </w:tr>
      <w:tr>
        <w:trPr>
          <w:trHeight w:val="61"/>
        </w:trPr>
        <w:tc>
          <w:tcPr>
            <w:tcW w:w="5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48,984,921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31,108,071</w:t>
            </w:r>
          </w:p>
        </w:tc>
        <w:tc>
          <w:tcPr>
            <w:tcW w:w="80" w:type="dxa"/>
            <w:vAlign w:val="bottom"/>
            <w:shd w:val="clear" w:color="auto" w:fill="CCEEFF"/>
          </w:tcPr>
          <w:p>
            <w:pPr>
              <w:spacing w:after="0"/>
              <w:rPr>
                <w:sz w:val="23"/>
                <w:szCs w:val="23"/>
                <w:color w:val="auto"/>
              </w:rPr>
            </w:pPr>
          </w:p>
        </w:tc>
      </w:tr>
      <w:tr>
        <w:trPr>
          <w:trHeight w:val="61"/>
        </w:trPr>
        <w:tc>
          <w:tcPr>
            <w:tcW w:w="54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186,983,517</w:t>
            </w:r>
          </w:p>
        </w:tc>
        <w:tc>
          <w:tcPr>
            <w:tcW w:w="6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68,723,526</w:t>
            </w:r>
          </w:p>
        </w:tc>
        <w:tc>
          <w:tcPr>
            <w:tcW w:w="80" w:type="dxa"/>
            <w:vAlign w:val="bottom"/>
          </w:tcPr>
          <w:p>
            <w:pPr>
              <w:spacing w:after="0"/>
              <w:rPr>
                <w:sz w:val="23"/>
                <w:szCs w:val="23"/>
                <w:color w:val="auto"/>
              </w:rPr>
            </w:pPr>
          </w:p>
        </w:tc>
      </w:tr>
      <w:tr>
        <w:trPr>
          <w:trHeight w:val="61"/>
        </w:trPr>
        <w:tc>
          <w:tcPr>
            <w:tcW w:w="5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38"/>
        </w:trPr>
        <w:tc>
          <w:tcPr>
            <w:tcW w:w="5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Payables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2,587,715</w:t>
            </w:r>
          </w:p>
        </w:tc>
        <w:tc>
          <w:tcPr>
            <w:tcW w:w="60" w:type="dxa"/>
            <w:vAlign w:val="bottom"/>
          </w:tcPr>
          <w:p>
            <w:pPr>
              <w:spacing w:after="0"/>
              <w:rPr>
                <w:sz w:val="22"/>
                <w:szCs w:val="22"/>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2,191,233</w:t>
            </w:r>
          </w:p>
        </w:tc>
      </w:tr>
      <w:tr>
        <w:trPr>
          <w:trHeight w:val="61"/>
        </w:trPr>
        <w:tc>
          <w:tcPr>
            <w:tcW w:w="5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2,587,715</w:t>
            </w:r>
          </w:p>
        </w:tc>
        <w:tc>
          <w:tcPr>
            <w:tcW w:w="6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2,191,233</w:t>
            </w:r>
          </w:p>
        </w:tc>
      </w:tr>
      <w:tr>
        <w:trPr>
          <w:trHeight w:val="61"/>
        </w:trPr>
        <w:tc>
          <w:tcPr>
            <w:tcW w:w="54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2,587,715</w:t>
            </w:r>
          </w:p>
        </w:tc>
        <w:tc>
          <w:tcPr>
            <w:tcW w:w="60" w:type="dxa"/>
            <w:vAlign w:val="bottom"/>
          </w:tcPr>
          <w:p>
            <w:pPr>
              <w:spacing w:after="0"/>
              <w:rPr>
                <w:sz w:val="23"/>
                <w:szCs w:val="23"/>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2,191,233</w:t>
            </w:r>
          </w:p>
        </w:tc>
      </w:tr>
      <w:tr>
        <w:trPr>
          <w:trHeight w:val="61"/>
        </w:trPr>
        <w:tc>
          <w:tcPr>
            <w:tcW w:w="5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58"/>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184,395,802</w:t>
            </w:r>
          </w:p>
        </w:tc>
        <w:tc>
          <w:tcPr>
            <w:tcW w:w="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66,532,293</w:t>
            </w:r>
          </w:p>
        </w:tc>
        <w:tc>
          <w:tcPr>
            <w:tcW w:w="80" w:type="dxa"/>
            <w:vAlign w:val="bottom"/>
            <w:shd w:val="clear" w:color="auto" w:fill="CCEEFF"/>
          </w:tcPr>
          <w:p>
            <w:pPr>
              <w:spacing w:after="0"/>
              <w:rPr>
                <w:sz w:val="24"/>
                <w:szCs w:val="24"/>
                <w:color w:val="auto"/>
              </w:rPr>
            </w:pPr>
          </w:p>
        </w:tc>
      </w:tr>
      <w:tr>
        <w:trPr>
          <w:trHeight w:val="364"/>
        </w:trPr>
        <w:tc>
          <w:tcPr>
            <w:tcW w:w="54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7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Contributed equity</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233,196,507</w:t>
            </w:r>
          </w:p>
        </w:tc>
        <w:tc>
          <w:tcPr>
            <w:tcW w:w="6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99,851,510</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Reserves</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33,733,407</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29,037,721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Accumulated losses</w:t>
            </w:r>
          </w:p>
        </w:tc>
        <w:tc>
          <w:tcPr>
            <w:tcW w:w="1700" w:type="dxa"/>
            <w:vAlign w:val="bottom"/>
            <w:gridSpan w:val="4"/>
          </w:tcPr>
          <w:p>
            <w:pPr>
              <w:jc w:val="right"/>
              <w:ind w:right="20"/>
              <w:spacing w:after="0"/>
              <w:rPr>
                <w:sz w:val="20"/>
                <w:szCs w:val="20"/>
                <w:color w:val="auto"/>
              </w:rPr>
            </w:pPr>
            <w:r>
              <w:rPr>
                <w:rFonts w:ascii="Arial" w:cs="Arial" w:eastAsia="Arial" w:hAnsi="Arial"/>
                <w:sz w:val="18"/>
                <w:szCs w:val="18"/>
                <w:color w:val="auto"/>
              </w:rPr>
              <w:t>(82,534,112)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(62,356,938)</w:t>
            </w:r>
          </w:p>
        </w:tc>
      </w:tr>
      <w:tr>
        <w:trPr>
          <w:trHeight w:val="61"/>
        </w:trPr>
        <w:tc>
          <w:tcPr>
            <w:tcW w:w="5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58"/>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184,395,802</w:t>
            </w:r>
          </w:p>
        </w:tc>
        <w:tc>
          <w:tcPr>
            <w:tcW w:w="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66,532,293</w:t>
            </w:r>
          </w:p>
        </w:tc>
        <w:tc>
          <w:tcPr>
            <w:tcW w:w="80" w:type="dxa"/>
            <w:vAlign w:val="bottom"/>
            <w:shd w:val="clear" w:color="auto" w:fill="CCEEFF"/>
          </w:tcPr>
          <w:p>
            <w:pPr>
              <w:spacing w:after="0"/>
              <w:rPr>
                <w:sz w:val="24"/>
                <w:szCs w:val="24"/>
                <w:color w:val="auto"/>
              </w:rPr>
            </w:pPr>
          </w:p>
        </w:tc>
      </w:tr>
      <w:tr>
        <w:trPr>
          <w:trHeight w:val="296"/>
        </w:trPr>
        <w:tc>
          <w:tcPr>
            <w:tcW w:w="54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Statement of Profit or Loss and Other Comprehensive Income</w:t>
            </w:r>
          </w:p>
        </w:tc>
        <w:tc>
          <w:tcPr>
            <w:tcW w:w="7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17"/>
        </w:trPr>
        <w:tc>
          <w:tcPr>
            <w:tcW w:w="5480" w:type="dxa"/>
            <w:vAlign w:val="bottom"/>
          </w:tcPr>
          <w:p>
            <w:pPr>
              <w:ind w:left="180"/>
              <w:spacing w:after="0"/>
              <w:rPr>
                <w:sz w:val="20"/>
                <w:szCs w:val="20"/>
                <w:color w:val="auto"/>
              </w:rPr>
            </w:pPr>
            <w:r>
              <w:rPr>
                <w:rFonts w:ascii="Arial" w:cs="Arial" w:eastAsia="Arial" w:hAnsi="Arial"/>
                <w:sz w:val="18"/>
                <w:szCs w:val="18"/>
                <w:color w:val="auto"/>
              </w:rPr>
              <w:t>Total loss and total comprehensive loss</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(20,177,174)</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(19,478,284)</w:t>
            </w:r>
          </w:p>
        </w:tc>
      </w:tr>
      <w:tr>
        <w:trPr>
          <w:trHeight w:val="21"/>
        </w:trPr>
        <w:tc>
          <w:tcPr>
            <w:tcW w:w="5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-6574155</wp:posOffset>
            </wp:positionV>
            <wp:extent cx="1885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-6574155</wp:posOffset>
            </wp:positionV>
            <wp:extent cx="9461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NOVONIX Limited has not entered into any guarantees, in the current or previous reporting period, in relation to the debts of its subsidiaries.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Contingent liabilities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30 June 2021, NOVONIX Limited did not have any contingent liabilities (2020: Nil).</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commitments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30 June 2021, NOVONIX Limited did not have any contractual commitments (2020: Nil).</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862" w:gutter="0" w:footer="0" w:header="0"/>
        </w:sectPr>
      </w:pPr>
    </w:p>
    <w:bookmarkStart w:id="148" w:name="page149"/>
    <w:bookmarkEnd w:id="148"/>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w:t>
      </w:r>
    </w:p>
    <w:p>
      <w:pPr>
        <w:spacing w:after="0" w:line="117"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Revenue from contracts with customers</w:t>
      </w:r>
    </w:p>
    <w:p>
      <w:pPr>
        <w:spacing w:after="0" w:line="121" w:lineRule="exact"/>
        <w:rPr>
          <w:sz w:val="20"/>
          <w:szCs w:val="20"/>
          <w:color w:val="auto"/>
        </w:rPr>
      </w:pPr>
    </w:p>
    <w:p>
      <w:pPr>
        <w:ind w:left="1300" w:right="1460"/>
        <w:spacing w:after="0" w:line="277" w:lineRule="auto"/>
        <w:rPr>
          <w:sz w:val="20"/>
          <w:szCs w:val="20"/>
          <w:color w:val="auto"/>
        </w:rPr>
      </w:pPr>
      <w:r>
        <w:rPr>
          <w:rFonts w:ascii="Arial" w:cs="Arial" w:eastAsia="Arial" w:hAnsi="Arial"/>
          <w:sz w:val="18"/>
          <w:szCs w:val="18"/>
          <w:color w:val="auto"/>
        </w:rPr>
        <w:t>The group derives revenue from the transfer of goods and services over time and at a point in time in the following major product lines and geographical regions:</w:t>
      </w:r>
    </w:p>
    <w:p>
      <w:pPr>
        <w:spacing w:after="0" w:line="12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7"/>
              </w:rPr>
              <w:t>Graphite</w:t>
            </w: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Battery</w:t>
            </w:r>
          </w:p>
        </w:tc>
        <w:tc>
          <w:tcPr>
            <w:tcW w:w="9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9"/>
              </w:rPr>
              <w:t>Battery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3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Mining and</w:t>
            </w:r>
          </w:p>
        </w:tc>
        <w:tc>
          <w:tcPr>
            <w:tcW w:w="10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10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exploration</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Technology</w:t>
            </w:r>
          </w:p>
        </w:tc>
        <w:tc>
          <w:tcPr>
            <w:tcW w:w="9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Materials</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320" w:type="dxa"/>
            <w:vAlign w:val="bottom"/>
            <w:vMerge w:val="continue"/>
          </w:tcPr>
          <w:p>
            <w:pPr>
              <w:spacing w:after="0"/>
              <w:rPr>
                <w:sz w:val="16"/>
                <w:szCs w:val="16"/>
                <w:color w:val="auto"/>
              </w:rPr>
            </w:pPr>
          </w:p>
        </w:tc>
        <w:tc>
          <w:tcPr>
            <w:tcW w:w="78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320" w:type="dxa"/>
            <w:vAlign w:val="bottom"/>
          </w:tcPr>
          <w:p>
            <w:pPr>
              <w:spacing w:after="0"/>
              <w:rPr>
                <w:sz w:val="16"/>
                <w:szCs w:val="16"/>
                <w:color w:val="auto"/>
              </w:rPr>
            </w:pPr>
          </w:p>
        </w:tc>
        <w:tc>
          <w:tcPr>
            <w:tcW w:w="40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3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Hardware sales</w:t>
            </w: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1,405,086</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1,405,086</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8"/>
                <w:szCs w:val="18"/>
                <w:color w:val="auto"/>
              </w:rPr>
              <w:t>Consulting sales</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3,822,261</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3,822,261</w:t>
            </w:r>
          </w:p>
        </w:tc>
        <w:tc>
          <w:tcPr>
            <w:tcW w:w="0" w:type="dxa"/>
            <w:vAlign w:val="bottom"/>
          </w:tcPr>
          <w:p>
            <w:pPr>
              <w:spacing w:after="0"/>
              <w:rPr>
                <w:sz w:val="1"/>
                <w:szCs w:val="1"/>
                <w:color w:val="auto"/>
              </w:rPr>
            </w:pPr>
          </w:p>
        </w:tc>
      </w:tr>
      <w:tr>
        <w:trPr>
          <w:trHeight w:val="61"/>
        </w:trPr>
        <w:tc>
          <w:tcPr>
            <w:tcW w:w="4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5,227,347</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5,227,347</w:t>
            </w:r>
          </w:p>
        </w:tc>
        <w:tc>
          <w:tcPr>
            <w:tcW w:w="0" w:type="dxa"/>
            <w:vAlign w:val="bottom"/>
          </w:tcPr>
          <w:p>
            <w:pPr>
              <w:spacing w:after="0"/>
              <w:rPr>
                <w:sz w:val="1"/>
                <w:szCs w:val="1"/>
                <w:color w:val="auto"/>
              </w:rPr>
            </w:pPr>
          </w:p>
        </w:tc>
      </w:tr>
      <w:tr>
        <w:trPr>
          <w:trHeight w:val="61"/>
        </w:trPr>
        <w:tc>
          <w:tcPr>
            <w:tcW w:w="4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right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auto"/>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320" w:type="dxa"/>
            <w:vAlign w:val="bottom"/>
          </w:tcPr>
          <w:p>
            <w:pPr>
              <w:spacing w:after="0"/>
              <w:rPr>
                <w:sz w:val="20"/>
                <w:szCs w:val="20"/>
                <w:color w:val="auto"/>
              </w:rPr>
            </w:pPr>
            <w:r>
              <w:rPr>
                <w:rFonts w:ascii="Arial" w:cs="Arial" w:eastAsia="Arial" w:hAnsi="Arial"/>
                <w:sz w:val="18"/>
                <w:szCs w:val="18"/>
                <w:color w:val="auto"/>
              </w:rPr>
              <w:t>Timing of revenue recognition</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a point in time</w:t>
            </w: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1,405,086</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1,405,086</w:t>
            </w:r>
          </w:p>
        </w:tc>
        <w:tc>
          <w:tcPr>
            <w:tcW w:w="0" w:type="dxa"/>
            <w:vAlign w:val="bottom"/>
          </w:tcPr>
          <w:p>
            <w:pPr>
              <w:spacing w:after="0"/>
              <w:rPr>
                <w:sz w:val="1"/>
                <w:szCs w:val="1"/>
                <w:color w:val="auto"/>
              </w:rPr>
            </w:pPr>
          </w:p>
        </w:tc>
      </w:tr>
      <w:tr>
        <w:trPr>
          <w:trHeight w:val="256"/>
        </w:trPr>
        <w:tc>
          <w:tcPr>
            <w:tcW w:w="4320" w:type="dxa"/>
            <w:vAlign w:val="bottom"/>
          </w:tcPr>
          <w:p>
            <w:pPr>
              <w:ind w:left="180"/>
              <w:spacing w:after="0"/>
              <w:rPr>
                <w:sz w:val="20"/>
                <w:szCs w:val="20"/>
                <w:color w:val="auto"/>
              </w:rPr>
            </w:pPr>
            <w:r>
              <w:rPr>
                <w:rFonts w:ascii="Arial" w:cs="Arial" w:eastAsia="Arial" w:hAnsi="Arial"/>
                <w:sz w:val="18"/>
                <w:szCs w:val="18"/>
                <w:color w:val="auto"/>
              </w:rPr>
              <w:t>Over time</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3,822,261</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3,822,261</w:t>
            </w:r>
          </w:p>
        </w:tc>
        <w:tc>
          <w:tcPr>
            <w:tcW w:w="0" w:type="dxa"/>
            <w:vAlign w:val="bottom"/>
          </w:tcPr>
          <w:p>
            <w:pPr>
              <w:spacing w:after="0"/>
              <w:rPr>
                <w:sz w:val="1"/>
                <w:szCs w:val="1"/>
                <w:color w:val="auto"/>
              </w:rPr>
            </w:pPr>
          </w:p>
        </w:tc>
      </w:tr>
      <w:tr>
        <w:trPr>
          <w:trHeight w:val="61"/>
        </w:trPr>
        <w:tc>
          <w:tcPr>
            <w:tcW w:w="4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5,227,347</w:t>
            </w: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5,227,347</w:t>
            </w:r>
          </w:p>
        </w:tc>
        <w:tc>
          <w:tcPr>
            <w:tcW w:w="0" w:type="dxa"/>
            <w:vAlign w:val="bottom"/>
          </w:tcPr>
          <w:p>
            <w:pPr>
              <w:spacing w:after="0"/>
              <w:rPr>
                <w:sz w:val="1"/>
                <w:szCs w:val="1"/>
                <w:color w:val="auto"/>
              </w:rPr>
            </w:pPr>
          </w:p>
        </w:tc>
      </w:tr>
      <w:tr>
        <w:trPr>
          <w:trHeight w:val="27"/>
        </w:trPr>
        <w:tc>
          <w:tcPr>
            <w:tcW w:w="4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auto"/>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1"/>
        </w:trPr>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7"/>
              </w:rPr>
              <w:t>Graphite</w:t>
            </w: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Battery</w:t>
            </w:r>
          </w:p>
        </w:tc>
        <w:tc>
          <w:tcPr>
            <w:tcW w:w="9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9"/>
              </w:rPr>
              <w:t>Battery</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3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Mining and</w:t>
            </w:r>
          </w:p>
        </w:tc>
        <w:tc>
          <w:tcPr>
            <w:tcW w:w="10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10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exploration</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Technology</w:t>
            </w:r>
          </w:p>
        </w:tc>
        <w:tc>
          <w:tcPr>
            <w:tcW w:w="9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Materials</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320" w:type="dxa"/>
            <w:vAlign w:val="bottom"/>
            <w:vMerge w:val="continue"/>
          </w:tcPr>
          <w:p>
            <w:pPr>
              <w:spacing w:after="0"/>
              <w:rPr>
                <w:sz w:val="16"/>
                <w:szCs w:val="16"/>
                <w:color w:val="auto"/>
              </w:rPr>
            </w:pPr>
          </w:p>
        </w:tc>
        <w:tc>
          <w:tcPr>
            <w:tcW w:w="78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320" w:type="dxa"/>
            <w:vAlign w:val="bottom"/>
          </w:tcPr>
          <w:p>
            <w:pPr>
              <w:spacing w:after="0"/>
              <w:rPr>
                <w:sz w:val="16"/>
                <w:szCs w:val="16"/>
                <w:color w:val="auto"/>
              </w:rPr>
            </w:pPr>
          </w:p>
        </w:tc>
        <w:tc>
          <w:tcPr>
            <w:tcW w:w="40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3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Hardware sales</w:t>
            </w: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2,113,416</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2,113,416</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8"/>
                <w:szCs w:val="18"/>
                <w:color w:val="auto"/>
              </w:rPr>
              <w:t>Consulting sales</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2,140,019</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2,140,019</w:t>
            </w:r>
          </w:p>
        </w:tc>
        <w:tc>
          <w:tcPr>
            <w:tcW w:w="0" w:type="dxa"/>
            <w:vAlign w:val="bottom"/>
          </w:tcPr>
          <w:p>
            <w:pPr>
              <w:spacing w:after="0"/>
              <w:rPr>
                <w:sz w:val="1"/>
                <w:szCs w:val="1"/>
                <w:color w:val="auto"/>
              </w:rPr>
            </w:pPr>
          </w:p>
        </w:tc>
      </w:tr>
      <w:tr>
        <w:trPr>
          <w:trHeight w:val="61"/>
        </w:trPr>
        <w:tc>
          <w:tcPr>
            <w:tcW w:w="4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4,253,435</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4,253,435</w:t>
            </w:r>
          </w:p>
        </w:tc>
        <w:tc>
          <w:tcPr>
            <w:tcW w:w="0" w:type="dxa"/>
            <w:vAlign w:val="bottom"/>
          </w:tcPr>
          <w:p>
            <w:pPr>
              <w:spacing w:after="0"/>
              <w:rPr>
                <w:sz w:val="1"/>
                <w:szCs w:val="1"/>
                <w:color w:val="auto"/>
              </w:rPr>
            </w:pPr>
          </w:p>
        </w:tc>
      </w:tr>
      <w:tr>
        <w:trPr>
          <w:trHeight w:val="61"/>
        </w:trPr>
        <w:tc>
          <w:tcPr>
            <w:tcW w:w="4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right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auto"/>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320" w:type="dxa"/>
            <w:vAlign w:val="bottom"/>
          </w:tcPr>
          <w:p>
            <w:pPr>
              <w:spacing w:after="0"/>
              <w:rPr>
                <w:sz w:val="20"/>
                <w:szCs w:val="20"/>
                <w:color w:val="auto"/>
              </w:rPr>
            </w:pPr>
            <w:r>
              <w:rPr>
                <w:rFonts w:ascii="Arial" w:cs="Arial" w:eastAsia="Arial" w:hAnsi="Arial"/>
                <w:sz w:val="18"/>
                <w:szCs w:val="18"/>
                <w:color w:val="auto"/>
              </w:rPr>
              <w:t>Timing of revenue recognition</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a point in time</w:t>
            </w: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2,113,416</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2,113,416</w:t>
            </w:r>
          </w:p>
        </w:tc>
        <w:tc>
          <w:tcPr>
            <w:tcW w:w="0" w:type="dxa"/>
            <w:vAlign w:val="bottom"/>
          </w:tcPr>
          <w:p>
            <w:pPr>
              <w:spacing w:after="0"/>
              <w:rPr>
                <w:sz w:val="1"/>
                <w:szCs w:val="1"/>
                <w:color w:val="auto"/>
              </w:rPr>
            </w:pPr>
          </w:p>
        </w:tc>
      </w:tr>
      <w:tr>
        <w:trPr>
          <w:trHeight w:val="257"/>
        </w:trPr>
        <w:tc>
          <w:tcPr>
            <w:tcW w:w="4320" w:type="dxa"/>
            <w:vAlign w:val="bottom"/>
          </w:tcPr>
          <w:p>
            <w:pPr>
              <w:ind w:left="180"/>
              <w:spacing w:after="0"/>
              <w:rPr>
                <w:sz w:val="20"/>
                <w:szCs w:val="20"/>
                <w:color w:val="auto"/>
              </w:rPr>
            </w:pPr>
            <w:r>
              <w:rPr>
                <w:rFonts w:ascii="Arial" w:cs="Arial" w:eastAsia="Arial" w:hAnsi="Arial"/>
                <w:sz w:val="18"/>
                <w:szCs w:val="18"/>
                <w:color w:val="auto"/>
              </w:rPr>
              <w:t>Over time</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2,140,019</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2,140,019</w:t>
            </w:r>
          </w:p>
        </w:tc>
        <w:tc>
          <w:tcPr>
            <w:tcW w:w="0" w:type="dxa"/>
            <w:vAlign w:val="bottom"/>
          </w:tcPr>
          <w:p>
            <w:pPr>
              <w:spacing w:after="0"/>
              <w:rPr>
                <w:sz w:val="1"/>
                <w:szCs w:val="1"/>
                <w:color w:val="auto"/>
              </w:rPr>
            </w:pPr>
          </w:p>
        </w:tc>
      </w:tr>
      <w:tr>
        <w:trPr>
          <w:trHeight w:val="61"/>
        </w:trPr>
        <w:tc>
          <w:tcPr>
            <w:tcW w:w="4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4,253,435</w:t>
            </w: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4,253,435</w:t>
            </w:r>
          </w:p>
        </w:tc>
        <w:tc>
          <w:tcPr>
            <w:tcW w:w="0" w:type="dxa"/>
            <w:vAlign w:val="bottom"/>
          </w:tcPr>
          <w:p>
            <w:pPr>
              <w:spacing w:after="0"/>
              <w:rPr>
                <w:sz w:val="1"/>
                <w:szCs w:val="1"/>
                <w:color w:val="auto"/>
              </w:rPr>
            </w:pPr>
          </w:p>
        </w:tc>
      </w:tr>
      <w:tr>
        <w:trPr>
          <w:trHeight w:val="27"/>
        </w:trPr>
        <w:tc>
          <w:tcPr>
            <w:tcW w:w="4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auto"/>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1"/>
        </w:trPr>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7"/>
              </w:rPr>
              <w:t>Graphite</w:t>
            </w: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Battery</w:t>
            </w:r>
          </w:p>
        </w:tc>
        <w:tc>
          <w:tcPr>
            <w:tcW w:w="9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9"/>
              </w:rPr>
              <w:t>Battery</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3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7"/>
              </w:rPr>
              <w:t>Mining and</w:t>
            </w:r>
          </w:p>
        </w:tc>
        <w:tc>
          <w:tcPr>
            <w:tcW w:w="10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exploration</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Technology</w:t>
            </w:r>
          </w:p>
        </w:tc>
        <w:tc>
          <w:tcPr>
            <w:tcW w:w="9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Materials</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320" w:type="dxa"/>
            <w:vAlign w:val="bottom"/>
            <w:vMerge w:val="continue"/>
          </w:tcPr>
          <w:p>
            <w:pPr>
              <w:spacing w:after="0"/>
              <w:rPr>
                <w:sz w:val="16"/>
                <w:szCs w:val="16"/>
                <w:color w:val="auto"/>
              </w:rPr>
            </w:pPr>
          </w:p>
        </w:tc>
        <w:tc>
          <w:tcPr>
            <w:tcW w:w="78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320" w:type="dxa"/>
            <w:vAlign w:val="bottom"/>
          </w:tcPr>
          <w:p>
            <w:pPr>
              <w:spacing w:after="0"/>
              <w:rPr>
                <w:sz w:val="16"/>
                <w:szCs w:val="16"/>
                <w:color w:val="auto"/>
              </w:rPr>
            </w:pPr>
          </w:p>
        </w:tc>
        <w:tc>
          <w:tcPr>
            <w:tcW w:w="40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3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Hardware sales</w:t>
            </w: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1,461,266</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1,461,266</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Consulting sales</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355,783</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355,783</w:t>
            </w:r>
          </w:p>
        </w:tc>
        <w:tc>
          <w:tcPr>
            <w:tcW w:w="0" w:type="dxa"/>
            <w:vAlign w:val="bottom"/>
          </w:tcPr>
          <w:p>
            <w:pPr>
              <w:spacing w:after="0"/>
              <w:rPr>
                <w:sz w:val="1"/>
                <w:szCs w:val="1"/>
                <w:color w:val="auto"/>
              </w:rPr>
            </w:pPr>
          </w:p>
        </w:tc>
      </w:tr>
      <w:tr>
        <w:trPr>
          <w:trHeight w:val="48"/>
        </w:trPr>
        <w:tc>
          <w:tcPr>
            <w:tcW w:w="4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1,817,049</w:t>
            </w: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1,817,049</w:t>
            </w:r>
          </w:p>
        </w:tc>
        <w:tc>
          <w:tcPr>
            <w:tcW w:w="0" w:type="dxa"/>
            <w:vAlign w:val="bottom"/>
          </w:tcPr>
          <w:p>
            <w:pPr>
              <w:spacing w:after="0"/>
              <w:rPr>
                <w:sz w:val="1"/>
                <w:szCs w:val="1"/>
                <w:color w:val="auto"/>
              </w:rPr>
            </w:pPr>
          </w:p>
        </w:tc>
      </w:tr>
      <w:tr>
        <w:trPr>
          <w:trHeight w:val="284"/>
        </w:trPr>
        <w:tc>
          <w:tcPr>
            <w:tcW w:w="4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Timing of revenue recognition</w:t>
            </w:r>
          </w:p>
        </w:tc>
        <w:tc>
          <w:tcPr>
            <w:tcW w:w="3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a point in time</w:t>
            </w: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1,461,266</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1,461,266</w:t>
            </w:r>
          </w:p>
        </w:tc>
        <w:tc>
          <w:tcPr>
            <w:tcW w:w="0" w:type="dxa"/>
            <w:vAlign w:val="bottom"/>
          </w:tcPr>
          <w:p>
            <w:pPr>
              <w:spacing w:after="0"/>
              <w:rPr>
                <w:sz w:val="1"/>
                <w:szCs w:val="1"/>
                <w:color w:val="auto"/>
              </w:rPr>
            </w:pPr>
          </w:p>
        </w:tc>
      </w:tr>
      <w:tr>
        <w:trPr>
          <w:trHeight w:val="270"/>
        </w:trPr>
        <w:tc>
          <w:tcPr>
            <w:tcW w:w="4320" w:type="dxa"/>
            <w:vAlign w:val="bottom"/>
          </w:tcPr>
          <w:p>
            <w:pPr>
              <w:ind w:left="180"/>
              <w:spacing w:after="0"/>
              <w:rPr>
                <w:sz w:val="20"/>
                <w:szCs w:val="20"/>
                <w:color w:val="auto"/>
              </w:rPr>
            </w:pPr>
            <w:r>
              <w:rPr>
                <w:rFonts w:ascii="Arial" w:cs="Arial" w:eastAsia="Arial" w:hAnsi="Arial"/>
                <w:sz w:val="18"/>
                <w:szCs w:val="18"/>
                <w:color w:val="auto"/>
              </w:rPr>
              <w:t>Over time</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355,783</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355,783</w:t>
            </w:r>
          </w:p>
        </w:tc>
        <w:tc>
          <w:tcPr>
            <w:tcW w:w="0" w:type="dxa"/>
            <w:vAlign w:val="bottom"/>
          </w:tcPr>
          <w:p>
            <w:pPr>
              <w:spacing w:after="0"/>
              <w:rPr>
                <w:sz w:val="1"/>
                <w:szCs w:val="1"/>
                <w:color w:val="auto"/>
              </w:rPr>
            </w:pPr>
          </w:p>
        </w:tc>
      </w:tr>
      <w:tr>
        <w:trPr>
          <w:trHeight w:val="48"/>
        </w:trPr>
        <w:tc>
          <w:tcPr>
            <w:tcW w:w="4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1,817,049</w:t>
            </w: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1,817,049</w:t>
            </w:r>
          </w:p>
        </w:tc>
        <w:tc>
          <w:tcPr>
            <w:tcW w:w="0" w:type="dxa"/>
            <w:vAlign w:val="bottom"/>
          </w:tcPr>
          <w:p>
            <w:pPr>
              <w:spacing w:after="0"/>
              <w:rPr>
                <w:sz w:val="1"/>
                <w:szCs w:val="1"/>
                <w:color w:val="auto"/>
              </w:rPr>
            </w:pPr>
          </w:p>
        </w:tc>
      </w:tr>
      <w:tr>
        <w:trPr>
          <w:trHeight w:val="27"/>
        </w:trPr>
        <w:tc>
          <w:tcPr>
            <w:tcW w:w="4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auto"/>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5483860</wp:posOffset>
            </wp:positionH>
            <wp:positionV relativeFrom="paragraph">
              <wp:posOffset>-5588635</wp:posOffset>
            </wp:positionV>
            <wp:extent cx="2057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-5588635</wp:posOffset>
            </wp:positionV>
            <wp:extent cx="2057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-5588635</wp:posOffset>
            </wp:positionV>
            <wp:extent cx="2057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-5588635</wp:posOffset>
            </wp:positionV>
            <wp:extent cx="2057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-3548380</wp:posOffset>
            </wp:positionV>
            <wp:extent cx="2057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-3548380</wp:posOffset>
            </wp:positionV>
            <wp:extent cx="2057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-3548380</wp:posOffset>
            </wp:positionV>
            <wp:extent cx="2057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-3548380</wp:posOffset>
            </wp:positionV>
            <wp:extent cx="2057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5483860</wp:posOffset>
            </wp:positionH>
            <wp:positionV relativeFrom="paragraph">
              <wp:posOffset>-1508125</wp:posOffset>
            </wp:positionV>
            <wp:extent cx="2057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-1508125</wp:posOffset>
            </wp:positionV>
            <wp:extent cx="2057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-1508125</wp:posOffset>
            </wp:positionV>
            <wp:extent cx="2057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-1508125</wp:posOffset>
            </wp:positionV>
            <wp:extent cx="2057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74" w:lineRule="exact"/>
        <w:rPr>
          <w:sz w:val="20"/>
          <w:szCs w:val="20"/>
          <w:color w:val="auto"/>
        </w:rPr>
      </w:pPr>
    </w:p>
    <w:p>
      <w:pPr>
        <w:ind w:left="1300" w:right="1540"/>
        <w:spacing w:after="0" w:line="277" w:lineRule="auto"/>
        <w:rPr>
          <w:sz w:val="20"/>
          <w:szCs w:val="20"/>
          <w:color w:val="auto"/>
        </w:rPr>
      </w:pPr>
      <w:r>
        <w:rPr>
          <w:rFonts w:ascii="Arial" w:cs="Arial" w:eastAsia="Arial" w:hAnsi="Arial"/>
          <w:sz w:val="18"/>
          <w:szCs w:val="18"/>
          <w:color w:val="auto"/>
        </w:rPr>
        <w:t>Revenues from external customers come from the sale of battery testing hardware equipment and the provision of battery testing and development consulting services.</w:t>
      </w:r>
    </w:p>
    <w:p>
      <w:pPr>
        <w:spacing w:after="0" w:line="166" w:lineRule="exact"/>
        <w:rPr>
          <w:sz w:val="20"/>
          <w:szCs w:val="20"/>
          <w:color w:val="auto"/>
        </w:rPr>
      </w:pPr>
    </w:p>
    <w:p>
      <w:pPr>
        <w:ind w:left="1640" w:hanging="348"/>
        <w:spacing w:after="0"/>
        <w:tabs>
          <w:tab w:leader="none" w:pos="16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related to contracts with customers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group has recognised the following assets and liabilities related to contracts with customers: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3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62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6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Contract liabilities – Hardware sales</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310,102</w:t>
            </w:r>
          </w:p>
        </w:tc>
        <w:tc>
          <w:tcPr>
            <w:tcW w:w="3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98,783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2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520" w:type="dxa"/>
            <w:vAlign w:val="bottom"/>
            <w:tcBorders>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Total current contract liabilities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310,102</w:t>
            </w:r>
          </w:p>
        </w:tc>
        <w:tc>
          <w:tcPr>
            <w:tcW w:w="380" w:type="dxa"/>
            <w:vAlign w:val="bottom"/>
          </w:tcPr>
          <w:p>
            <w:pPr>
              <w:spacing w:after="0"/>
              <w:rPr>
                <w:sz w:val="23"/>
                <w:szCs w:val="2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98,783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9"/>
        </w:trPr>
        <w:tc>
          <w:tcPr>
            <w:tcW w:w="1300" w:type="dxa"/>
            <w:vAlign w:val="bottom"/>
          </w:tcPr>
          <w:p>
            <w:pPr>
              <w:spacing w:after="0"/>
              <w:rPr>
                <w:sz w:val="24"/>
                <w:szCs w:val="24"/>
                <w:color w:val="auto"/>
              </w:rPr>
            </w:pPr>
          </w:p>
        </w:tc>
        <w:tc>
          <w:tcPr>
            <w:tcW w:w="6940" w:type="dxa"/>
            <w:vAlign w:val="bottom"/>
            <w:gridSpan w:val="3"/>
          </w:tcPr>
          <w:p>
            <w:pPr>
              <w:ind w:left="4040"/>
              <w:spacing w:after="0"/>
              <w:rPr>
                <w:sz w:val="20"/>
                <w:szCs w:val="20"/>
                <w:color w:val="auto"/>
              </w:rPr>
            </w:pPr>
            <w:r>
              <w:rPr>
                <w:rFonts w:ascii="Arial" w:cs="Arial" w:eastAsia="Arial" w:hAnsi="Arial"/>
                <w:sz w:val="18"/>
                <w:szCs w:val="18"/>
                <w:color w:val="auto"/>
              </w:rPr>
              <w:t>F-18</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5603875</wp:posOffset>
            </wp:positionH>
            <wp:positionV relativeFrom="paragraph">
              <wp:posOffset>-847725</wp:posOffset>
            </wp:positionV>
            <wp:extent cx="24003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-847725</wp:posOffset>
            </wp:positionV>
            <wp:extent cx="24003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-847725</wp:posOffset>
            </wp:positionV>
            <wp:extent cx="12001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Revenue (continued)</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Revenue recognised in relation to contract liabilities</w:t>
      </w:r>
    </w:p>
    <w:p>
      <w:pPr>
        <w:spacing w:after="0" w:line="117"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color w:val="auto"/>
        </w:rPr>
        <w:t>The following table shows how much of the revenue recognised in the current reporting period relates to brought-forward contract liabilities.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r>
      <w:tr>
        <w:trPr>
          <w:trHeight w:val="186"/>
        </w:trPr>
        <w:tc>
          <w:tcPr>
            <w:tcW w:w="6060" w:type="dxa"/>
            <w:vAlign w:val="bottom"/>
          </w:tcPr>
          <w:p>
            <w:pPr>
              <w:spacing w:after="0"/>
              <w:rPr>
                <w:sz w:val="16"/>
                <w:szCs w:val="16"/>
                <w:color w:val="auto"/>
              </w:rPr>
            </w:pPr>
          </w:p>
        </w:tc>
        <w:tc>
          <w:tcPr>
            <w:tcW w:w="6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w:t>
            </w:r>
          </w:p>
        </w:tc>
      </w:tr>
      <w:tr>
        <w:trPr>
          <w:trHeight w:val="53"/>
        </w:trPr>
        <w:tc>
          <w:tcPr>
            <w:tcW w:w="60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49"/>
        </w:trPr>
        <w:tc>
          <w:tcPr>
            <w:tcW w:w="6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Revenue recognised that was included in the contract liability balance at the</w:t>
            </w:r>
          </w:p>
        </w:tc>
        <w:tc>
          <w:tcPr>
            <w:tcW w:w="1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r>
      <w:tr>
        <w:trPr>
          <w:trHeight w:val="251"/>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beginning of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Hardware sales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98,783</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580,845</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80"/>
        </w:trPr>
        <w:tc>
          <w:tcPr>
            <w:tcW w:w="6060" w:type="dxa"/>
            <w:vAlign w:val="bottom"/>
          </w:tcPr>
          <w:p>
            <w:pPr>
              <w:spacing w:after="0"/>
              <w:rPr>
                <w:sz w:val="20"/>
                <w:szCs w:val="20"/>
                <w:color w:val="auto"/>
              </w:rPr>
            </w:pPr>
            <w:r>
              <w:rPr>
                <w:rFonts w:ascii="Arial" w:cs="Arial" w:eastAsia="Arial" w:hAnsi="Arial"/>
                <w:sz w:val="18"/>
                <w:szCs w:val="18"/>
                <w:b w:val="1"/>
                <w:bCs w:val="1"/>
                <w:color w:val="auto"/>
              </w:rPr>
              <w:t>Note 4  Other income</w:t>
            </w:r>
          </w:p>
        </w:tc>
        <w:tc>
          <w:tcPr>
            <w:tcW w:w="1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r>
      <w:tr>
        <w:trPr>
          <w:trHeight w:val="301"/>
        </w:trPr>
        <w:tc>
          <w:tcPr>
            <w:tcW w:w="6060" w:type="dxa"/>
            <w:vAlign w:val="bottom"/>
          </w:tcPr>
          <w:p>
            <w:pPr>
              <w:spacing w:after="0"/>
              <w:rPr>
                <w:sz w:val="24"/>
                <w:szCs w:val="24"/>
                <w:color w:val="auto"/>
              </w:rPr>
            </w:pPr>
          </w:p>
        </w:tc>
        <w:tc>
          <w:tcPr>
            <w:tcW w:w="6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7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7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2019</w:t>
            </w:r>
          </w:p>
        </w:tc>
      </w:tr>
      <w:tr>
        <w:trPr>
          <w:trHeight w:val="186"/>
        </w:trPr>
        <w:tc>
          <w:tcPr>
            <w:tcW w:w="6060" w:type="dxa"/>
            <w:vAlign w:val="bottom"/>
          </w:tcPr>
          <w:p>
            <w:pPr>
              <w:spacing w:after="0"/>
              <w:rPr>
                <w:sz w:val="16"/>
                <w:szCs w:val="16"/>
                <w:color w:val="auto"/>
              </w:rPr>
            </w:pPr>
          </w:p>
        </w:tc>
        <w:tc>
          <w:tcPr>
            <w:tcW w:w="6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53"/>
        </w:trPr>
        <w:tc>
          <w:tcPr>
            <w:tcW w:w="60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9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received from unrelated parties</w:t>
            </w: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35,066</w:t>
            </w:r>
          </w:p>
        </w:tc>
        <w:tc>
          <w:tcPr>
            <w:tcW w:w="7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4,533</w:t>
            </w: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COVID-19 Government stimulus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6"/>
              </w:rPr>
              <w:t>115,501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59,000</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606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r>
      <w:tr>
        <w:trPr>
          <w:trHeight w:val="277"/>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funding</w:t>
            </w:r>
          </w:p>
        </w:tc>
        <w:tc>
          <w:tcPr>
            <w:tcW w:w="6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818,410</w:t>
            </w:r>
          </w:p>
        </w:tc>
        <w:tc>
          <w:tcPr>
            <w:tcW w:w="7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785,154</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329,573</w:t>
            </w: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Fair value gain on borrowings</w:t>
            </w: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114,106</w:t>
            </w:r>
          </w:p>
        </w:tc>
      </w:tr>
      <w:tr>
        <w:trPr>
          <w:trHeight w:val="40"/>
        </w:trPr>
        <w:tc>
          <w:tcPr>
            <w:tcW w:w="6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r>
      <w:tr>
        <w:trPr>
          <w:trHeight w:val="277"/>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revaluation of equity accounted investment</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2,576,131</w:t>
            </w: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15,675</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341</w:t>
            </w:r>
          </w:p>
        </w:tc>
      </w:tr>
      <w:tr>
        <w:trPr>
          <w:trHeight w:val="48"/>
        </w:trPr>
        <w:tc>
          <w:tcPr>
            <w:tcW w:w="60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r>
      <w:tr>
        <w:trPr>
          <w:trHeight w:val="290"/>
        </w:trPr>
        <w:tc>
          <w:tcPr>
            <w:tcW w:w="6060" w:type="dxa"/>
            <w:vAlign w:val="bottom"/>
            <w:shd w:val="clear" w:color="auto" w:fill="CCEEFF"/>
          </w:tcPr>
          <w:p>
            <w:pPr>
              <w:spacing w:after="0"/>
              <w:rPr>
                <w:sz w:val="24"/>
                <w:szCs w:val="24"/>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984,652</w:t>
            </w: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844,877</w:t>
            </w:r>
          </w:p>
        </w:tc>
        <w:tc>
          <w:tcPr>
            <w:tcW w:w="240" w:type="dxa"/>
            <w:vAlign w:val="bottom"/>
            <w:tcBorders>
              <w:right w:val="single" w:sz="8" w:color="CCEEFF"/>
            </w:tcBorders>
            <w:shd w:val="clear" w:color="auto" w:fill="CCEEFF"/>
          </w:tcPr>
          <w:p>
            <w:pPr>
              <w:spacing w:after="0"/>
              <w:rPr>
                <w:sz w:val="24"/>
                <w:szCs w:val="24"/>
                <w:color w:val="auto"/>
              </w:rPr>
            </w:pP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3,024,684</w:t>
            </w:r>
          </w:p>
        </w:tc>
      </w:tr>
      <w:tr>
        <w:trPr>
          <w:trHeight w:val="27"/>
        </w:trPr>
        <w:tc>
          <w:tcPr>
            <w:tcW w:w="60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50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right w:val="single" w:sz="8" w:color="CCEEFF"/>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auto"/>
              <w:right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-2545080</wp:posOffset>
            </wp:positionV>
            <wp:extent cx="2571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-2545080</wp:posOffset>
            </wp:positionV>
            <wp:extent cx="25717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-2545080</wp:posOffset>
            </wp:positionV>
            <wp:extent cx="1289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-1388110</wp:posOffset>
            </wp:positionV>
            <wp:extent cx="1371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-1388110</wp:posOffset>
            </wp:positionV>
            <wp:extent cx="137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-1388110</wp:posOffset>
            </wp:positionV>
            <wp:extent cx="768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Loss for the year</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Loss before income tax from continuing operations includes the following specific expenses: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59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87"/>
        </w:trPr>
        <w:tc>
          <w:tcPr>
            <w:tcW w:w="5940" w:type="dxa"/>
            <w:vAlign w:val="bottom"/>
          </w:tcPr>
          <w:p>
            <w:pPr>
              <w:spacing w:after="0"/>
              <w:rPr>
                <w:sz w:val="16"/>
                <w:szCs w:val="16"/>
                <w:color w:val="auto"/>
              </w:rPr>
            </w:pP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186"/>
        </w:trPr>
        <w:tc>
          <w:tcPr>
            <w:tcW w:w="5940" w:type="dxa"/>
            <w:vAlign w:val="bottom"/>
          </w:tcPr>
          <w:p>
            <w:pPr>
              <w:spacing w:after="0"/>
              <w:rPr>
                <w:sz w:val="16"/>
                <w:szCs w:val="16"/>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r>
      <w:tr>
        <w:trPr>
          <w:trHeight w:val="53"/>
        </w:trPr>
        <w:tc>
          <w:tcPr>
            <w:tcW w:w="59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98"/>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based payments expense^</w:t>
            </w: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5940" w:type="dxa"/>
            <w:vAlign w:val="bottom"/>
          </w:tcPr>
          <w:p>
            <w:pPr>
              <w:ind w:left="180"/>
              <w:spacing w:after="0"/>
              <w:rPr>
                <w:sz w:val="20"/>
                <w:szCs w:val="20"/>
                <w:color w:val="auto"/>
              </w:rPr>
            </w:pPr>
            <w:r>
              <w:rPr>
                <w:rFonts w:ascii="Arial" w:cs="Arial" w:eastAsia="Arial" w:hAnsi="Arial"/>
                <w:sz w:val="18"/>
                <w:szCs w:val="18"/>
                <w:color w:val="auto"/>
              </w:rPr>
              <w:t>Performance rights granted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2,952,676</w:t>
            </w:r>
          </w:p>
        </w:tc>
        <w:tc>
          <w:tcPr>
            <w:tcW w:w="10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w w:val="87"/>
              </w:rPr>
              <w:t>78,362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39,025</w:t>
            </w:r>
          </w:p>
        </w:tc>
      </w:tr>
      <w:tr>
        <w:trPr>
          <w:trHeight w:val="40"/>
        </w:trPr>
        <w:tc>
          <w:tcPr>
            <w:tcW w:w="5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2,995,856</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6,291,510</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6,634,485</w:t>
            </w: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Options cancelled</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1,189,081</w:t>
            </w: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61"/>
        </w:trPr>
        <w:tc>
          <w:tcPr>
            <w:tcW w:w="594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44"/>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share based compensation expense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5,948,532</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7,558,953</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6,673,510</w:t>
            </w:r>
          </w:p>
        </w:tc>
      </w:tr>
      <w:tr>
        <w:trPr>
          <w:trHeight w:val="297"/>
        </w:trPr>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 Refer to note 28 for further information regarding share-based payments.</w:t>
            </w: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0"/>
        </w:trPr>
        <w:tc>
          <w:tcPr>
            <w:tcW w:w="5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7"/>
        </w:trPr>
        <w:tc>
          <w:tcPr>
            <w:tcW w:w="59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57"/>
        </w:trPr>
        <w:tc>
          <w:tcPr>
            <w:tcW w:w="5940" w:type="dxa"/>
            <w:vAlign w:val="bottom"/>
          </w:tcPr>
          <w:p>
            <w:pPr>
              <w:spacing w:after="0"/>
              <w:rPr>
                <w:sz w:val="20"/>
                <w:szCs w:val="20"/>
                <w:color w:val="auto"/>
              </w:rPr>
            </w:pPr>
            <w:r>
              <w:rPr>
                <w:rFonts w:ascii="Arial" w:cs="Arial" w:eastAsia="Arial" w:hAnsi="Arial"/>
                <w:sz w:val="18"/>
                <w:szCs w:val="18"/>
                <w:color w:val="auto"/>
              </w:rPr>
              <w:t>Borrowing costs</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0"/>
        </w:trPr>
        <w:tc>
          <w:tcPr>
            <w:tcW w:w="5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accrued on loan notes</w:t>
            </w: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3,062,598</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1,373,581</w:t>
            </w:r>
          </w:p>
        </w:tc>
      </w:tr>
      <w:tr>
        <w:trPr>
          <w:trHeight w:val="257"/>
        </w:trPr>
        <w:tc>
          <w:tcPr>
            <w:tcW w:w="5940" w:type="dxa"/>
            <w:vAlign w:val="bottom"/>
          </w:tcPr>
          <w:p>
            <w:pPr>
              <w:ind w:left="180"/>
              <w:spacing w:after="0"/>
              <w:rPr>
                <w:sz w:val="20"/>
                <w:szCs w:val="20"/>
                <w:color w:val="auto"/>
              </w:rPr>
            </w:pPr>
            <w:r>
              <w:rPr>
                <w:rFonts w:ascii="Arial" w:cs="Arial" w:eastAsia="Arial" w:hAnsi="Arial"/>
                <w:sz w:val="18"/>
                <w:szCs w:val="18"/>
                <w:color w:val="auto"/>
              </w:rPr>
              <w:t>Loss on redemption of loan notes</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1,765,353</w:t>
            </w:r>
          </w:p>
        </w:tc>
        <w:tc>
          <w:tcPr>
            <w:tcW w:w="10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0"/>
        </w:trPr>
        <w:tc>
          <w:tcPr>
            <w:tcW w:w="5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Unwinding of fair value gain</w:t>
            </w:r>
          </w:p>
        </w:tc>
        <w:tc>
          <w:tcPr>
            <w:tcW w:w="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7"/>
              </w:rPr>
              <w:t>40,547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87"/>
              </w:rPr>
              <w:t>48,377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30,113</w:t>
            </w: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Interest accrued on borrowings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188,847</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454,633</w:t>
            </w: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161,338</w:t>
            </w:r>
          </w:p>
        </w:tc>
      </w:tr>
      <w:tr>
        <w:trPr>
          <w:trHeight w:val="61"/>
        </w:trPr>
        <w:tc>
          <w:tcPr>
            <w:tcW w:w="594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44"/>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 costs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229,394</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5,330,961</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1,565,032</w:t>
            </w:r>
          </w:p>
        </w:tc>
      </w:tr>
      <w:tr>
        <w:trPr>
          <w:trHeight w:val="297"/>
        </w:trPr>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Impairment losses</w:t>
            </w: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1"/>
        </w:trPr>
        <w:tc>
          <w:tcPr>
            <w:tcW w:w="5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7"/>
        </w:trPr>
        <w:tc>
          <w:tcPr>
            <w:tcW w:w="5940" w:type="dxa"/>
            <w:vAlign w:val="bottom"/>
            <w:shd w:val="clear" w:color="auto" w:fill="CCEEFF"/>
          </w:tcPr>
          <w:p>
            <w:pPr>
              <w:ind w:left="180"/>
              <w:spacing w:after="0" w:line="296" w:lineRule="exact"/>
              <w:rPr>
                <w:sz w:val="20"/>
                <w:szCs w:val="20"/>
                <w:color w:val="auto"/>
              </w:rPr>
            </w:pPr>
            <w:r>
              <w:rPr>
                <w:rFonts w:ascii="Arial" w:cs="Arial" w:eastAsia="Arial" w:hAnsi="Arial"/>
                <w:sz w:val="18"/>
                <w:szCs w:val="18"/>
                <w:color w:val="auto"/>
              </w:rPr>
              <w:t>Fixed assets written off</w:t>
            </w:r>
            <w:r>
              <w:rPr>
                <w:rFonts w:ascii="Arial" w:cs="Arial" w:eastAsia="Arial" w:hAnsi="Arial"/>
                <w:sz w:val="29"/>
                <w:szCs w:val="29"/>
                <w:color w:val="auto"/>
                <w:vertAlign w:val="superscript"/>
              </w:rPr>
              <w:t>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2,764,940</w:t>
            </w:r>
          </w:p>
        </w:tc>
        <w:tc>
          <w:tcPr>
            <w:tcW w:w="10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97"/>
        </w:trPr>
        <w:tc>
          <w:tcPr>
            <w:tcW w:w="5940" w:type="dxa"/>
            <w:vAlign w:val="bottom"/>
          </w:tcPr>
          <w:p>
            <w:pPr>
              <w:ind w:left="180"/>
              <w:spacing w:after="0" w:line="296" w:lineRule="exact"/>
              <w:rPr>
                <w:sz w:val="20"/>
                <w:szCs w:val="20"/>
                <w:color w:val="auto"/>
              </w:rPr>
            </w:pPr>
            <w:r>
              <w:rPr>
                <w:rFonts w:ascii="Arial" w:cs="Arial" w:eastAsia="Arial" w:hAnsi="Arial"/>
                <w:sz w:val="18"/>
                <w:szCs w:val="18"/>
                <w:color w:val="auto"/>
              </w:rPr>
              <w:t>Exploration and evaluation assets</w:t>
            </w:r>
            <w:r>
              <w:rPr>
                <w:rFonts w:ascii="Arial" w:cs="Arial" w:eastAsia="Arial" w:hAnsi="Arial"/>
                <w:sz w:val="29"/>
                <w:szCs w:val="29"/>
                <w:color w:val="auto"/>
                <w:vertAlign w:val="superscript"/>
              </w:rPr>
              <w:t>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10,667,897</w:t>
            </w:r>
          </w:p>
        </w:tc>
      </w:tr>
      <w:tr>
        <w:trPr>
          <w:trHeight w:val="297"/>
        </w:trPr>
        <w:tc>
          <w:tcPr>
            <w:tcW w:w="5940" w:type="dxa"/>
            <w:vAlign w:val="bottom"/>
            <w:shd w:val="clear" w:color="auto" w:fill="CCEEFF"/>
          </w:tcPr>
          <w:p>
            <w:pPr>
              <w:ind w:left="180"/>
              <w:spacing w:after="0" w:line="296"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4,812,127</w:t>
            </w:r>
          </w:p>
        </w:tc>
      </w:tr>
      <w:tr>
        <w:trPr>
          <w:trHeight w:val="297"/>
        </w:trPr>
        <w:tc>
          <w:tcPr>
            <w:tcW w:w="5940" w:type="dxa"/>
            <w:vAlign w:val="bottom"/>
          </w:tcPr>
          <w:p>
            <w:pPr>
              <w:ind w:left="180"/>
              <w:spacing w:after="0" w:line="296" w:lineRule="exact"/>
              <w:rPr>
                <w:sz w:val="20"/>
                <w:szCs w:val="20"/>
                <w:color w:val="auto"/>
              </w:rPr>
            </w:pPr>
            <w:r>
              <w:rPr>
                <w:rFonts w:ascii="Arial" w:cs="Arial" w:eastAsia="Arial" w:hAnsi="Arial"/>
                <w:sz w:val="18"/>
                <w:szCs w:val="18"/>
                <w:color w:val="auto"/>
              </w:rPr>
              <w:t>Identified intangibles – Brand Name</w:t>
            </w:r>
            <w:r>
              <w:rPr>
                <w:rFonts w:ascii="Arial" w:cs="Arial" w:eastAsia="Arial" w:hAnsi="Arial"/>
                <w:sz w:val="29"/>
                <w:szCs w:val="29"/>
                <w:color w:val="auto"/>
                <w:vertAlign w:val="superscript"/>
              </w:rPr>
              <w:t>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374,126</w:t>
            </w:r>
          </w:p>
        </w:tc>
      </w:tr>
      <w:tr>
        <w:trPr>
          <w:trHeight w:val="243"/>
        </w:trPr>
        <w:tc>
          <w:tcPr>
            <w:tcW w:w="5940" w:type="dxa"/>
            <w:vAlign w:val="bottom"/>
            <w:shd w:val="clear" w:color="auto" w:fill="CCEEFF"/>
          </w:tcPr>
          <w:p>
            <w:pPr>
              <w:ind w:left="180"/>
              <w:spacing w:after="0" w:line="243" w:lineRule="exact"/>
              <w:rPr>
                <w:sz w:val="20"/>
                <w:szCs w:val="20"/>
                <w:color w:val="auto"/>
              </w:rPr>
            </w:pPr>
            <w:r>
              <w:rPr>
                <w:rFonts w:ascii="Arial" w:cs="Arial" w:eastAsia="Arial" w:hAnsi="Arial"/>
                <w:sz w:val="17"/>
                <w:szCs w:val="17"/>
                <w:color w:val="auto"/>
              </w:rPr>
              <w:t>Identified intangibles – Technology</w:t>
            </w:r>
            <w:r>
              <w:rPr>
                <w:rFonts w:ascii="Arial" w:cs="Arial" w:eastAsia="Arial" w:hAnsi="Arial"/>
                <w:sz w:val="28"/>
                <w:szCs w:val="28"/>
                <w:color w:val="auto"/>
                <w:vertAlign w:val="superscript"/>
              </w:rPr>
              <w:t>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64,775</w:t>
            </w:r>
          </w:p>
        </w:tc>
      </w:tr>
      <w:tr>
        <w:trPr>
          <w:trHeight w:val="61"/>
        </w:trPr>
        <w:tc>
          <w:tcPr>
            <w:tcW w:w="594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Total impairment losses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2,764,940</w:t>
            </w:r>
          </w:p>
        </w:tc>
        <w:tc>
          <w:tcPr>
            <w:tcW w:w="100" w:type="dxa"/>
            <w:vAlign w:val="bottom"/>
          </w:tcPr>
          <w:p>
            <w:pPr>
              <w:spacing w:after="0"/>
              <w:rPr>
                <w:sz w:val="23"/>
                <w:szCs w:val="23"/>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15,918,925</w:t>
            </w:r>
          </w:p>
        </w:tc>
      </w:tr>
      <w:tr>
        <w:trPr>
          <w:trHeight w:val="20"/>
        </w:trPr>
        <w:tc>
          <w:tcPr>
            <w:tcW w:w="5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-4002405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-4002405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-4002405</wp:posOffset>
            </wp:positionV>
            <wp:extent cx="3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102870</wp:posOffset>
            </wp:positionV>
            <wp:extent cx="8229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1" w:lineRule="exact"/>
        <w:rPr>
          <w:sz w:val="20"/>
          <w:szCs w:val="20"/>
          <w:color w:val="auto"/>
        </w:rPr>
      </w:pPr>
    </w:p>
    <w:p>
      <w:pPr>
        <w:ind w:left="640" w:right="319" w:hanging="348"/>
        <w:spacing w:after="0" w:line="200" w:lineRule="auto"/>
        <w:tabs>
          <w:tab w:leader="none" w:pos="640" w:val="left"/>
        </w:tabs>
        <w:numPr>
          <w:ilvl w:val="0"/>
          <w:numId w:val="131"/>
        </w:numPr>
        <w:rPr>
          <w:rFonts w:ascii="Arial" w:cs="Arial" w:eastAsia="Arial" w:hAnsi="Arial"/>
          <w:sz w:val="22"/>
          <w:szCs w:val="22"/>
          <w:color w:val="auto"/>
          <w:vertAlign w:val="superscript"/>
        </w:rPr>
      </w:pPr>
      <w:r>
        <w:rPr>
          <w:rFonts w:ascii="Arial" w:cs="Arial" w:eastAsia="Arial" w:hAnsi="Arial"/>
          <w:sz w:val="14"/>
          <w:szCs w:val="14"/>
          <w:color w:val="auto"/>
        </w:rPr>
        <w:t>Impairments recognised during the period relate to the redundant furnace technology which is being replaced with new proprietary furnace technology under the Group’s strategic alliance with US-based Harper International Corporation. This amount represents the net book value of fixed assets written off.</w:t>
      </w:r>
    </w:p>
    <w:p>
      <w:pPr>
        <w:sectPr>
          <w:pgSz w:w="11900" w:h="16838" w:orient="portrait"/>
          <w:cols w:equalWidth="0" w:num="1">
            <w:col w:w="9019"/>
          </w:cols>
          <w:pgMar w:left="1440" w:top="265" w:right="1440" w:bottom="106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060" w:gutter="0" w:footer="0" w:header="0"/>
          <w:type w:val="continuous"/>
        </w:sectPr>
      </w:pPr>
    </w:p>
    <w:bookmarkStart w:id="150" w:name="page151"/>
    <w:bookmarkEnd w:id="150"/>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Note 5  Loss for the year (continued)</w:t>
            </w:r>
          </w:p>
        </w:tc>
        <w:tc>
          <w:tcPr>
            <w:tcW w:w="0" w:type="dxa"/>
            <w:vAlign w:val="bottom"/>
          </w:tcPr>
          <w:p>
            <w:pPr>
              <w:spacing w:after="0"/>
              <w:rPr>
                <w:sz w:val="1"/>
                <w:szCs w:val="1"/>
                <w:color w:val="auto"/>
              </w:rPr>
            </w:pPr>
          </w:p>
        </w:tc>
      </w:tr>
      <w:tr>
        <w:trPr>
          <w:trHeight w:val="136"/>
        </w:trPr>
        <w:tc>
          <w:tcPr>
            <w:tcW w:w="200" w:type="dxa"/>
            <w:vAlign w:val="bottom"/>
          </w:tcPr>
          <w:p>
            <w:pPr>
              <w:spacing w:after="0"/>
              <w:rPr>
                <w:sz w:val="20"/>
                <w:szCs w:val="20"/>
                <w:color w:val="auto"/>
              </w:rPr>
            </w:pPr>
            <w:r>
              <w:rPr>
                <w:rFonts w:ascii="Arial" w:cs="Arial" w:eastAsia="Arial" w:hAnsi="Arial"/>
                <w:sz w:val="11"/>
                <w:szCs w:val="11"/>
                <w:color w:val="auto"/>
              </w:rPr>
              <w:t>2</w:t>
            </w:r>
          </w:p>
        </w:tc>
        <w:tc>
          <w:tcPr>
            <w:tcW w:w="8180" w:type="dxa"/>
            <w:vAlign w:val="bottom"/>
            <w:vMerge w:val="restart"/>
          </w:tcPr>
          <w:p>
            <w:pPr>
              <w:ind w:left="140"/>
              <w:spacing w:after="0"/>
              <w:rPr>
                <w:sz w:val="20"/>
                <w:szCs w:val="20"/>
                <w:color w:val="auto"/>
              </w:rPr>
            </w:pPr>
            <w:r>
              <w:rPr>
                <w:rFonts w:ascii="Arial" w:cs="Arial" w:eastAsia="Arial" w:hAnsi="Arial"/>
                <w:sz w:val="14"/>
                <w:szCs w:val="14"/>
                <w:color w:val="auto"/>
                <w:w w:val="99"/>
              </w:rPr>
              <w:t>In FY2019, the Company recognised an impairment loss of $10,667,897 relating to the Mt Dromedary graphite mining project. The</w:t>
            </w: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8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8180" w:type="dxa"/>
            <w:vAlign w:val="bottom"/>
          </w:tcPr>
          <w:p>
            <w:pPr>
              <w:ind w:left="140"/>
              <w:spacing w:after="0" w:line="149" w:lineRule="exact"/>
              <w:rPr>
                <w:sz w:val="20"/>
                <w:szCs w:val="20"/>
                <w:color w:val="auto"/>
              </w:rPr>
            </w:pPr>
            <w:r>
              <w:rPr>
                <w:rFonts w:ascii="Arial" w:cs="Arial" w:eastAsia="Arial" w:hAnsi="Arial"/>
                <w:sz w:val="14"/>
                <w:szCs w:val="14"/>
                <w:color w:val="auto"/>
                <w:w w:val="92"/>
              </w:rPr>
              <w:t>Directors determined that it was appropriate for the carrying value of the Mt Dromedary asset to be written down to the Group’s assessment</w:t>
            </w: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8180" w:type="dxa"/>
            <w:vAlign w:val="bottom"/>
          </w:tcPr>
          <w:p>
            <w:pPr>
              <w:ind w:left="140"/>
              <w:spacing w:after="0"/>
              <w:rPr>
                <w:sz w:val="20"/>
                <w:szCs w:val="20"/>
                <w:color w:val="auto"/>
              </w:rPr>
            </w:pPr>
            <w:r>
              <w:rPr>
                <w:rFonts w:ascii="Arial" w:cs="Arial" w:eastAsia="Arial" w:hAnsi="Arial"/>
                <w:sz w:val="14"/>
                <w:szCs w:val="14"/>
                <w:color w:val="auto"/>
              </w:rPr>
              <w:t>of recoverable amount.</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640" w:right="1360" w:hanging="348"/>
        <w:spacing w:after="0" w:line="231" w:lineRule="auto"/>
        <w:tabs>
          <w:tab w:leader="none" w:pos="1640" w:val="left"/>
        </w:tabs>
        <w:numPr>
          <w:ilvl w:val="0"/>
          <w:numId w:val="132"/>
        </w:numPr>
        <w:rPr>
          <w:rFonts w:ascii="Arial" w:cs="Arial" w:eastAsia="Arial" w:hAnsi="Arial"/>
          <w:sz w:val="19"/>
          <w:szCs w:val="19"/>
          <w:color w:val="auto"/>
          <w:vertAlign w:val="superscript"/>
        </w:rPr>
      </w:pPr>
      <w:r>
        <w:rPr>
          <w:rFonts w:ascii="Arial" w:cs="Arial" w:eastAsia="Arial" w:hAnsi="Arial"/>
          <w:sz w:val="13"/>
          <w:szCs w:val="13"/>
          <w:color w:val="auto"/>
        </w:rPr>
        <w:t>In FY2019, the Company recognised an impairment loss of $5,251,028 relating to the goodwill and intangibles of BTS. At the time it was acquired in FY2017, BTS was primarily a producer of battery testing equipment. Consulting services to the energy storage industry began as an adjunct service supporting the equipment supply business operation. The consulting services operation which yields much higher margins, has now become a business line on its own and grew rapidly over the course of the FY2019 financial year and, in particular, over the six months ended 30 June 2019. In the context of this rapid growth and the forward pipeline of consulting work, the consulting services business has become a core operation and is considered to be BTS’s strongest growth opportunity. Given the slowing in the rate of growth of sales of testing equipment and the increased relative importance of consulting services, the directors took the opportunity to write down the value of the goodwill and identifiable intangible assets relating to the testing equipment supply business in FY2019.</w:t>
      </w:r>
    </w:p>
    <w:p>
      <w:pPr>
        <w:spacing w:after="0" w:line="3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Income tax expense</w:t>
      </w:r>
    </w:p>
    <w:p>
      <w:pPr>
        <w:spacing w:after="0" w:line="121" w:lineRule="exact"/>
        <w:rPr>
          <w:sz w:val="20"/>
          <w:szCs w:val="20"/>
          <w:color w:val="auto"/>
        </w:rPr>
      </w:pPr>
    </w:p>
    <w:p>
      <w:pPr>
        <w:jc w:val="both"/>
        <w:ind w:left="1300" w:right="1500"/>
        <w:spacing w:after="0" w:line="263" w:lineRule="auto"/>
        <w:rPr>
          <w:sz w:val="20"/>
          <w:szCs w:val="20"/>
          <w:color w:val="auto"/>
        </w:rPr>
      </w:pPr>
      <w:r>
        <w:rPr>
          <w:rFonts w:ascii="Arial" w:cs="Arial" w:eastAsia="Arial" w:hAnsi="Arial"/>
          <w:sz w:val="18"/>
          <w:szCs w:val="18"/>
          <w:color w:val="auto"/>
        </w:rPr>
        <w:t>This note provides an analysis of the Group’s income tax expense, shows what amounts are recognised directly in equity and how the tax expense is affected by non-assessable and non-deductible items. It also explains significant estimates made in relation to the Group’s tax position.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Consolidated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4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187"/>
        </w:trPr>
        <w:tc>
          <w:tcPr>
            <w:tcW w:w="13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13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6"/>
                <w:szCs w:val="16"/>
                <w:color w:val="auto"/>
              </w:rPr>
            </w:pP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49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45"/>
        </w:trPr>
        <w:tc>
          <w:tcPr>
            <w:tcW w:w="130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(a)  Numerical reconciliation of income tax expense to prima</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130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facie tax payable</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43"/>
        </w:trPr>
        <w:tc>
          <w:tcPr>
            <w:tcW w:w="130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Profit/(loss) before income tax expense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(18,076,077)</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(20,028,526)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(26,505,567)</w:t>
            </w:r>
          </w:p>
        </w:tc>
        <w:tc>
          <w:tcPr>
            <w:tcW w:w="130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
        </w:trPr>
        <w:tc>
          <w:tcPr>
            <w:tcW w:w="1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18"/>
        </w:trPr>
        <w:tc>
          <w:tcPr>
            <w:tcW w:w="130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at the Australian tax rate of 26% (2020: 27.5%)</w:t>
            </w: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(4,699,780)</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(5,507,845)</w:t>
            </w: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(7,289,031)</w:t>
            </w:r>
          </w:p>
        </w:tc>
        <w:tc>
          <w:tcPr>
            <w:tcW w:w="1300" w:type="dxa"/>
            <w:vAlign w:val="bottom"/>
          </w:tcPr>
          <w:p>
            <w:pPr>
              <w:spacing w:after="0"/>
              <w:rPr>
                <w:sz w:val="24"/>
                <w:szCs w:val="24"/>
                <w:color w:val="auto"/>
              </w:rPr>
            </w:pPr>
          </w:p>
        </w:tc>
      </w:tr>
      <w:tr>
        <w:trPr>
          <w:trHeight w:val="242"/>
        </w:trPr>
        <w:tc>
          <w:tcPr>
            <w:tcW w:w="130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Tax effect of amounts which are not deductible (taxable) in</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130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calculating taxable income: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
        </w:trPr>
        <w:tc>
          <w:tcPr>
            <w:tcW w:w="130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1,323,335</w:t>
            </w: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Share based payments</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1,546,618</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2,078,713</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1,835,215</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acquisition of Novonix Anode Materials</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(540,987)</w:t>
            </w: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Share of results of joint venture</w:t>
            </w:r>
          </w:p>
        </w:tc>
        <w:tc>
          <w:tcPr>
            <w:tcW w:w="180" w:type="dxa"/>
            <w:vAlign w:val="bottom"/>
          </w:tcPr>
          <w:p>
            <w:pPr>
              <w:spacing w:after="0"/>
              <w:rPr>
                <w:sz w:val="22"/>
                <w:szCs w:val="22"/>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206,795</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 costs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855,518</w:t>
            </w: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377,735</w:t>
            </w: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Other non-deductible amounts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56,291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24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r>
      <w:tr>
        <w:trPr>
          <w:trHeight w:val="40"/>
        </w:trPr>
        <w:tc>
          <w:tcPr>
            <w:tcW w:w="130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non-assessable amounts</w:t>
            </w: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(39,005)</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(156,386)</w:t>
            </w: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(24,234)</w:t>
            </w: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Difference in overseas tax rate</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(46,156)</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385,615</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(90,888)</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for current tax of prior periods</w:t>
            </w: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(92,985)</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(93,052)</w:t>
            </w:r>
          </w:p>
        </w:tc>
        <w:tc>
          <w:tcPr>
            <w:tcW w:w="1300" w:type="dxa"/>
            <w:vAlign w:val="bottom"/>
          </w:tcPr>
          <w:p>
            <w:pPr>
              <w:spacing w:after="0"/>
              <w:rPr>
                <w:sz w:val="24"/>
                <w:szCs w:val="24"/>
                <w:color w:val="auto"/>
              </w:rPr>
            </w:pPr>
          </w:p>
        </w:tc>
      </w:tr>
      <w:tr>
        <w:trPr>
          <w:trHeight w:val="242"/>
        </w:trPr>
        <w:tc>
          <w:tcPr>
            <w:tcW w:w="130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Adjustment to deferred tax assets and liabilities for tax losses and</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7"/>
        </w:trPr>
        <w:tc>
          <w:tcPr>
            <w:tcW w:w="130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temporary differences not recognised</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3,264,172</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2,344,385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3,911,457</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61"/>
        </w:trPr>
        <w:tc>
          <w:tcPr>
            <w:tcW w:w="1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45"/>
        </w:trPr>
        <w:tc>
          <w:tcPr>
            <w:tcW w:w="1300" w:type="dxa"/>
            <w:vAlign w:val="bottom"/>
          </w:tcPr>
          <w:p>
            <w:pPr>
              <w:spacing w:after="0"/>
              <w:rPr>
                <w:sz w:val="24"/>
                <w:szCs w:val="2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 (benefit)</w:t>
            </w: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(383,655)</w:t>
            </w:r>
          </w:p>
        </w:tc>
        <w:tc>
          <w:tcPr>
            <w:tcW w:w="1300" w:type="dxa"/>
            <w:vAlign w:val="bottom"/>
          </w:tcPr>
          <w:p>
            <w:pPr>
              <w:spacing w:after="0"/>
              <w:rPr>
                <w:sz w:val="24"/>
                <w:szCs w:val="24"/>
                <w:color w:val="auto"/>
              </w:rPr>
            </w:pPr>
          </w:p>
        </w:tc>
      </w:tr>
      <w:tr>
        <w:trPr>
          <w:trHeight w:val="297"/>
        </w:trPr>
        <w:tc>
          <w:tcPr>
            <w:tcW w:w="1300" w:type="dxa"/>
            <w:vAlign w:val="bottom"/>
          </w:tcPr>
          <w:p>
            <w:pPr>
              <w:spacing w:after="0"/>
              <w:rPr>
                <w:sz w:val="24"/>
                <w:szCs w:val="24"/>
                <w:color w:val="auto"/>
              </w:rPr>
            </w:pPr>
          </w:p>
        </w:tc>
        <w:tc>
          <w:tcPr>
            <w:tcW w:w="4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  Tax losses</w:t>
            </w:r>
          </w:p>
        </w:tc>
        <w:tc>
          <w:tcPr>
            <w:tcW w:w="18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40"/>
        </w:trPr>
        <w:tc>
          <w:tcPr>
            <w:tcW w:w="130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42"/>
        </w:trPr>
        <w:tc>
          <w:tcPr>
            <w:tcW w:w="130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Unused tax losses for which no deferred tax asset has been</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91"/>
        </w:trPr>
        <w:tc>
          <w:tcPr>
            <w:tcW w:w="130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recognised</w:t>
            </w: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39,772,597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23,275,774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15,128,752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83"/>
        </w:trPr>
        <w:tc>
          <w:tcPr>
            <w:tcW w:w="130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Potential tax benefit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9,943,149</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6,304,468</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4,122,864</w:t>
            </w:r>
          </w:p>
        </w:tc>
        <w:tc>
          <w:tcPr>
            <w:tcW w:w="1300" w:type="dxa"/>
            <w:vAlign w:val="bottom"/>
          </w:tcPr>
          <w:p>
            <w:pPr>
              <w:spacing w:after="0"/>
              <w:rPr>
                <w:sz w:val="24"/>
                <w:szCs w:val="24"/>
                <w:color w:val="auto"/>
              </w:rPr>
            </w:pPr>
          </w:p>
        </w:tc>
      </w:tr>
      <w:tr>
        <w:trPr>
          <w:trHeight w:val="21"/>
        </w:trPr>
        <w:tc>
          <w:tcPr>
            <w:tcW w:w="1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
        </w:trPr>
        <w:tc>
          <w:tcPr>
            <w:tcW w:w="1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18"/>
        </w:trPr>
        <w:tc>
          <w:tcPr>
            <w:tcW w:w="130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  Tax expense (income) recognised directly in equity</w:t>
            </w:r>
          </w:p>
        </w:tc>
        <w:tc>
          <w:tcPr>
            <w:tcW w:w="1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42"/>
        </w:trPr>
        <w:tc>
          <w:tcPr>
            <w:tcW w:w="130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4"/>
              </w:rPr>
              <w:t>Aggregate current and deferred tax arising in the reporting period</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4"/>
              </w:rPr>
              <w:t>and not recognised in net profit or loss or other comprehensive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income but directly debited or credited to equity:</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
        </w:trPr>
        <w:tc>
          <w:tcPr>
            <w:tcW w:w="130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r>
      <w:tr>
        <w:trPr>
          <w:trHeight w:val="291"/>
        </w:trPr>
        <w:tc>
          <w:tcPr>
            <w:tcW w:w="1300" w:type="dxa"/>
            <w:vAlign w:val="bottom"/>
          </w:tcPr>
          <w:p>
            <w:pPr>
              <w:spacing w:after="0"/>
              <w:rPr>
                <w:sz w:val="24"/>
                <w:szCs w:val="24"/>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Share issue costs</w:t>
            </w: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4900" w:type="dxa"/>
            <w:vAlign w:val="bottom"/>
            <w:tcBorders>
              <w:top w:val="single" w:sz="8" w:color="CCEEFF"/>
            </w:tcBorders>
          </w:tcPr>
          <w:p>
            <w:pPr>
              <w:ind w:left="4040"/>
              <w:spacing w:after="0"/>
              <w:rPr>
                <w:sz w:val="20"/>
                <w:szCs w:val="20"/>
                <w:color w:val="auto"/>
              </w:rPr>
            </w:pPr>
            <w:r>
              <w:rPr>
                <w:rFonts w:ascii="Arial" w:cs="Arial" w:eastAsia="Arial" w:hAnsi="Arial"/>
                <w:sz w:val="18"/>
                <w:szCs w:val="18"/>
                <w:color w:val="auto"/>
              </w:rPr>
              <w:t>F-20</w:t>
            </w:r>
          </w:p>
        </w:tc>
        <w:tc>
          <w:tcPr>
            <w:tcW w:w="18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-5451475</wp:posOffset>
            </wp:positionV>
            <wp:extent cx="17145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-5451475</wp:posOffset>
            </wp:positionV>
            <wp:extent cx="1714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-5451475</wp:posOffset>
            </wp:positionV>
            <wp:extent cx="857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1" w:name="page152"/>
    <w:bookmarkEnd w:id="151"/>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Income tax expense (continued)</w:t>
      </w:r>
    </w:p>
    <w:p>
      <w:pPr>
        <w:spacing w:after="0" w:line="194"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1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59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860" w:type="dxa"/>
            <w:vAlign w:val="bottom"/>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CCEEFF"/>
            </w:tcBorders>
          </w:tcPr>
          <w:p>
            <w:pPr>
              <w:spacing w:after="0"/>
              <w:rPr>
                <w:sz w:val="4"/>
                <w:szCs w:val="4"/>
                <w:color w:val="auto"/>
              </w:rPr>
            </w:pPr>
          </w:p>
        </w:tc>
        <w:tc>
          <w:tcPr>
            <w:tcW w:w="59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w:t>
            </w:r>
          </w:p>
        </w:tc>
        <w:tc>
          <w:tcPr>
            <w:tcW w:w="5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Deferred tax assets</w:t>
            </w: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The balance comprises temporary differences attributable to:</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28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losses</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9,943,149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6,304,468</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Exploration and evaluation assets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930,009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1,137,319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28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Business capital costs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31,061</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Right of use asset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1,543,399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899,256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28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Unrealised exchange loss on borrowings</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261,449</w:t>
            </w:r>
          </w:p>
        </w:tc>
        <w:tc>
          <w:tcPr>
            <w:tcW w:w="3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317,498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38,665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28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402,368</w:t>
            </w: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00" w:type="dxa"/>
            <w:vAlign w:val="bottom"/>
            <w:tcBorders>
              <w:top w:val="single" w:sz="8" w:color="CCEEFF"/>
            </w:tcBorders>
            <w:shd w:val="clear" w:color="auto" w:fill="CCEEFF"/>
          </w:tcPr>
          <w:p>
            <w:pPr>
              <w:spacing w:after="0"/>
              <w:rPr>
                <w:sz w:val="5"/>
                <w:szCs w:val="5"/>
                <w:color w:val="auto"/>
              </w:rPr>
            </w:pPr>
          </w:p>
        </w:tc>
        <w:tc>
          <w:tcPr>
            <w:tcW w:w="59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62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13,428,933</w:t>
            </w:r>
          </w:p>
        </w:tc>
        <w:tc>
          <w:tcPr>
            <w:tcW w:w="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8,388,690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28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Set-off of deferred tax liabilities pursuant to set-off provisions</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(1,357,943)</w:t>
            </w: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(512,788)</w:t>
            </w:r>
          </w:p>
        </w:tc>
        <w:tc>
          <w:tcPr>
            <w:tcW w:w="0" w:type="dxa"/>
            <w:vAlign w:val="bottom"/>
          </w:tcPr>
          <w:p>
            <w:pPr>
              <w:spacing w:after="0"/>
              <w:rPr>
                <w:sz w:val="1"/>
                <w:szCs w:val="1"/>
                <w:color w:val="auto"/>
              </w:rPr>
            </w:pPr>
          </w:p>
        </w:tc>
      </w:tr>
      <w:tr>
        <w:trPr>
          <w:trHeight w:val="257"/>
        </w:trPr>
        <w:tc>
          <w:tcPr>
            <w:tcW w:w="6280" w:type="dxa"/>
            <w:vAlign w:val="bottom"/>
            <w:gridSpan w:val="2"/>
          </w:tcPr>
          <w:p>
            <w:pPr>
              <w:spacing w:after="0"/>
              <w:rPr>
                <w:sz w:val="20"/>
                <w:szCs w:val="20"/>
                <w:color w:val="auto"/>
              </w:rPr>
            </w:pPr>
            <w:r>
              <w:rPr>
                <w:rFonts w:ascii="Arial" w:cs="Arial" w:eastAsia="Arial" w:hAnsi="Arial"/>
                <w:sz w:val="18"/>
                <w:szCs w:val="18"/>
                <w:color w:val="auto"/>
              </w:rPr>
              <w:t>Deferred tax assets not recognised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(12,070,990)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(7,875,902)</w:t>
            </w: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59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3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w:t>
            </w:r>
          </w:p>
        </w:tc>
        <w:tc>
          <w:tcPr>
            <w:tcW w:w="5980" w:type="dxa"/>
            <w:vAlign w:val="bottom"/>
            <w:tcBorders>
              <w:top w:val="single" w:sz="8" w:color="CCEEFF"/>
            </w:tcBorders>
          </w:tcPr>
          <w:p>
            <w:pPr>
              <w:ind w:left="80"/>
              <w:spacing w:after="0"/>
              <w:rPr>
                <w:sz w:val="20"/>
                <w:szCs w:val="20"/>
                <w:color w:val="auto"/>
              </w:rPr>
            </w:pPr>
            <w:r>
              <w:rPr>
                <w:rFonts w:ascii="Arial" w:cs="Arial" w:eastAsia="Arial" w:hAnsi="Arial"/>
                <w:sz w:val="18"/>
                <w:szCs w:val="18"/>
                <w:b w:val="1"/>
                <w:bCs w:val="1"/>
                <w:color w:val="auto"/>
              </w:rPr>
              <w:t>Deferred tax liabilities</w:t>
            </w: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28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balance comprises temporary differences attributable to:</w:t>
            </w: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164,713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262,779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28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1,193,230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224,874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Prepayments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28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Unrealised exchange loss on borrowings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00" w:type="dxa"/>
            <w:vAlign w:val="bottom"/>
            <w:tcBorders>
              <w:top w:val="single" w:sz="8" w:color="CCEEFF"/>
            </w:tcBorders>
            <w:shd w:val="clear" w:color="auto" w:fill="CCEEFF"/>
          </w:tcPr>
          <w:p>
            <w:pPr>
              <w:spacing w:after="0"/>
              <w:rPr>
                <w:sz w:val="5"/>
                <w:szCs w:val="5"/>
                <w:color w:val="auto"/>
              </w:rPr>
            </w:pPr>
          </w:p>
        </w:tc>
        <w:tc>
          <w:tcPr>
            <w:tcW w:w="59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62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1,357,943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512,788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28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Set-off of deferred tax liabilities pursuant to set-off provisions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(1,357,943)</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(512,788)</w:t>
            </w:r>
          </w:p>
        </w:tc>
        <w:tc>
          <w:tcPr>
            <w:tcW w:w="0" w:type="dxa"/>
            <w:vAlign w:val="bottom"/>
          </w:tcPr>
          <w:p>
            <w:pPr>
              <w:spacing w:after="0"/>
              <w:rPr>
                <w:sz w:val="1"/>
                <w:szCs w:val="1"/>
                <w:color w:val="auto"/>
              </w:rPr>
            </w:pPr>
          </w:p>
        </w:tc>
      </w:tr>
      <w:tr>
        <w:trPr>
          <w:trHeight w:val="61"/>
        </w:trPr>
        <w:tc>
          <w:tcPr>
            <w:tcW w:w="300" w:type="dxa"/>
            <w:vAlign w:val="bottom"/>
            <w:tcBorders>
              <w:top w:val="single" w:sz="8" w:color="CCEEFF"/>
            </w:tcBorders>
            <w:shd w:val="clear" w:color="auto" w:fill="CCEEFF"/>
          </w:tcPr>
          <w:p>
            <w:pPr>
              <w:spacing w:after="0"/>
              <w:rPr>
                <w:sz w:val="5"/>
                <w:szCs w:val="5"/>
                <w:color w:val="auto"/>
              </w:rPr>
            </w:pPr>
          </w:p>
        </w:tc>
        <w:tc>
          <w:tcPr>
            <w:tcW w:w="59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w w:val="93"/>
              </w:rPr>
              <w:t>Unused losses which have not been recognised as an asset, will only be obtained if:</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2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-4868545</wp:posOffset>
            </wp:positionV>
            <wp:extent cx="2228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-4868545</wp:posOffset>
            </wp:positionV>
            <wp:extent cx="1111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left="2000" w:right="1480" w:hanging="348"/>
        <w:spacing w:after="0" w:line="277" w:lineRule="auto"/>
        <w:tabs>
          <w:tab w:leader="none" w:pos="2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group derives future assessable income of a nature and of an amount sufficient to enable the losses to be realised;</w:t>
      </w:r>
    </w:p>
    <w:p>
      <w:pPr>
        <w:spacing w:after="0" w:line="62" w:lineRule="exact"/>
        <w:rPr>
          <w:rFonts w:ascii="Arial" w:cs="Arial" w:eastAsia="Arial" w:hAnsi="Arial"/>
          <w:sz w:val="18"/>
          <w:szCs w:val="18"/>
          <w:color w:val="auto"/>
        </w:rPr>
      </w:pPr>
    </w:p>
    <w:p>
      <w:pPr>
        <w:ind w:left="2000" w:hanging="348"/>
        <w:spacing w:after="0"/>
        <w:tabs>
          <w:tab w:leader="none" w:pos="2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group continues to comply with the conditions for deductibility imposed by the law; and</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changes in tax legislation adversely affect the group in realising the losses.</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Offsetting within tax consolidated entity</w:t>
      </w:r>
    </w:p>
    <w:p>
      <w:pPr>
        <w:spacing w:after="0" w:line="117" w:lineRule="exact"/>
        <w:rPr>
          <w:sz w:val="20"/>
          <w:szCs w:val="20"/>
          <w:color w:val="auto"/>
        </w:rPr>
      </w:pPr>
    </w:p>
    <w:p>
      <w:pPr>
        <w:ind w:left="1300" w:right="1540"/>
        <w:spacing w:after="0" w:line="286" w:lineRule="auto"/>
        <w:rPr>
          <w:sz w:val="20"/>
          <w:szCs w:val="20"/>
          <w:color w:val="auto"/>
        </w:rPr>
      </w:pPr>
      <w:r>
        <w:rPr>
          <w:rFonts w:ascii="Arial" w:cs="Arial" w:eastAsia="Arial" w:hAnsi="Arial"/>
          <w:sz w:val="17"/>
          <w:szCs w:val="17"/>
          <w:color w:val="auto"/>
        </w:rPr>
        <w:t>NOVONIX Limited and its wholly-owned Australian subsidiaries have applied the tax consolidation legislation which means that these entities are taxed as a single entity. As a consequence, the deferred tax assets and deferred tax liabilities of these entities have been offset in the consolidated financial statements.</w:t>
      </w:r>
    </w:p>
    <w:p>
      <w:pPr>
        <w:spacing w:after="0" w:line="2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Key Management Personnel Compensation</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totals of remuneration paid to KMP of the Company and the Group during the year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Consolidated</w:t>
            </w: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2"/>
        </w:trPr>
        <w:tc>
          <w:tcPr>
            <w:tcW w:w="13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187"/>
        </w:trPr>
        <w:tc>
          <w:tcPr>
            <w:tcW w:w="13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480" w:type="dxa"/>
            <w:vAlign w:val="bottom"/>
            <w:gridSpan w:val="2"/>
          </w:tcPr>
          <w:p>
            <w:pPr>
              <w:ind w:left="296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900" w:type="dxa"/>
            <w:vAlign w:val="bottom"/>
            <w:gridSpan w:val="2"/>
          </w:tcPr>
          <w:p>
            <w:pPr>
              <w:jc w:val="center"/>
              <w:ind w:left="98"/>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300" w:type="dxa"/>
            <w:vAlign w:val="bottom"/>
          </w:tcPr>
          <w:p>
            <w:pPr>
              <w:spacing w:after="0"/>
              <w:rPr>
                <w:sz w:val="16"/>
                <w:szCs w:val="16"/>
                <w:color w:val="auto"/>
              </w:rPr>
            </w:pPr>
          </w:p>
        </w:tc>
      </w:tr>
      <w:tr>
        <w:trPr>
          <w:trHeight w:val="186"/>
        </w:trPr>
        <w:tc>
          <w:tcPr>
            <w:tcW w:w="13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480" w:type="dxa"/>
            <w:vAlign w:val="bottom"/>
            <w:gridSpan w:val="2"/>
          </w:tcPr>
          <w:p>
            <w:pPr>
              <w:jc w:val="center"/>
              <w:ind w:left="2695"/>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c>
          <w:tcPr>
            <w:tcW w:w="900" w:type="dxa"/>
            <w:vAlign w:val="bottom"/>
            <w:gridSpan w:val="2"/>
          </w:tcPr>
          <w:p>
            <w:pPr>
              <w:jc w:val="center"/>
              <w:ind w:left="118"/>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3500" w:type="dxa"/>
            <w:vAlign w:val="bottom"/>
            <w:tcBorders>
              <w:bottom w:val="single" w:sz="8" w:color="CCEEFF"/>
            </w:tcBorders>
            <w:gridSpan w:val="3"/>
            <w:shd w:val="clear" w:color="auto" w:fill="CCEEFF"/>
          </w:tcPr>
          <w:p>
            <w:pPr>
              <w:jc w:val="center"/>
              <w:ind w:left="2655"/>
              <w:spacing w:after="0"/>
              <w:rPr>
                <w:sz w:val="20"/>
                <w:szCs w:val="20"/>
                <w:color w:val="auto"/>
              </w:rPr>
            </w:pPr>
            <w:r>
              <w:rPr>
                <w:rFonts w:ascii="Arial" w:cs="Arial" w:eastAsia="Arial" w:hAnsi="Arial"/>
                <w:sz w:val="18"/>
                <w:szCs w:val="18"/>
                <w:color w:val="auto"/>
                <w:w w:val="89"/>
              </w:rPr>
              <w:t>1,934,648</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1,868,521</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1,221,114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3480" w:type="dxa"/>
            <w:vAlign w:val="bottom"/>
            <w:gridSpan w:val="2"/>
          </w:tcPr>
          <w:p>
            <w:pPr>
              <w:ind w:left="2980"/>
              <w:spacing w:after="0"/>
              <w:rPr>
                <w:sz w:val="20"/>
                <w:szCs w:val="20"/>
                <w:color w:val="auto"/>
              </w:rPr>
            </w:pPr>
            <w:r>
              <w:rPr>
                <w:rFonts w:ascii="Arial" w:cs="Arial" w:eastAsia="Arial" w:hAnsi="Arial"/>
                <w:sz w:val="18"/>
                <w:szCs w:val="18"/>
                <w:color w:val="auto"/>
                <w:w w:val="87"/>
              </w:rPr>
              <w:t>29,297</w:t>
            </w: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46,218</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45,641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3480" w:type="dxa"/>
            <w:vAlign w:val="bottom"/>
            <w:tcBorders>
              <w:bottom w:val="single" w:sz="8" w:color="CCEEFF"/>
            </w:tcBorders>
            <w:gridSpan w:val="2"/>
            <w:shd w:val="clear" w:color="auto" w:fill="CCEEFF"/>
          </w:tcPr>
          <w:p>
            <w:pPr>
              <w:ind w:left="2980"/>
              <w:spacing w:after="0"/>
              <w:rPr>
                <w:sz w:val="20"/>
                <w:szCs w:val="20"/>
                <w:color w:val="auto"/>
              </w:rPr>
            </w:pPr>
            <w:r>
              <w:rPr>
                <w:rFonts w:ascii="Arial" w:cs="Arial" w:eastAsia="Arial" w:hAnsi="Arial"/>
                <w:sz w:val="18"/>
                <w:szCs w:val="18"/>
                <w:color w:val="auto"/>
                <w:w w:val="87"/>
              </w:rPr>
              <w:t>75,000</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500" w:type="dxa"/>
            <w:vAlign w:val="bottom"/>
            <w:gridSpan w:val="3"/>
          </w:tcPr>
          <w:p>
            <w:pPr>
              <w:jc w:val="center"/>
              <w:ind w:left="2655"/>
              <w:spacing w:after="0"/>
              <w:rPr>
                <w:sz w:val="20"/>
                <w:szCs w:val="20"/>
                <w:color w:val="auto"/>
              </w:rPr>
            </w:pPr>
            <w:r>
              <w:rPr>
                <w:rFonts w:ascii="Arial" w:cs="Arial" w:eastAsia="Arial" w:hAnsi="Arial"/>
                <w:sz w:val="18"/>
                <w:szCs w:val="18"/>
                <w:color w:val="auto"/>
                <w:w w:val="89"/>
              </w:rPr>
              <w:t>4,575,735</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6,878,627</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6,145,904</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KMP compensation</w:t>
            </w:r>
          </w:p>
        </w:tc>
        <w:tc>
          <w:tcPr>
            <w:tcW w:w="3500" w:type="dxa"/>
            <w:vAlign w:val="bottom"/>
            <w:gridSpan w:val="3"/>
            <w:shd w:val="clear" w:color="auto" w:fill="CCEEFF"/>
          </w:tcPr>
          <w:p>
            <w:pPr>
              <w:jc w:val="center"/>
              <w:ind w:left="2655"/>
              <w:spacing w:after="0"/>
              <w:rPr>
                <w:sz w:val="20"/>
                <w:szCs w:val="20"/>
                <w:color w:val="auto"/>
              </w:rPr>
            </w:pPr>
            <w:r>
              <w:rPr>
                <w:rFonts w:ascii="Arial" w:cs="Arial" w:eastAsia="Arial" w:hAnsi="Arial"/>
                <w:sz w:val="18"/>
                <w:szCs w:val="18"/>
                <w:color w:val="auto"/>
                <w:w w:val="89"/>
              </w:rPr>
              <w:t>6,614,680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8,793,366</w:t>
            </w:r>
          </w:p>
        </w:tc>
        <w:tc>
          <w:tcPr>
            <w:tcW w:w="18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7,412,659</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080" w:type="dxa"/>
            <w:vAlign w:val="bottom"/>
            <w:tcBorders>
              <w:top w:val="single" w:sz="8" w:color="CCEEFF"/>
            </w:tcBorders>
          </w:tcPr>
          <w:p>
            <w:pPr>
              <w:spacing w:after="0"/>
              <w:rPr>
                <w:sz w:val="24"/>
                <w:szCs w:val="24"/>
                <w:color w:val="auto"/>
              </w:rPr>
            </w:pPr>
          </w:p>
        </w:tc>
        <w:tc>
          <w:tcPr>
            <w:tcW w:w="2760" w:type="dxa"/>
            <w:vAlign w:val="bottom"/>
            <w:tcBorders>
              <w:top w:val="single" w:sz="8" w:color="CCEEFF"/>
            </w:tcBorders>
          </w:tcPr>
          <w:p>
            <w:pPr>
              <w:ind w:left="960"/>
              <w:spacing w:after="0"/>
              <w:rPr>
                <w:sz w:val="20"/>
                <w:szCs w:val="20"/>
                <w:color w:val="auto"/>
              </w:rPr>
            </w:pPr>
            <w:r>
              <w:rPr>
                <w:rFonts w:ascii="Arial" w:cs="Arial" w:eastAsia="Arial" w:hAnsi="Arial"/>
                <w:sz w:val="18"/>
                <w:szCs w:val="18"/>
                <w:color w:val="auto"/>
              </w:rPr>
              <w:t>F-21</w:t>
            </w: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5586730</wp:posOffset>
            </wp:positionH>
            <wp:positionV relativeFrom="paragraph">
              <wp:posOffset>-1464945</wp:posOffset>
            </wp:positionV>
            <wp:extent cx="1200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-1464945</wp:posOffset>
            </wp:positionV>
            <wp:extent cx="1200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-1464945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501" w:gutter="0" w:footer="0" w:header="0"/>
        </w:sectPr>
      </w:pPr>
    </w:p>
    <w:bookmarkStart w:id="152" w:name="page153"/>
    <w:bookmarkEnd w:id="152"/>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Key Management Personnel Compensation (continued)</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Short-term employee benefits</w:t>
      </w:r>
    </w:p>
    <w:p>
      <w:pPr>
        <w:spacing w:after="0" w:line="121" w:lineRule="exact"/>
        <w:rPr>
          <w:sz w:val="20"/>
          <w:szCs w:val="20"/>
          <w:color w:val="auto"/>
        </w:rPr>
      </w:pPr>
    </w:p>
    <w:p>
      <w:pPr>
        <w:ind w:left="1300" w:right="1320"/>
        <w:spacing w:after="0" w:line="277" w:lineRule="auto"/>
        <w:rPr>
          <w:sz w:val="20"/>
          <w:szCs w:val="20"/>
          <w:color w:val="auto"/>
        </w:rPr>
      </w:pPr>
      <w:r>
        <w:rPr>
          <w:rFonts w:ascii="Arial" w:cs="Arial" w:eastAsia="Arial" w:hAnsi="Arial"/>
          <w:sz w:val="18"/>
          <w:szCs w:val="18"/>
          <w:color w:val="auto"/>
        </w:rPr>
        <w:t>These amounts include fees and benefits paid to the non-executive Chairman as well as all salary, paid leave benefits and fringe benefits paid to Executive Directors.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Post-employment benefits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These amounts are the current-year’s superannuation contributions made during the year.</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300" w:right="1880"/>
        <w:spacing w:after="0" w:line="277" w:lineRule="auto"/>
        <w:rPr>
          <w:sz w:val="20"/>
          <w:szCs w:val="20"/>
          <w:color w:val="auto"/>
        </w:rPr>
      </w:pPr>
      <w:r>
        <w:rPr>
          <w:rFonts w:ascii="Arial" w:cs="Arial" w:eastAsia="Arial" w:hAnsi="Arial"/>
          <w:sz w:val="18"/>
          <w:szCs w:val="18"/>
          <w:color w:val="auto"/>
        </w:rPr>
        <w:t>These amounts represent the expense related to the participation of KMP in equity-settled benefit schemes as measured by the fair value of the options and performance rights on grant date.</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Auditor’s Remuneration</w:t>
      </w:r>
    </w:p>
    <w:p>
      <w:pPr>
        <w:spacing w:after="0" w:line="121" w:lineRule="exact"/>
        <w:rPr>
          <w:sz w:val="20"/>
          <w:szCs w:val="20"/>
          <w:color w:val="auto"/>
        </w:rPr>
      </w:pPr>
    </w:p>
    <w:p>
      <w:pPr>
        <w:ind w:left="1300" w:right="1380"/>
        <w:spacing w:after="0" w:line="277" w:lineRule="auto"/>
        <w:rPr>
          <w:sz w:val="20"/>
          <w:szCs w:val="20"/>
          <w:color w:val="auto"/>
        </w:rPr>
      </w:pPr>
      <w:r>
        <w:rPr>
          <w:rFonts w:ascii="Arial" w:cs="Arial" w:eastAsia="Arial" w:hAnsi="Arial"/>
          <w:sz w:val="18"/>
          <w:szCs w:val="18"/>
          <w:color w:val="auto"/>
        </w:rPr>
        <w:t>During the year the following fees were paid or payable for services provided by PricewaterhouseCoopers Australia (PwC) as the auditor of the Group:</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11"/>
          </w:tcPr>
          <w:p>
            <w:pPr>
              <w:jc w:val="center"/>
              <w:ind w:right="18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140" w:type="dxa"/>
            <w:vAlign w:val="bottom"/>
            <w:gridSpan w:val="7"/>
          </w:tcPr>
          <w:p>
            <w:pPr>
              <w:jc w:val="center"/>
              <w:ind w:left="716"/>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6"/>
                <w:szCs w:val="16"/>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8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80" w:type="dxa"/>
            <w:vAlign w:val="bottom"/>
            <w:gridSpan w:val="6"/>
          </w:tcPr>
          <w:p>
            <w:pPr>
              <w:jc w:val="center"/>
              <w:ind w:left="816"/>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1280" w:type="dxa"/>
            <w:vAlign w:val="bottom"/>
            <w:tcBorders>
              <w:bottom w:val="single" w:sz="8" w:color="CCEEFF"/>
            </w:tcBorders>
            <w:gridSpan w:val="2"/>
          </w:tcPr>
          <w:p>
            <w:pPr>
              <w:spacing w:after="0"/>
              <w:rPr>
                <w:sz w:val="4"/>
                <w:szCs w:val="4"/>
                <w:color w:val="auto"/>
              </w:rPr>
            </w:pPr>
          </w:p>
        </w:tc>
        <w:tc>
          <w:tcPr>
            <w:tcW w:w="40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Remuneration of the auditor for:</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Auditing or reviewing the financial report</w:t>
            </w:r>
          </w:p>
        </w:tc>
        <w:tc>
          <w:tcPr>
            <w:tcW w:w="1280" w:type="dxa"/>
            <w:vAlign w:val="bottom"/>
            <w:gridSpan w:val="8"/>
          </w:tcPr>
          <w:p>
            <w:pPr>
              <w:jc w:val="center"/>
              <w:ind w:left="616"/>
              <w:spacing w:after="0"/>
              <w:rPr>
                <w:sz w:val="20"/>
                <w:szCs w:val="20"/>
                <w:color w:val="auto"/>
              </w:rPr>
            </w:pPr>
            <w:r>
              <w:rPr>
                <w:rFonts w:ascii="Arial" w:cs="Arial" w:eastAsia="Arial" w:hAnsi="Arial"/>
                <w:sz w:val="18"/>
                <w:szCs w:val="18"/>
                <w:color w:val="auto"/>
                <w:w w:val="89"/>
              </w:rPr>
              <w:t>190,329</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175,855</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148,200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0" w:type="dxa"/>
            <w:vAlign w:val="bottom"/>
            <w:shd w:val="clear" w:color="auto" w:fill="CCEEFF"/>
          </w:tcPr>
          <w:p>
            <w:pPr>
              <w:spacing w:after="0"/>
              <w:rPr>
                <w:sz w:val="24"/>
                <w:szCs w:val="24"/>
                <w:color w:val="auto"/>
              </w:rPr>
            </w:pPr>
          </w:p>
        </w:tc>
        <w:tc>
          <w:tcPr>
            <w:tcW w:w="1280" w:type="dxa"/>
            <w:vAlign w:val="bottom"/>
            <w:gridSpan w:val="8"/>
            <w:shd w:val="clear" w:color="auto" w:fill="CCEEFF"/>
          </w:tcPr>
          <w:p>
            <w:pPr>
              <w:jc w:val="center"/>
              <w:ind w:left="616"/>
              <w:spacing w:after="0"/>
              <w:rPr>
                <w:sz w:val="20"/>
                <w:szCs w:val="20"/>
                <w:color w:val="auto"/>
              </w:rPr>
            </w:pPr>
            <w:r>
              <w:rPr>
                <w:rFonts w:ascii="Arial" w:cs="Arial" w:eastAsia="Arial" w:hAnsi="Arial"/>
                <w:sz w:val="18"/>
                <w:szCs w:val="18"/>
                <w:color w:val="auto"/>
                <w:w w:val="89"/>
              </w:rPr>
              <w:t>190,329</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175,855</w:t>
            </w:r>
          </w:p>
        </w:tc>
        <w:tc>
          <w:tcPr>
            <w:tcW w:w="94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148,200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right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5280" w:type="dxa"/>
            <w:vAlign w:val="bottom"/>
            <w:gridSpan w:val="3"/>
          </w:tcPr>
          <w:p>
            <w:pPr>
              <w:spacing w:after="0" w:line="284" w:lineRule="exact"/>
              <w:rPr>
                <w:sz w:val="20"/>
                <w:szCs w:val="20"/>
                <w:color w:val="auto"/>
              </w:rPr>
            </w:pPr>
            <w:r>
              <w:rPr>
                <w:rFonts w:ascii="Arial" w:cs="Arial" w:eastAsia="Arial" w:hAnsi="Arial"/>
                <w:sz w:val="18"/>
                <w:szCs w:val="18"/>
                <w:color w:val="auto"/>
              </w:rPr>
              <w:t>Other assurance services</w:t>
            </w:r>
            <w:r>
              <w:rPr>
                <w:rFonts w:ascii="Arial" w:cs="Arial" w:eastAsia="Arial" w:hAnsi="Arial"/>
                <w:sz w:val="29"/>
                <w:szCs w:val="29"/>
                <w:color w:val="auto"/>
                <w:vertAlign w:val="superscript"/>
              </w:rPr>
              <w:t>1</w:t>
            </w:r>
          </w:p>
        </w:tc>
        <w:tc>
          <w:tcPr>
            <w:tcW w:w="1280" w:type="dxa"/>
            <w:vAlign w:val="bottom"/>
            <w:gridSpan w:val="8"/>
          </w:tcPr>
          <w:p>
            <w:pPr>
              <w:jc w:val="center"/>
              <w:ind w:left="616"/>
              <w:spacing w:after="0"/>
              <w:rPr>
                <w:sz w:val="20"/>
                <w:szCs w:val="20"/>
                <w:color w:val="auto"/>
              </w:rPr>
            </w:pPr>
            <w:r>
              <w:rPr>
                <w:rFonts w:ascii="Arial" w:cs="Arial" w:eastAsia="Arial" w:hAnsi="Arial"/>
                <w:sz w:val="18"/>
                <w:szCs w:val="18"/>
                <w:color w:val="auto"/>
                <w:w w:val="89"/>
              </w:rPr>
              <w:t>646,300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3"/>
          </w:tcPr>
          <w:p>
            <w:pPr>
              <w:jc w:val="right"/>
              <w:ind w:righ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services provided by PwC</w:t>
            </w:r>
          </w:p>
        </w:tc>
        <w:tc>
          <w:tcPr>
            <w:tcW w:w="1280" w:type="dxa"/>
            <w:vAlign w:val="bottom"/>
            <w:gridSpan w:val="8"/>
            <w:shd w:val="clear" w:color="auto" w:fill="CCEEFF"/>
          </w:tcPr>
          <w:p>
            <w:pPr>
              <w:jc w:val="center"/>
              <w:ind w:left="616"/>
              <w:spacing w:after="0"/>
              <w:rPr>
                <w:sz w:val="20"/>
                <w:szCs w:val="20"/>
                <w:color w:val="auto"/>
              </w:rPr>
            </w:pPr>
            <w:r>
              <w:rPr>
                <w:rFonts w:ascii="Arial" w:cs="Arial" w:eastAsia="Arial" w:hAnsi="Arial"/>
                <w:sz w:val="18"/>
                <w:szCs w:val="18"/>
                <w:color w:val="auto"/>
                <w:w w:val="89"/>
              </w:rPr>
              <w:t>836,629</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175,855</w:t>
            </w:r>
          </w:p>
        </w:tc>
        <w:tc>
          <w:tcPr>
            <w:tcW w:w="94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148,200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00" w:type="dxa"/>
            <w:vAlign w:val="bottom"/>
            <w:vMerge w:val="restart"/>
          </w:tcPr>
          <w:p>
            <w:pPr>
              <w:spacing w:after="0"/>
              <w:rPr>
                <w:sz w:val="16"/>
                <w:szCs w:val="16"/>
                <w:color w:val="auto"/>
              </w:rPr>
            </w:pPr>
          </w:p>
        </w:tc>
        <w:tc>
          <w:tcPr>
            <w:tcW w:w="100" w:type="dxa"/>
            <w:vAlign w:val="bottom"/>
            <w:tcBorders>
              <w:top w:val="single" w:sz="8" w:color="CCEEFF"/>
              <w:bottom w:val="single" w:sz="8" w:color="auto"/>
            </w:tcBorders>
          </w:tcPr>
          <w:p>
            <w:pPr>
              <w:spacing w:after="0"/>
              <w:rPr>
                <w:sz w:val="16"/>
                <w:szCs w:val="16"/>
                <w:color w:val="auto"/>
              </w:rPr>
            </w:pPr>
          </w:p>
        </w:tc>
        <w:tc>
          <w:tcPr>
            <w:tcW w:w="1180" w:type="dxa"/>
            <w:vAlign w:val="bottom"/>
            <w:tcBorders>
              <w:top w:val="single" w:sz="8" w:color="CCEEFF"/>
              <w:bottom w:val="single" w:sz="8" w:color="auto"/>
            </w:tcBorders>
          </w:tcPr>
          <w:p>
            <w:pPr>
              <w:spacing w:after="0"/>
              <w:rPr>
                <w:sz w:val="16"/>
                <w:szCs w:val="16"/>
                <w:color w:val="auto"/>
              </w:rPr>
            </w:pPr>
          </w:p>
        </w:tc>
        <w:tc>
          <w:tcPr>
            <w:tcW w:w="4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300" w:type="dxa"/>
            <w:vAlign w:val="bottom"/>
            <w:vMerge w:val="continue"/>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1</w:t>
            </w:r>
          </w:p>
        </w:tc>
        <w:tc>
          <w:tcPr>
            <w:tcW w:w="5180" w:type="dxa"/>
            <w:vAlign w:val="bottom"/>
            <w:gridSpan w:val="2"/>
            <w:vMerge w:val="restart"/>
          </w:tcPr>
          <w:p>
            <w:pPr>
              <w:ind w:left="240"/>
              <w:spacing w:after="0"/>
              <w:rPr>
                <w:sz w:val="20"/>
                <w:szCs w:val="20"/>
                <w:color w:val="auto"/>
              </w:rPr>
            </w:pPr>
            <w:r>
              <w:rPr>
                <w:rFonts w:ascii="Arial" w:cs="Arial" w:eastAsia="Arial" w:hAnsi="Arial"/>
                <w:sz w:val="14"/>
                <w:szCs w:val="14"/>
                <w:color w:val="auto"/>
              </w:rPr>
              <w:t>Relates to services performed in respect of the US IPO process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0"/>
        </w:trPr>
        <w:tc>
          <w:tcPr>
            <w:tcW w:w="130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Note 9  Earnings per share</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Cents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7"/>
              </w:rPr>
              <w:t>Cents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87"/>
              </w:rPr>
              <w:t>Cents</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5280" w:type="dxa"/>
            <w:vAlign w:val="bottom"/>
            <w:tcBorders>
              <w:bottom w:val="single" w:sz="8" w:color="CCEEFF"/>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  Basic earnings per share</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Total basic earnings per share attributable to the ordinary equity</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holders of the Company</w:t>
            </w:r>
          </w:p>
        </w:tc>
        <w:tc>
          <w:tcPr>
            <w:tcW w:w="1080" w:type="dxa"/>
            <w:vAlign w:val="bottom"/>
            <w:gridSpan w:val="6"/>
          </w:tcPr>
          <w:p>
            <w:pPr>
              <w:jc w:val="center"/>
              <w:ind w:right="320"/>
              <w:spacing w:after="0"/>
              <w:rPr>
                <w:sz w:val="20"/>
                <w:szCs w:val="20"/>
                <w:color w:val="auto"/>
              </w:rPr>
            </w:pPr>
            <w:r>
              <w:rPr>
                <w:rFonts w:ascii="Arial" w:cs="Arial" w:eastAsia="Arial" w:hAnsi="Arial"/>
                <w:sz w:val="18"/>
                <w:szCs w:val="18"/>
                <w:color w:val="auto"/>
                <w:w w:val="89"/>
              </w:rPr>
              <w:t>(4.</w:t>
            </w:r>
            <w:r>
              <w:rPr>
                <w:rFonts w:ascii="Arial" w:cs="Arial" w:eastAsia="Arial" w:hAnsi="Arial"/>
                <w:sz w:val="18"/>
                <w:szCs w:val="18"/>
                <w:u w:val="single" w:color="auto"/>
                <w:color w:val="auto"/>
                <w:w w:val="89"/>
              </w:rPr>
              <w:t>9</w:t>
            </w:r>
            <w:r>
              <w:rPr>
                <w:rFonts w:ascii="Arial" w:cs="Arial" w:eastAsia="Arial" w:hAnsi="Arial"/>
                <w:sz w:val="18"/>
                <w:szCs w:val="18"/>
                <w:color w:val="auto"/>
                <w:w w:val="89"/>
              </w:rPr>
              <w:t xml:space="preserve"> cents)</w:t>
            </w:r>
          </w:p>
        </w:tc>
        <w:tc>
          <w:tcPr>
            <w:tcW w:w="1120" w:type="dxa"/>
            <w:vAlign w:val="bottom"/>
            <w:gridSpan w:val="7"/>
          </w:tcPr>
          <w:p>
            <w:pPr>
              <w:jc w:val="center"/>
              <w:ind w:right="260"/>
              <w:spacing w:after="0"/>
              <w:rPr>
                <w:sz w:val="20"/>
                <w:szCs w:val="20"/>
                <w:color w:val="auto"/>
              </w:rPr>
            </w:pPr>
            <w:r>
              <w:rPr>
                <w:rFonts w:ascii="Arial" w:cs="Arial" w:eastAsia="Arial" w:hAnsi="Arial"/>
                <w:sz w:val="18"/>
                <w:szCs w:val="18"/>
                <w:color w:val="auto"/>
                <w:w w:val="90"/>
              </w:rPr>
              <w:t>(14.</w:t>
            </w:r>
            <w:r>
              <w:rPr>
                <w:rFonts w:ascii="Arial" w:cs="Arial" w:eastAsia="Arial" w:hAnsi="Arial"/>
                <w:sz w:val="18"/>
                <w:szCs w:val="18"/>
                <w:u w:val="single" w:color="auto"/>
                <w:color w:val="auto"/>
                <w:w w:val="90"/>
              </w:rPr>
              <w:t>7</w:t>
            </w:r>
            <w:r>
              <w:rPr>
                <w:rFonts w:ascii="Arial" w:cs="Arial" w:eastAsia="Arial" w:hAnsi="Arial"/>
                <w:sz w:val="18"/>
                <w:szCs w:val="18"/>
                <w:color w:val="auto"/>
                <w:w w:val="90"/>
              </w:rPr>
              <w:t xml:space="preserve"> cents)</w:t>
            </w:r>
          </w:p>
        </w:tc>
        <w:tc>
          <w:tcPr>
            <w:tcW w:w="40" w:type="dxa"/>
            <w:vAlign w:val="bottom"/>
          </w:tcPr>
          <w:p>
            <w:pPr>
              <w:spacing w:after="0"/>
              <w:rPr>
                <w:sz w:val="18"/>
                <w:szCs w:val="18"/>
                <w:color w:val="auto"/>
              </w:rPr>
            </w:pPr>
          </w:p>
        </w:tc>
        <w:tc>
          <w:tcPr>
            <w:tcW w:w="2200" w:type="dxa"/>
            <w:vAlign w:val="bottom"/>
            <w:gridSpan w:val="5"/>
          </w:tcPr>
          <w:p>
            <w:pPr>
              <w:jc w:val="center"/>
              <w:ind w:right="1300"/>
              <w:spacing w:after="0"/>
              <w:rPr>
                <w:sz w:val="20"/>
                <w:szCs w:val="20"/>
                <w:color w:val="auto"/>
              </w:rPr>
            </w:pPr>
            <w:r>
              <w:rPr>
                <w:rFonts w:ascii="Arial" w:cs="Arial" w:eastAsia="Arial" w:hAnsi="Arial"/>
                <w:sz w:val="18"/>
                <w:szCs w:val="18"/>
                <w:color w:val="auto"/>
                <w:w w:val="90"/>
              </w:rPr>
              <w:t>(21.</w:t>
            </w:r>
            <w:r>
              <w:rPr>
                <w:rFonts w:ascii="Arial" w:cs="Arial" w:eastAsia="Arial" w:hAnsi="Arial"/>
                <w:sz w:val="18"/>
                <w:szCs w:val="18"/>
                <w:u w:val="single" w:color="auto"/>
                <w:color w:val="auto"/>
                <w:w w:val="90"/>
              </w:rPr>
              <w:t>2</w:t>
            </w:r>
            <w:r>
              <w:rPr>
                <w:rFonts w:ascii="Arial" w:cs="Arial" w:eastAsia="Arial" w:hAnsi="Arial"/>
                <w:sz w:val="18"/>
                <w:szCs w:val="18"/>
                <w:color w:val="auto"/>
                <w:w w:val="90"/>
              </w:rPr>
              <w:t xml:space="preserve"> cents)</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1300" w:type="dxa"/>
            <w:vAlign w:val="bottom"/>
          </w:tcPr>
          <w:p>
            <w:pPr>
              <w:spacing w:after="0"/>
              <w:rPr>
                <w:sz w:val="24"/>
                <w:szCs w:val="24"/>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(b)  Diluted earnings per share</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Total diluted earnings per share attributable to the ordinary equity</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holders of the Company</w:t>
            </w:r>
          </w:p>
        </w:tc>
        <w:tc>
          <w:tcPr>
            <w:tcW w:w="78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(4.</w:t>
            </w:r>
            <w:r>
              <w:rPr>
                <w:rFonts w:ascii="Arial" w:cs="Arial" w:eastAsia="Arial" w:hAnsi="Arial"/>
                <w:sz w:val="18"/>
                <w:szCs w:val="18"/>
                <w:u w:val="single" w:color="auto"/>
                <w:color w:val="auto"/>
                <w:w w:val="89"/>
              </w:rPr>
              <w:t>9</w:t>
            </w:r>
            <w:r>
              <w:rPr>
                <w:rFonts w:ascii="Arial" w:cs="Arial" w:eastAsia="Arial" w:hAnsi="Arial"/>
                <w:sz w:val="18"/>
                <w:szCs w:val="18"/>
                <w:color w:val="auto"/>
                <w:w w:val="89"/>
              </w:rPr>
              <w:t xml:space="preserve"> cents)</w:t>
            </w:r>
          </w:p>
        </w:tc>
        <w:tc>
          <w:tcPr>
            <w:tcW w:w="300" w:type="dxa"/>
            <w:vAlign w:val="bottom"/>
            <w:gridSpan w:val="3"/>
          </w:tcPr>
          <w:p>
            <w:pPr>
              <w:spacing w:after="0"/>
              <w:rPr>
                <w:sz w:val="18"/>
                <w:szCs w:val="18"/>
                <w:color w:val="auto"/>
              </w:rPr>
            </w:pPr>
          </w:p>
        </w:tc>
        <w:tc>
          <w:tcPr>
            <w:tcW w:w="860" w:type="dxa"/>
            <w:vAlign w:val="bottom"/>
            <w:gridSpan w:val="4"/>
          </w:tcPr>
          <w:p>
            <w:pPr>
              <w:jc w:val="center"/>
              <w:spacing w:after="0"/>
              <w:rPr>
                <w:sz w:val="20"/>
                <w:szCs w:val="20"/>
                <w:color w:val="auto"/>
              </w:rPr>
            </w:pPr>
            <w:r>
              <w:rPr>
                <w:rFonts w:ascii="Arial" w:cs="Arial" w:eastAsia="Arial" w:hAnsi="Arial"/>
                <w:sz w:val="18"/>
                <w:szCs w:val="18"/>
                <w:color w:val="auto"/>
                <w:w w:val="90"/>
              </w:rPr>
              <w:t>(14.</w:t>
            </w:r>
            <w:r>
              <w:rPr>
                <w:rFonts w:ascii="Arial" w:cs="Arial" w:eastAsia="Arial" w:hAnsi="Arial"/>
                <w:sz w:val="18"/>
                <w:szCs w:val="18"/>
                <w:u w:val="single" w:color="auto"/>
                <w:color w:val="auto"/>
                <w:w w:val="90"/>
              </w:rPr>
              <w:t>7</w:t>
            </w:r>
            <w:r>
              <w:rPr>
                <w:rFonts w:ascii="Arial" w:cs="Arial" w:eastAsia="Arial" w:hAnsi="Arial"/>
                <w:sz w:val="18"/>
                <w:szCs w:val="18"/>
                <w:color w:val="auto"/>
                <w:w w:val="90"/>
              </w:rPr>
              <w:t xml:space="preserve"> cents)</w:t>
            </w:r>
          </w:p>
        </w:tc>
        <w:tc>
          <w:tcPr>
            <w:tcW w:w="2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gridSpan w:val="5"/>
          </w:tcPr>
          <w:p>
            <w:pPr>
              <w:jc w:val="center"/>
              <w:ind w:right="1300"/>
              <w:spacing w:after="0"/>
              <w:rPr>
                <w:sz w:val="20"/>
                <w:szCs w:val="20"/>
                <w:color w:val="auto"/>
              </w:rPr>
            </w:pPr>
            <w:r>
              <w:rPr>
                <w:rFonts w:ascii="Arial" w:cs="Arial" w:eastAsia="Arial" w:hAnsi="Arial"/>
                <w:sz w:val="18"/>
                <w:szCs w:val="18"/>
                <w:color w:val="auto"/>
                <w:w w:val="90"/>
              </w:rPr>
              <w:t>(21.</w:t>
            </w:r>
            <w:r>
              <w:rPr>
                <w:rFonts w:ascii="Arial" w:cs="Arial" w:eastAsia="Arial" w:hAnsi="Arial"/>
                <w:sz w:val="18"/>
                <w:szCs w:val="18"/>
                <w:u w:val="single" w:color="auto"/>
                <w:color w:val="auto"/>
                <w:w w:val="90"/>
              </w:rPr>
              <w:t>2</w:t>
            </w:r>
            <w:r>
              <w:rPr>
                <w:rFonts w:ascii="Arial" w:cs="Arial" w:eastAsia="Arial" w:hAnsi="Arial"/>
                <w:sz w:val="18"/>
                <w:szCs w:val="18"/>
                <w:color w:val="auto"/>
                <w:w w:val="90"/>
              </w:rPr>
              <w:t xml:space="preserve"> cents)</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1300" w:type="dxa"/>
            <w:vAlign w:val="bottom"/>
          </w:tcPr>
          <w:p>
            <w:pPr>
              <w:spacing w:after="0"/>
              <w:rPr>
                <w:sz w:val="24"/>
                <w:szCs w:val="24"/>
                <w:color w:val="auto"/>
              </w:rPr>
            </w:pPr>
          </w:p>
        </w:tc>
        <w:tc>
          <w:tcPr>
            <w:tcW w:w="6360" w:type="dxa"/>
            <w:vAlign w:val="bottom"/>
            <w:gridSpan w:val="9"/>
          </w:tcPr>
          <w:p>
            <w:pPr>
              <w:spacing w:after="0"/>
              <w:rPr>
                <w:sz w:val="20"/>
                <w:szCs w:val="20"/>
                <w:color w:val="auto"/>
              </w:rPr>
            </w:pPr>
            <w:r>
              <w:rPr>
                <w:rFonts w:ascii="Arial" w:cs="Arial" w:eastAsia="Arial" w:hAnsi="Arial"/>
                <w:sz w:val="18"/>
                <w:szCs w:val="18"/>
                <w:b w:val="1"/>
                <w:bCs w:val="1"/>
                <w:color w:val="auto"/>
              </w:rPr>
              <w:t>(c)  Reconciliations of earnings used in calculating earnings per share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8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3"/>
              </w:rPr>
              <w:t>2021 $</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2020 $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2019 $</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5280" w:type="dxa"/>
            <w:vAlign w:val="bottom"/>
            <w:tcBorders>
              <w:bottom w:val="single" w:sz="8" w:color="CCEEFF"/>
            </w:tcBorders>
            <w:gridSpan w:val="3"/>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Basic earnings per share</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w w:val="93"/>
              </w:rPr>
              <w:t>Profit / (loss) attributable to the ordinary equity holders of the Company</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used in calculating basic earnings per share</w:t>
            </w:r>
          </w:p>
        </w:tc>
        <w:tc>
          <w:tcPr>
            <w:tcW w:w="1000" w:type="dxa"/>
            <w:vAlign w:val="bottom"/>
            <w:gridSpan w:val="5"/>
          </w:tcPr>
          <w:p>
            <w:pPr>
              <w:jc w:val="center"/>
              <w:spacing w:after="0"/>
              <w:rPr>
                <w:sz w:val="20"/>
                <w:szCs w:val="20"/>
                <w:color w:val="auto"/>
              </w:rPr>
            </w:pPr>
            <w:r>
              <w:rPr>
                <w:rFonts w:ascii="Arial" w:cs="Arial" w:eastAsia="Arial" w:hAnsi="Arial"/>
                <w:sz w:val="18"/>
                <w:szCs w:val="18"/>
                <w:color w:val="auto"/>
                <w:w w:val="90"/>
              </w:rPr>
              <w:t>(18,076,077)</w:t>
            </w:r>
          </w:p>
        </w:tc>
        <w:tc>
          <w:tcPr>
            <w:tcW w:w="80" w:type="dxa"/>
            <w:vAlign w:val="bottom"/>
          </w:tcPr>
          <w:p>
            <w:pPr>
              <w:spacing w:after="0"/>
              <w:rPr>
                <w:sz w:val="18"/>
                <w:szCs w:val="18"/>
                <w:color w:val="auto"/>
              </w:rPr>
            </w:pPr>
          </w:p>
        </w:tc>
        <w:tc>
          <w:tcPr>
            <w:tcW w:w="980" w:type="dxa"/>
            <w:vAlign w:val="bottom"/>
            <w:gridSpan w:val="6"/>
          </w:tcPr>
          <w:p>
            <w:pPr>
              <w:jc w:val="center"/>
              <w:spacing w:after="0"/>
              <w:rPr>
                <w:sz w:val="20"/>
                <w:szCs w:val="20"/>
                <w:color w:val="auto"/>
              </w:rPr>
            </w:pPr>
            <w:r>
              <w:rPr>
                <w:rFonts w:ascii="Arial" w:cs="Arial" w:eastAsia="Arial" w:hAnsi="Arial"/>
                <w:sz w:val="18"/>
                <w:szCs w:val="18"/>
                <w:color w:val="auto"/>
                <w:w w:val="90"/>
              </w:rPr>
              <w:t>(20,028,526)</w:t>
            </w:r>
          </w:p>
        </w:tc>
        <w:tc>
          <w:tcPr>
            <w:tcW w:w="140" w:type="dxa"/>
            <w:vAlign w:val="bottom"/>
          </w:tcPr>
          <w:p>
            <w:pPr>
              <w:spacing w:after="0"/>
              <w:rPr>
                <w:sz w:val="18"/>
                <w:szCs w:val="18"/>
                <w:color w:val="auto"/>
              </w:rPr>
            </w:pPr>
          </w:p>
        </w:tc>
        <w:tc>
          <w:tcPr>
            <w:tcW w:w="940" w:type="dxa"/>
            <w:vAlign w:val="bottom"/>
            <w:gridSpan w:val="5"/>
          </w:tcPr>
          <w:p>
            <w:pPr>
              <w:jc w:val="center"/>
              <w:spacing w:after="0"/>
              <w:rPr>
                <w:sz w:val="20"/>
                <w:szCs w:val="20"/>
                <w:color w:val="auto"/>
              </w:rPr>
            </w:pPr>
            <w:r>
              <w:rPr>
                <w:rFonts w:ascii="Arial" w:cs="Arial" w:eastAsia="Arial" w:hAnsi="Arial"/>
                <w:sz w:val="18"/>
                <w:szCs w:val="18"/>
                <w:color w:val="auto"/>
                <w:w w:val="92"/>
              </w:rPr>
              <w:t>(26,121,912)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1300" w:type="dxa"/>
            <w:vAlign w:val="bottom"/>
          </w:tcPr>
          <w:p>
            <w:pPr>
              <w:spacing w:after="0"/>
              <w:rPr>
                <w:sz w:val="24"/>
                <w:szCs w:val="24"/>
                <w:color w:val="auto"/>
              </w:rPr>
            </w:pPr>
          </w:p>
        </w:tc>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Diluted earnings per share</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w w:val="93"/>
              </w:rPr>
              <w:t>Profit / (loss) attributable to the ordinary equity holders of the Company</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used in calculating diluted earnings per share</w:t>
            </w:r>
          </w:p>
        </w:tc>
        <w:tc>
          <w:tcPr>
            <w:tcW w:w="1000" w:type="dxa"/>
            <w:vAlign w:val="bottom"/>
            <w:gridSpan w:val="5"/>
          </w:tcPr>
          <w:p>
            <w:pPr>
              <w:jc w:val="center"/>
              <w:spacing w:after="0"/>
              <w:rPr>
                <w:sz w:val="20"/>
                <w:szCs w:val="20"/>
                <w:color w:val="auto"/>
              </w:rPr>
            </w:pPr>
            <w:r>
              <w:rPr>
                <w:rFonts w:ascii="Arial" w:cs="Arial" w:eastAsia="Arial" w:hAnsi="Arial"/>
                <w:sz w:val="18"/>
                <w:szCs w:val="18"/>
                <w:color w:val="auto"/>
                <w:w w:val="90"/>
              </w:rPr>
              <w:t>(18,076,077)</w:t>
            </w:r>
          </w:p>
        </w:tc>
        <w:tc>
          <w:tcPr>
            <w:tcW w:w="80" w:type="dxa"/>
            <w:vAlign w:val="bottom"/>
          </w:tcPr>
          <w:p>
            <w:pPr>
              <w:spacing w:after="0"/>
              <w:rPr>
                <w:sz w:val="18"/>
                <w:szCs w:val="18"/>
                <w:color w:val="auto"/>
              </w:rPr>
            </w:pPr>
          </w:p>
        </w:tc>
        <w:tc>
          <w:tcPr>
            <w:tcW w:w="980" w:type="dxa"/>
            <w:vAlign w:val="bottom"/>
            <w:gridSpan w:val="6"/>
          </w:tcPr>
          <w:p>
            <w:pPr>
              <w:jc w:val="center"/>
              <w:spacing w:after="0"/>
              <w:rPr>
                <w:sz w:val="20"/>
                <w:szCs w:val="20"/>
                <w:color w:val="auto"/>
              </w:rPr>
            </w:pPr>
            <w:r>
              <w:rPr>
                <w:rFonts w:ascii="Arial" w:cs="Arial" w:eastAsia="Arial" w:hAnsi="Arial"/>
                <w:sz w:val="18"/>
                <w:szCs w:val="18"/>
                <w:color w:val="auto"/>
                <w:w w:val="90"/>
              </w:rPr>
              <w:t>(20,028,526)</w:t>
            </w:r>
          </w:p>
        </w:tc>
        <w:tc>
          <w:tcPr>
            <w:tcW w:w="140" w:type="dxa"/>
            <w:vAlign w:val="bottom"/>
          </w:tcPr>
          <w:p>
            <w:pPr>
              <w:spacing w:after="0"/>
              <w:rPr>
                <w:sz w:val="18"/>
                <w:szCs w:val="18"/>
                <w:color w:val="auto"/>
              </w:rPr>
            </w:pPr>
          </w:p>
        </w:tc>
        <w:tc>
          <w:tcPr>
            <w:tcW w:w="940" w:type="dxa"/>
            <w:vAlign w:val="bottom"/>
            <w:gridSpan w:val="5"/>
          </w:tcPr>
          <w:p>
            <w:pPr>
              <w:jc w:val="center"/>
              <w:spacing w:after="0"/>
              <w:rPr>
                <w:sz w:val="20"/>
                <w:szCs w:val="20"/>
                <w:color w:val="auto"/>
              </w:rPr>
            </w:pPr>
            <w:r>
              <w:rPr>
                <w:rFonts w:ascii="Arial" w:cs="Arial" w:eastAsia="Arial" w:hAnsi="Arial"/>
                <w:sz w:val="18"/>
                <w:szCs w:val="18"/>
                <w:color w:val="auto"/>
                <w:w w:val="92"/>
              </w:rPr>
              <w:t>(26,121,912)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0" w:type="dxa"/>
            <w:vAlign w:val="bottom"/>
            <w:vMerge w:val="restart"/>
          </w:tcPr>
          <w:p>
            <w:pPr>
              <w:ind w:left="2760"/>
              <w:spacing w:after="0"/>
              <w:rPr>
                <w:sz w:val="20"/>
                <w:szCs w:val="20"/>
                <w:color w:val="auto"/>
              </w:rPr>
            </w:pPr>
            <w:r>
              <w:rPr>
                <w:rFonts w:ascii="Arial" w:cs="Arial" w:eastAsia="Arial" w:hAnsi="Arial"/>
                <w:sz w:val="18"/>
                <w:szCs w:val="18"/>
                <w:color w:val="auto"/>
              </w:rPr>
              <w:t>F-22</w:t>
            </w: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-5177155</wp:posOffset>
            </wp:positionV>
            <wp:extent cx="2057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-5177155</wp:posOffset>
            </wp:positionV>
            <wp:extent cx="20574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-5177155</wp:posOffset>
            </wp:positionV>
            <wp:extent cx="1028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5415280</wp:posOffset>
            </wp:positionH>
            <wp:positionV relativeFrom="paragraph">
              <wp:posOffset>-3196590</wp:posOffset>
            </wp:positionV>
            <wp:extent cx="18859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-3196590</wp:posOffset>
            </wp:positionV>
            <wp:extent cx="1885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-3196590</wp:posOffset>
            </wp:positionV>
            <wp:extent cx="939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5492115</wp:posOffset>
            </wp:positionH>
            <wp:positionV relativeFrom="paragraph">
              <wp:posOffset>-1567815</wp:posOffset>
            </wp:positionV>
            <wp:extent cx="857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-1567815</wp:posOffset>
            </wp:positionV>
            <wp:extent cx="857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-1567815</wp:posOffset>
            </wp:positionV>
            <wp:extent cx="431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Earnings per share (continued)</w:t>
      </w:r>
    </w:p>
    <w:p>
      <w:pPr>
        <w:spacing w:after="0" w:line="144" w:lineRule="exact"/>
        <w:rPr>
          <w:sz w:val="20"/>
          <w:szCs w:val="20"/>
          <w:color w:val="auto"/>
        </w:rPr>
      </w:pPr>
    </w:p>
    <w:p>
      <w:pPr>
        <w:ind w:left="300"/>
        <w:spacing w:after="0"/>
        <w:tabs>
          <w:tab w:leader="none" w:pos="720" w:val="left"/>
        </w:tabs>
        <w:rPr>
          <w:sz w:val="20"/>
          <w:szCs w:val="20"/>
          <w:color w:val="auto"/>
        </w:rPr>
      </w:pPr>
      <w:r>
        <w:rPr>
          <w:rFonts w:ascii="Arial" w:cs="Arial" w:eastAsia="Arial" w:hAnsi="Arial"/>
          <w:sz w:val="18"/>
          <w:szCs w:val="18"/>
          <w:b w:val="1"/>
          <w:bCs w:val="1"/>
          <w:color w:val="auto"/>
        </w:rPr>
        <w:t>(d)</w:t>
        <w:tab/>
        <w:t>Weighted average number of shares used as the denominator</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00" w:type="dxa"/>
            <w:vAlign w:val="bottom"/>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2019</w:t>
            </w:r>
          </w:p>
        </w:tc>
      </w:tr>
      <w:tr>
        <w:trPr>
          <w:trHeight w:val="186"/>
        </w:trPr>
        <w:tc>
          <w:tcPr>
            <w:tcW w:w="550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6"/>
                <w:szCs w:val="16"/>
                <w:color w:val="auto"/>
              </w:rPr>
            </w:pPr>
          </w:p>
        </w:tc>
        <w:tc>
          <w:tcPr>
            <w:tcW w:w="94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r>
      <w:tr>
        <w:trPr>
          <w:trHeight w:val="53"/>
        </w:trPr>
        <w:tc>
          <w:tcPr>
            <w:tcW w:w="55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ordinary shares used as the denominator in</w:t>
            </w: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r>
      <w:tr>
        <w:trPr>
          <w:trHeight w:val="23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calculating basic and diluted earnings per share</w:t>
            </w:r>
          </w:p>
        </w:tc>
        <w:tc>
          <w:tcPr>
            <w:tcW w:w="1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366,289,024 135,918,095</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123,219,872</w:t>
            </w:r>
          </w:p>
        </w:tc>
      </w:tr>
      <w:tr>
        <w:trPr>
          <w:trHeight w:val="27"/>
        </w:trPr>
        <w:tc>
          <w:tcPr>
            <w:tcW w:w="55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-350520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-350520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-350520</wp:posOffset>
            </wp:positionV>
            <wp:extent cx="260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78" w:lineRule="exact"/>
        <w:rPr>
          <w:sz w:val="20"/>
          <w:szCs w:val="20"/>
          <w:color w:val="auto"/>
        </w:rPr>
      </w:pPr>
    </w:p>
    <w:p>
      <w:pPr>
        <w:ind w:left="300"/>
        <w:spacing w:after="0"/>
        <w:tabs>
          <w:tab w:leader="none" w:pos="660" w:val="left"/>
        </w:tabs>
        <w:rPr>
          <w:sz w:val="20"/>
          <w:szCs w:val="20"/>
          <w:color w:val="auto"/>
        </w:rPr>
      </w:pPr>
      <w:r>
        <w:rPr>
          <w:rFonts w:ascii="Arial" w:cs="Arial" w:eastAsia="Arial" w:hAnsi="Arial"/>
          <w:sz w:val="18"/>
          <w:szCs w:val="18"/>
          <w:b w:val="1"/>
          <w:bCs w:val="1"/>
          <w:color w:val="auto"/>
        </w:rPr>
        <w:t>(e)</w:t>
        <w:tab/>
        <w:t>Information concerning the classification of securities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Options and rights</w:t>
      </w:r>
    </w:p>
    <w:p>
      <w:pPr>
        <w:spacing w:after="0" w:line="117" w:lineRule="exact"/>
        <w:rPr>
          <w:sz w:val="20"/>
          <w:szCs w:val="20"/>
          <w:color w:val="auto"/>
        </w:rPr>
      </w:pPr>
    </w:p>
    <w:p>
      <w:pPr>
        <w:ind w:left="300" w:right="439"/>
        <w:spacing w:after="0" w:line="286" w:lineRule="auto"/>
        <w:rPr>
          <w:sz w:val="20"/>
          <w:szCs w:val="20"/>
          <w:color w:val="auto"/>
        </w:rPr>
      </w:pPr>
      <w:r>
        <w:rPr>
          <w:rFonts w:ascii="Arial" w:cs="Arial" w:eastAsia="Arial" w:hAnsi="Arial"/>
          <w:sz w:val="17"/>
          <w:szCs w:val="17"/>
          <w:color w:val="auto"/>
        </w:rPr>
        <w:t>Options and rights on issue during the year are not included in the calculation of diluted earnings per share because they are antidilutive for the year ended 30 June 2021. These options and rights could potentially dilute basic earnings per share in the future. Details relating to options and rights are set out in note 28.</w:t>
      </w:r>
    </w:p>
    <w:p>
      <w:pPr>
        <w:spacing w:after="0" w:line="202"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Capital raising</w:t>
      </w:r>
    </w:p>
    <w:p>
      <w:pPr>
        <w:spacing w:after="0" w:line="121" w:lineRule="exact"/>
        <w:rPr>
          <w:sz w:val="20"/>
          <w:szCs w:val="20"/>
          <w:color w:val="auto"/>
        </w:rPr>
      </w:pPr>
    </w:p>
    <w:p>
      <w:pPr>
        <w:ind w:left="300" w:right="599"/>
        <w:spacing w:after="0" w:line="308" w:lineRule="auto"/>
        <w:rPr>
          <w:sz w:val="20"/>
          <w:szCs w:val="20"/>
          <w:color w:val="auto"/>
        </w:rPr>
      </w:pPr>
      <w:r>
        <w:rPr>
          <w:rFonts w:ascii="Arial" w:cs="Arial" w:eastAsia="Arial" w:hAnsi="Arial"/>
          <w:sz w:val="17"/>
          <w:szCs w:val="17"/>
          <w:color w:val="auto"/>
        </w:rPr>
        <w:t>In the prior financial year the Company completed a $63 million capital raising via an institutional placement, an accelerated non-renounceable rights issue and a strategic placement (“capital raising”).</w:t>
      </w:r>
    </w:p>
    <w:p>
      <w:pPr>
        <w:spacing w:after="0" w:line="38"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The capital raising simplified the NOVONIX capital structure through the redemption of Convertible Notes and repayment of short-term loans, along with the cancellation of 40.5 million options held by Directors, employees and convertible note holders.</w:t>
      </w:r>
    </w:p>
    <w:p>
      <w:pPr>
        <w:spacing w:after="0" w:line="76" w:lineRule="exact"/>
        <w:rPr>
          <w:sz w:val="20"/>
          <w:szCs w:val="20"/>
          <w:color w:val="auto"/>
        </w:rPr>
      </w:pPr>
    </w:p>
    <w:p>
      <w:pPr>
        <w:ind w:left="300" w:right="799"/>
        <w:spacing w:after="0" w:line="263" w:lineRule="auto"/>
        <w:rPr>
          <w:sz w:val="20"/>
          <w:szCs w:val="20"/>
          <w:color w:val="auto"/>
        </w:rPr>
      </w:pPr>
      <w:r>
        <w:rPr>
          <w:rFonts w:ascii="Arial" w:cs="Arial" w:eastAsia="Arial" w:hAnsi="Arial"/>
          <w:sz w:val="18"/>
          <w:szCs w:val="18"/>
          <w:color w:val="auto"/>
        </w:rPr>
        <w:t>Funds raised are providing capex and working capital to fulfil an initial SAMSUNG supply contract, facilitate development and commercialisation of the DPMG technology for cathode and other million-mile battery innovations, offer costs and provide general working capital.</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components of the transaction are set out below:</w:t>
      </w:r>
    </w:p>
    <w:p>
      <w:pPr>
        <w:spacing w:after="0" w:line="225" w:lineRule="exact"/>
        <w:rPr>
          <w:sz w:val="20"/>
          <w:szCs w:val="20"/>
          <w:color w:val="auto"/>
        </w:rPr>
      </w:pPr>
    </w:p>
    <w:p>
      <w:pPr>
        <w:ind w:left="640" w:hanging="348"/>
        <w:spacing w:after="0"/>
        <w:tabs>
          <w:tab w:leader="none" w:pos="640" w:val="left"/>
        </w:tabs>
        <w:numPr>
          <w:ilvl w:val="0"/>
          <w:numId w:val="134"/>
        </w:numPr>
        <w:rPr>
          <w:rFonts w:ascii="Arial" w:cs="Arial" w:eastAsia="Arial" w:hAnsi="Arial"/>
          <w:sz w:val="18"/>
          <w:szCs w:val="18"/>
          <w:i w:val="1"/>
          <w:iCs w:val="1"/>
          <w:color w:val="auto"/>
        </w:rPr>
      </w:pPr>
      <w:r>
        <w:rPr>
          <w:rFonts w:ascii="Arial" w:cs="Arial" w:eastAsia="Arial" w:hAnsi="Arial"/>
          <w:sz w:val="18"/>
          <w:szCs w:val="18"/>
          <w:i w:val="1"/>
          <w:iCs w:val="1"/>
          <w:color w:val="auto"/>
        </w:rPr>
        <w:t>Institutional placement</w:t>
      </w:r>
    </w:p>
    <w:p>
      <w:pPr>
        <w:spacing w:after="0" w:line="117" w:lineRule="exact"/>
        <w:rPr>
          <w:sz w:val="20"/>
          <w:szCs w:val="20"/>
          <w:color w:val="auto"/>
        </w:rPr>
      </w:pPr>
    </w:p>
    <w:p>
      <w:pPr>
        <w:ind w:left="300" w:right="759"/>
        <w:spacing w:after="0" w:line="277" w:lineRule="auto"/>
        <w:rPr>
          <w:sz w:val="20"/>
          <w:szCs w:val="20"/>
          <w:color w:val="auto"/>
        </w:rPr>
      </w:pPr>
      <w:r>
        <w:rPr>
          <w:rFonts w:ascii="Arial" w:cs="Arial" w:eastAsia="Arial" w:hAnsi="Arial"/>
          <w:sz w:val="18"/>
          <w:szCs w:val="18"/>
          <w:color w:val="auto"/>
        </w:rPr>
        <w:t>On 5 June 2020, 19,495,469 fully paid ordinary shares were issued to institutional investors at $0.29 per share, raising $5,653,686.</w:t>
      </w:r>
    </w:p>
    <w:p>
      <w:pPr>
        <w:spacing w:after="0" w:line="170" w:lineRule="exact"/>
        <w:rPr>
          <w:sz w:val="20"/>
          <w:szCs w:val="20"/>
          <w:color w:val="auto"/>
        </w:rPr>
      </w:pPr>
    </w:p>
    <w:p>
      <w:pPr>
        <w:ind w:left="640" w:hanging="348"/>
        <w:spacing w:after="0"/>
        <w:tabs>
          <w:tab w:leader="none" w:pos="640"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Rights issue</w:t>
      </w:r>
    </w:p>
    <w:p>
      <w:pPr>
        <w:spacing w:after="0" w:line="117" w:lineRule="exact"/>
        <w:rPr>
          <w:sz w:val="20"/>
          <w:szCs w:val="20"/>
          <w:color w:val="auto"/>
        </w:rPr>
      </w:pPr>
    </w:p>
    <w:p>
      <w:pPr>
        <w:ind w:left="300" w:right="519"/>
        <w:spacing w:after="0" w:line="286" w:lineRule="auto"/>
        <w:rPr>
          <w:sz w:val="20"/>
          <w:szCs w:val="20"/>
          <w:color w:val="auto"/>
        </w:rPr>
      </w:pPr>
      <w:r>
        <w:rPr>
          <w:rFonts w:ascii="Arial" w:cs="Arial" w:eastAsia="Arial" w:hAnsi="Arial"/>
          <w:sz w:val="17"/>
          <w:szCs w:val="17"/>
          <w:color w:val="auto"/>
        </w:rPr>
        <w:t>An accelerated 1 for 1 rights issue was completed on 25 June 2020. Under the rights issue, 130,721,435 fully paid ordinary shares were issued at $0.29 per share. The rights issue raised a total of $37,909,216 which consisted of $34,017,928 cash and $3,891,288 settlement of debt (see c) and d) below).</w:t>
      </w:r>
    </w:p>
    <w:p>
      <w:pPr>
        <w:spacing w:after="0" w:line="165" w:lineRule="exact"/>
        <w:rPr>
          <w:sz w:val="20"/>
          <w:szCs w:val="20"/>
          <w:color w:val="auto"/>
        </w:rPr>
      </w:pPr>
    </w:p>
    <w:p>
      <w:pPr>
        <w:ind w:left="640" w:hanging="348"/>
        <w:spacing w:after="0"/>
        <w:tabs>
          <w:tab w:leader="none" w:pos="640" w:val="left"/>
        </w:tabs>
        <w:numPr>
          <w:ilvl w:val="0"/>
          <w:numId w:val="136"/>
        </w:numPr>
        <w:rPr>
          <w:rFonts w:ascii="Arial" w:cs="Arial" w:eastAsia="Arial" w:hAnsi="Arial"/>
          <w:sz w:val="18"/>
          <w:szCs w:val="18"/>
          <w:i w:val="1"/>
          <w:iCs w:val="1"/>
          <w:color w:val="auto"/>
        </w:rPr>
      </w:pPr>
      <w:r>
        <w:rPr>
          <w:rFonts w:ascii="Arial" w:cs="Arial" w:eastAsia="Arial" w:hAnsi="Arial"/>
          <w:sz w:val="18"/>
          <w:szCs w:val="18"/>
          <w:i w:val="1"/>
          <w:iCs w:val="1"/>
          <w:color w:val="auto"/>
        </w:rPr>
        <w:t>Repayment of Director loans</w:t>
      </w:r>
    </w:p>
    <w:p>
      <w:pPr>
        <w:spacing w:after="0" w:line="117" w:lineRule="exact"/>
        <w:rPr>
          <w:sz w:val="20"/>
          <w:szCs w:val="20"/>
          <w:color w:val="auto"/>
        </w:rPr>
      </w:pPr>
    </w:p>
    <w:p>
      <w:pPr>
        <w:jc w:val="both"/>
        <w:ind w:left="300" w:right="619"/>
        <w:spacing w:after="0" w:line="279" w:lineRule="auto"/>
        <w:rPr>
          <w:sz w:val="20"/>
          <w:szCs w:val="20"/>
          <w:color w:val="auto"/>
        </w:rPr>
      </w:pPr>
      <w:r>
        <w:rPr>
          <w:rFonts w:ascii="Arial" w:cs="Arial" w:eastAsia="Arial" w:hAnsi="Arial"/>
          <w:sz w:val="17"/>
          <w:szCs w:val="17"/>
          <w:color w:val="auto"/>
        </w:rPr>
        <w:t>During the prior financial year, the Company’s directors entered into short term loan agreements collectively for $3,148,960. The loans were unsecured and accrued interest at 8% pa from the date of drawdown, calculated on a daily basis. These loans were used by Directors to fund their entitlements under the rights issue, with remaining balances being repaid to Directors from the proceeds of the rights issue as follows:</w:t>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Loan funds and</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Loan settled though</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Loan funds repaid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Rights issue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 proceeds of</w:t>
            </w: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interest accrued</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entitlement taken up</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right issue</w:t>
            </w:r>
          </w:p>
        </w:tc>
        <w:tc>
          <w:tcPr>
            <w:tcW w:w="0" w:type="dxa"/>
            <w:vAlign w:val="bottom"/>
          </w:tcPr>
          <w:p>
            <w:pPr>
              <w:spacing w:after="0"/>
              <w:rPr>
                <w:sz w:val="1"/>
                <w:szCs w:val="1"/>
                <w:color w:val="auto"/>
              </w:rPr>
            </w:pPr>
          </w:p>
        </w:tc>
      </w:tr>
      <w:tr>
        <w:trPr>
          <w:trHeight w:val="186"/>
        </w:trPr>
        <w:tc>
          <w:tcPr>
            <w:tcW w:w="454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39"/>
        </w:trPr>
        <w:tc>
          <w:tcPr>
            <w:tcW w:w="43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Anthony Bellas</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263,377</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263,377</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8"/>
                <w:szCs w:val="18"/>
                <w:color w:val="auto"/>
              </w:rPr>
              <w:t>Philip St Baker</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1,799,682</w:t>
            </w:r>
          </w:p>
        </w:tc>
        <w:tc>
          <w:tcPr>
            <w:tcW w:w="220" w:type="dxa"/>
            <w:vAlign w:val="bottom"/>
          </w:tcPr>
          <w:p>
            <w:pPr>
              <w:spacing w:after="0"/>
              <w:rPr>
                <w:sz w:val="22"/>
                <w:szCs w:val="22"/>
                <w:color w:val="auto"/>
              </w:rPr>
            </w:pPr>
          </w:p>
        </w:tc>
        <w:tc>
          <w:tcPr>
            <w:tcW w:w="1280" w:type="dxa"/>
            <w:vAlign w:val="bottom"/>
          </w:tcPr>
          <w:p>
            <w:pPr>
              <w:jc w:val="right"/>
              <w:ind w:right="177"/>
              <w:spacing w:after="0"/>
              <w:rPr>
                <w:sz w:val="20"/>
                <w:szCs w:val="20"/>
                <w:color w:val="auto"/>
              </w:rPr>
            </w:pPr>
            <w:r>
              <w:rPr>
                <w:rFonts w:ascii="Arial" w:cs="Arial" w:eastAsia="Arial" w:hAnsi="Arial"/>
                <w:sz w:val="18"/>
                <w:szCs w:val="18"/>
                <w:color w:val="auto"/>
              </w:rPr>
              <w:t>1,799,682</w:t>
            </w:r>
          </w:p>
        </w:tc>
        <w:tc>
          <w:tcPr>
            <w:tcW w:w="220" w:type="dxa"/>
            <w:vAlign w:val="bottom"/>
          </w:tcPr>
          <w:p>
            <w:pPr>
              <w:spacing w:after="0"/>
              <w:rPr>
                <w:sz w:val="22"/>
                <w:szCs w:val="22"/>
                <w:color w:val="auto"/>
              </w:rPr>
            </w:pPr>
          </w:p>
        </w:tc>
        <w:tc>
          <w:tcPr>
            <w:tcW w:w="118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Greg Baynton</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107,117</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107,117</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540" w:type="dxa"/>
            <w:vAlign w:val="bottom"/>
            <w:gridSpan w:val="2"/>
          </w:tcPr>
          <w:p>
            <w:pPr>
              <w:spacing w:after="0"/>
              <w:rPr>
                <w:sz w:val="20"/>
                <w:szCs w:val="20"/>
                <w:color w:val="auto"/>
              </w:rPr>
            </w:pPr>
            <w:r>
              <w:rPr>
                <w:rFonts w:ascii="Arial" w:cs="Arial" w:eastAsia="Arial" w:hAnsi="Arial"/>
                <w:sz w:val="18"/>
                <w:szCs w:val="18"/>
                <w:color w:val="auto"/>
              </w:rPr>
              <w:t>Robert Cooper</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101,973</w:t>
            </w:r>
          </w:p>
        </w:tc>
        <w:tc>
          <w:tcPr>
            <w:tcW w:w="220" w:type="dxa"/>
            <w:vAlign w:val="bottom"/>
          </w:tcPr>
          <w:p>
            <w:pPr>
              <w:spacing w:after="0"/>
              <w:rPr>
                <w:sz w:val="22"/>
                <w:szCs w:val="22"/>
                <w:color w:val="auto"/>
              </w:rPr>
            </w:pPr>
          </w:p>
        </w:tc>
        <w:tc>
          <w:tcPr>
            <w:tcW w:w="1280" w:type="dxa"/>
            <w:vAlign w:val="bottom"/>
          </w:tcPr>
          <w:p>
            <w:pPr>
              <w:jc w:val="right"/>
              <w:ind w:right="197"/>
              <w:spacing w:after="0"/>
              <w:rPr>
                <w:sz w:val="20"/>
                <w:szCs w:val="20"/>
                <w:color w:val="auto"/>
              </w:rPr>
            </w:pPr>
            <w:r>
              <w:rPr>
                <w:rFonts w:ascii="Arial" w:cs="Arial" w:eastAsia="Arial" w:hAnsi="Arial"/>
                <w:sz w:val="18"/>
                <w:szCs w:val="18"/>
                <w:color w:val="auto"/>
              </w:rPr>
              <w:t>75,059</w:t>
            </w:r>
          </w:p>
        </w:tc>
        <w:tc>
          <w:tcPr>
            <w:tcW w:w="220" w:type="dxa"/>
            <w:vAlign w:val="bottom"/>
          </w:tcPr>
          <w:p>
            <w:pPr>
              <w:spacing w:after="0"/>
              <w:rPr>
                <w:sz w:val="22"/>
                <w:szCs w:val="22"/>
                <w:color w:val="auto"/>
              </w:rPr>
            </w:pPr>
          </w:p>
        </w:tc>
        <w:tc>
          <w:tcPr>
            <w:tcW w:w="1180" w:type="dxa"/>
            <w:vAlign w:val="bottom"/>
          </w:tcPr>
          <w:p>
            <w:pPr>
              <w:jc w:val="right"/>
              <w:ind w:right="237"/>
              <w:spacing w:after="0"/>
              <w:rPr>
                <w:sz w:val="20"/>
                <w:szCs w:val="20"/>
                <w:color w:val="auto"/>
              </w:rPr>
            </w:pPr>
            <w:r>
              <w:rPr>
                <w:rFonts w:ascii="Arial" w:cs="Arial" w:eastAsia="Arial" w:hAnsi="Arial"/>
                <w:sz w:val="18"/>
                <w:szCs w:val="18"/>
                <w:color w:val="auto"/>
              </w:rPr>
              <w:t>26,914</w:t>
            </w:r>
          </w:p>
        </w:tc>
        <w:tc>
          <w:tcPr>
            <w:tcW w:w="0" w:type="dxa"/>
            <w:vAlign w:val="bottom"/>
          </w:tcPr>
          <w:p>
            <w:pPr>
              <w:spacing w:after="0"/>
              <w:rPr>
                <w:sz w:val="1"/>
                <w:szCs w:val="1"/>
                <w:color w:val="auto"/>
              </w:rPr>
            </w:pPr>
          </w:p>
        </w:tc>
      </w:tr>
      <w:tr>
        <w:trPr>
          <w:trHeight w:val="41"/>
        </w:trPr>
        <w:tc>
          <w:tcPr>
            <w:tcW w:w="4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Andrew Liveris</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954,831</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599,255</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355,576</w:t>
            </w: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3,266,980*</w:t>
            </w:r>
          </w:p>
        </w:tc>
        <w:tc>
          <w:tcPr>
            <w:tcW w:w="220" w:type="dxa"/>
            <w:vAlign w:val="bottom"/>
          </w:tcPr>
          <w:p>
            <w:pPr>
              <w:spacing w:after="0"/>
              <w:rPr>
                <w:sz w:val="22"/>
                <w:szCs w:val="22"/>
                <w:color w:val="auto"/>
              </w:rPr>
            </w:pPr>
          </w:p>
        </w:tc>
        <w:tc>
          <w:tcPr>
            <w:tcW w:w="1280" w:type="dxa"/>
            <w:vAlign w:val="bottom"/>
          </w:tcPr>
          <w:p>
            <w:pPr>
              <w:jc w:val="right"/>
              <w:ind w:right="177"/>
              <w:spacing w:after="0"/>
              <w:rPr>
                <w:sz w:val="20"/>
                <w:szCs w:val="20"/>
                <w:color w:val="auto"/>
              </w:rPr>
            </w:pPr>
            <w:r>
              <w:rPr>
                <w:rFonts w:ascii="Arial" w:cs="Arial" w:eastAsia="Arial" w:hAnsi="Arial"/>
                <w:sz w:val="18"/>
                <w:szCs w:val="18"/>
                <w:color w:val="auto"/>
              </w:rPr>
              <w:t>2,844,490</w:t>
            </w:r>
          </w:p>
        </w:tc>
        <w:tc>
          <w:tcPr>
            <w:tcW w:w="220" w:type="dxa"/>
            <w:vAlign w:val="bottom"/>
          </w:tcPr>
          <w:p>
            <w:pPr>
              <w:spacing w:after="0"/>
              <w:rPr>
                <w:sz w:val="22"/>
                <w:szCs w:val="22"/>
                <w:color w:val="auto"/>
              </w:rPr>
            </w:pPr>
          </w:p>
        </w:tc>
        <w:tc>
          <w:tcPr>
            <w:tcW w:w="1180" w:type="dxa"/>
            <w:vAlign w:val="bottom"/>
          </w:tcPr>
          <w:p>
            <w:pPr>
              <w:jc w:val="right"/>
              <w:ind w:right="217"/>
              <w:spacing w:after="0"/>
              <w:rPr>
                <w:sz w:val="20"/>
                <w:szCs w:val="20"/>
                <w:color w:val="auto"/>
              </w:rPr>
            </w:pPr>
            <w:r>
              <w:rPr>
                <w:rFonts w:ascii="Arial" w:cs="Arial" w:eastAsia="Arial" w:hAnsi="Arial"/>
                <w:sz w:val="18"/>
                <w:szCs w:val="18"/>
                <w:color w:val="auto"/>
              </w:rPr>
              <w:t>382,490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-1122045</wp:posOffset>
            </wp:positionV>
            <wp:extent cx="137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-1122045</wp:posOffset>
            </wp:positionV>
            <wp:extent cx="137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-1122045</wp:posOffset>
            </wp:positionV>
            <wp:extent cx="137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180340</wp:posOffset>
            </wp:positionV>
            <wp:extent cx="8229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2" w:lineRule="exact"/>
        <w:rPr>
          <w:sz w:val="20"/>
          <w:szCs w:val="20"/>
          <w:color w:val="auto"/>
        </w:rPr>
      </w:pPr>
    </w:p>
    <w:p>
      <w:pPr>
        <w:ind w:left="640" w:hanging="348"/>
        <w:spacing w:after="0"/>
        <w:tabs>
          <w:tab w:leader="none" w:pos="6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includes $78,020 of interest accrued on short-term loans</w:t>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Capital raising (continued)</w:t>
      </w:r>
    </w:p>
    <w:p>
      <w:pPr>
        <w:spacing w:after="0" w:line="148" w:lineRule="exact"/>
        <w:rPr>
          <w:sz w:val="20"/>
          <w:szCs w:val="20"/>
          <w:color w:val="auto"/>
        </w:rPr>
      </w:pPr>
    </w:p>
    <w:p>
      <w:pPr>
        <w:ind w:left="620" w:hanging="328"/>
        <w:spacing w:after="0"/>
        <w:tabs>
          <w:tab w:leader="none" w:pos="620" w:val="left"/>
        </w:tabs>
        <w:numPr>
          <w:ilvl w:val="0"/>
          <w:numId w:val="138"/>
        </w:numPr>
        <w:rPr>
          <w:rFonts w:ascii="Arial" w:cs="Arial" w:eastAsia="Arial" w:hAnsi="Arial"/>
          <w:sz w:val="18"/>
          <w:szCs w:val="18"/>
          <w:i w:val="1"/>
          <w:iCs w:val="1"/>
          <w:color w:val="auto"/>
        </w:rPr>
      </w:pPr>
      <w:r>
        <w:rPr>
          <w:rFonts w:ascii="Arial" w:cs="Arial" w:eastAsia="Arial" w:hAnsi="Arial"/>
          <w:sz w:val="18"/>
          <w:szCs w:val="18"/>
          <w:i w:val="1"/>
          <w:iCs w:val="1"/>
          <w:color w:val="auto"/>
        </w:rPr>
        <w:t>Convertible loan notes</w:t>
      </w:r>
    </w:p>
    <w:p>
      <w:pPr>
        <w:spacing w:after="0" w:line="117"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Prior to the capital raise a total of 11,416,667 loan notes (excluding loan notes held by the St Baker Energy Innovation Fund) were on issue with a face value of $6,400,000. These loan notes accrued interest at a coupon rate of 10% pa.</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convertible loan notes were repaid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 settled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Amount settled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of loan</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value of</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through</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 cash</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notes at</w:t>
            </w: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loan notes at</w:t>
            </w: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Loss on</w:t>
            </w: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conversion to</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 of proceeds</w:t>
            </w:r>
          </w:p>
        </w:tc>
        <w:tc>
          <w:tcPr>
            <w:tcW w:w="0" w:type="dxa"/>
            <w:vAlign w:val="bottom"/>
          </w:tcPr>
          <w:p>
            <w:pPr>
              <w:spacing w:after="0"/>
              <w:rPr>
                <w:sz w:val="1"/>
                <w:szCs w:val="1"/>
                <w:color w:val="auto"/>
              </w:rPr>
            </w:pPr>
          </w:p>
        </w:tc>
      </w:tr>
      <w:tr>
        <w:trPr>
          <w:trHeight w:val="148"/>
        </w:trPr>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Loan notes</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Face Value</w:t>
            </w:r>
          </w:p>
        </w:tc>
        <w:tc>
          <w:tcPr>
            <w:tcW w:w="900" w:type="dxa"/>
            <w:vAlign w:val="bottom"/>
            <w:gridSpan w:val="2"/>
            <w:vMerge w:val="continue"/>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settlement</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settlement</w:t>
            </w:r>
          </w:p>
        </w:tc>
        <w:tc>
          <w:tcPr>
            <w:tcW w:w="960" w:type="dxa"/>
            <w:vAlign w:val="bottom"/>
            <w:gridSpan w:val="2"/>
            <w:vMerge w:val="continue"/>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equity as part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 the</w:t>
            </w:r>
          </w:p>
        </w:tc>
        <w:tc>
          <w:tcPr>
            <w:tcW w:w="0" w:type="dxa"/>
            <w:vAlign w:val="bottom"/>
          </w:tcPr>
          <w:p>
            <w:pPr>
              <w:spacing w:after="0"/>
              <w:rPr>
                <w:sz w:val="1"/>
                <w:szCs w:val="1"/>
                <w:color w:val="auto"/>
              </w:rPr>
            </w:pPr>
          </w:p>
        </w:tc>
      </w:tr>
      <w:tr>
        <w:trPr>
          <w:trHeight w:val="149"/>
        </w:trPr>
        <w:tc>
          <w:tcPr>
            <w:tcW w:w="11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accrued</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date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date</w:t>
            </w: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settlement</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rights issue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rights issue</w:t>
            </w:r>
          </w:p>
        </w:tc>
        <w:tc>
          <w:tcPr>
            <w:tcW w:w="0" w:type="dxa"/>
            <w:vAlign w:val="bottom"/>
          </w:tcPr>
          <w:p>
            <w:pPr>
              <w:spacing w:after="0"/>
              <w:rPr>
                <w:sz w:val="1"/>
                <w:szCs w:val="1"/>
                <w:color w:val="auto"/>
              </w:rPr>
            </w:pPr>
          </w:p>
        </w:tc>
      </w:tr>
      <w:tr>
        <w:trPr>
          <w:trHeight w:val="186"/>
        </w:trPr>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5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6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9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2,250,000</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900,000</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117,123</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1,017,123</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891,018</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126,105</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182,701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834,422</w:t>
            </w:r>
          </w:p>
        </w:tc>
        <w:tc>
          <w:tcPr>
            <w:tcW w:w="0" w:type="dxa"/>
            <w:vAlign w:val="bottom"/>
          </w:tcPr>
          <w:p>
            <w:pPr>
              <w:spacing w:after="0"/>
              <w:rPr>
                <w:sz w:val="1"/>
                <w:szCs w:val="1"/>
                <w:color w:val="auto"/>
              </w:rPr>
            </w:pPr>
          </w:p>
        </w:tc>
      </w:tr>
      <w:tr>
        <w:trPr>
          <w:trHeight w:val="218"/>
        </w:trPr>
        <w:tc>
          <w:tcPr>
            <w:tcW w:w="860" w:type="dxa"/>
            <w:vAlign w:val="bottom"/>
          </w:tcPr>
          <w:p>
            <w:pPr>
              <w:jc w:val="center"/>
              <w:spacing w:after="0"/>
              <w:rPr>
                <w:sz w:val="20"/>
                <w:szCs w:val="20"/>
                <w:color w:val="auto"/>
              </w:rPr>
            </w:pPr>
            <w:r>
              <w:rPr>
                <w:rFonts w:ascii="Arial" w:cs="Arial" w:eastAsia="Arial" w:hAnsi="Arial"/>
                <w:sz w:val="14"/>
                <w:szCs w:val="14"/>
                <w:color w:val="auto"/>
                <w:w w:val="93"/>
              </w:rPr>
              <w:t>9,166,667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5,500,000</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1,038,219</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6,538,219</w:t>
            </w:r>
          </w:p>
        </w:tc>
        <w:tc>
          <w:tcPr>
            <w:tcW w:w="32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6,471,374</w:t>
            </w:r>
          </w:p>
        </w:tc>
        <w:tc>
          <w:tcPr>
            <w:tcW w:w="32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66,845</w:t>
            </w:r>
          </w:p>
        </w:tc>
        <w:tc>
          <w:tcPr>
            <w:tcW w:w="320" w:type="dxa"/>
            <w:vAlign w:val="bottom"/>
          </w:tcPr>
          <w:p>
            <w:pPr>
              <w:spacing w:after="0"/>
              <w:rPr>
                <w:sz w:val="18"/>
                <w:szCs w:val="18"/>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864,097</w:t>
            </w:r>
          </w:p>
        </w:tc>
        <w:tc>
          <w:tcPr>
            <w:tcW w:w="340" w:type="dxa"/>
            <w:vAlign w:val="bottom"/>
          </w:tcPr>
          <w:p>
            <w:pPr>
              <w:spacing w:after="0"/>
              <w:rPr>
                <w:sz w:val="18"/>
                <w:szCs w:val="18"/>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5,674,122</w:t>
            </w: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11,416,667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6,400,000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1,155,342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7,555,342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7,362,392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192,950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1,046,798*</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6,508,544</w:t>
            </w:r>
          </w:p>
        </w:tc>
        <w:tc>
          <w:tcPr>
            <w:tcW w:w="0" w:type="dxa"/>
            <w:vAlign w:val="bottom"/>
          </w:tcPr>
          <w:p>
            <w:pPr>
              <w:spacing w:after="0"/>
              <w:rPr>
                <w:sz w:val="1"/>
                <w:szCs w:val="1"/>
                <w:color w:val="auto"/>
              </w:rPr>
            </w:pPr>
          </w:p>
        </w:tc>
      </w:tr>
      <w:tr>
        <w:trPr>
          <w:trHeight w:val="39"/>
        </w:trPr>
        <w:tc>
          <w:tcPr>
            <w:tcW w:w="8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-505460</wp:posOffset>
            </wp:positionV>
            <wp:extent cx="2057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-505460</wp:posOffset>
            </wp:positionV>
            <wp:extent cx="2057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-505460</wp:posOffset>
            </wp:positionV>
            <wp:extent cx="2057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-505460</wp:posOffset>
            </wp:positionV>
            <wp:extent cx="2057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-505460</wp:posOffset>
            </wp:positionV>
            <wp:extent cx="2057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-505460</wp:posOffset>
            </wp:positionV>
            <wp:extent cx="2057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-505460</wp:posOffset>
            </wp:positionV>
            <wp:extent cx="2057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1" w:lineRule="exact"/>
        <w:rPr>
          <w:sz w:val="20"/>
          <w:szCs w:val="20"/>
          <w:color w:val="auto"/>
        </w:rPr>
      </w:pPr>
    </w:p>
    <w:p>
      <w:pPr>
        <w:ind w:left="640" w:hanging="348"/>
        <w:spacing w:after="0"/>
        <w:tabs>
          <w:tab w:leader="none" w:pos="640" w:val="left"/>
        </w:tabs>
        <w:numPr>
          <w:ilvl w:val="0"/>
          <w:numId w:val="139"/>
        </w:numPr>
        <w:rPr>
          <w:rFonts w:ascii="Arial" w:cs="Arial" w:eastAsia="Arial" w:hAnsi="Arial"/>
          <w:sz w:val="22"/>
          <w:szCs w:val="22"/>
          <w:color w:val="auto"/>
          <w:vertAlign w:val="superscript"/>
        </w:rPr>
      </w:pPr>
      <w:r>
        <w:rPr>
          <w:rFonts w:ascii="Arial" w:cs="Arial" w:eastAsia="Arial" w:hAnsi="Arial"/>
          <w:sz w:val="14"/>
          <w:szCs w:val="14"/>
          <w:color w:val="auto"/>
        </w:rPr>
        <w:t>Repaid through the issue of 3,609,650 shares at $0.29 per share.</w:t>
      </w:r>
    </w:p>
    <w:p>
      <w:pPr>
        <w:spacing w:after="0" w:line="187" w:lineRule="exact"/>
        <w:rPr>
          <w:sz w:val="20"/>
          <w:szCs w:val="20"/>
          <w:color w:val="auto"/>
        </w:rPr>
      </w:pPr>
    </w:p>
    <w:p>
      <w:pPr>
        <w:ind w:left="640" w:hanging="348"/>
        <w:spacing w:after="0"/>
        <w:tabs>
          <w:tab w:leader="none" w:pos="640"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Strategic Placement to St Baker Energy Innovation Fund</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At a General Meeting of Shareholders held on 30 June 2020, Shareholders approved the issue of 67,085,100 fully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paid ordinary shares to the St Baker Energy Innovation Fund at an issue price of $0.29 per share raising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$19,454,679. The consideration for the shares received consisted of cash and the settlement of both convertible loan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and short-term loans owing. Details of the Strategic Placement are set out in the table below:</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Face value/</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Principal of</w:t>
            </w: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loan notes and</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440" w:type="dxa"/>
            <w:vAlign w:val="bottom"/>
          </w:tcPr>
          <w:p>
            <w:pPr>
              <w:spacing w:after="0"/>
              <w:rPr>
                <w:sz w:val="12"/>
                <w:szCs w:val="12"/>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Placement</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short-term</w:t>
            </w:r>
          </w:p>
        </w:tc>
        <w:tc>
          <w:tcPr>
            <w:tcW w:w="7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loan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accrued</w:t>
            </w:r>
          </w:p>
        </w:tc>
        <w:tc>
          <w:tcPr>
            <w:tcW w:w="4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proceeds</w:t>
            </w:r>
          </w:p>
        </w:tc>
        <w:tc>
          <w:tcPr>
            <w:tcW w:w="8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118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spacing w:after="0"/>
              <w:rPr>
                <w:sz w:val="16"/>
                <w:szCs w:val="16"/>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(Number)</w:t>
            </w:r>
          </w:p>
        </w:tc>
        <w:tc>
          <w:tcPr>
            <w:tcW w:w="0" w:type="dxa"/>
            <w:vAlign w:val="bottom"/>
          </w:tcPr>
          <w:p>
            <w:pPr>
              <w:spacing w:after="0"/>
              <w:rPr>
                <w:sz w:val="1"/>
                <w:szCs w:val="1"/>
                <w:color w:val="auto"/>
              </w:rPr>
            </w:pPr>
          </w:p>
        </w:tc>
      </w:tr>
      <w:tr>
        <w:trPr>
          <w:trHeight w:val="53"/>
        </w:trPr>
        <w:tc>
          <w:tcPr>
            <w:tcW w:w="26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notes redeemed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10,000,000</w:t>
            </w:r>
          </w:p>
        </w:tc>
        <w:tc>
          <w:tcPr>
            <w:tcW w:w="4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1,187,397</w:t>
            </w:r>
          </w:p>
        </w:tc>
        <w:tc>
          <w:tcPr>
            <w:tcW w:w="4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11,187,397</w:t>
            </w:r>
          </w:p>
        </w:tc>
        <w:tc>
          <w:tcPr>
            <w:tcW w:w="128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38,577,232</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Short-term loan repaid</w:t>
            </w:r>
          </w:p>
        </w:tc>
        <w:tc>
          <w:tcPr>
            <w:tcW w:w="900" w:type="dxa"/>
            <w:vAlign w:val="bottom"/>
          </w:tcPr>
          <w:p>
            <w:pPr>
              <w:jc w:val="right"/>
              <w:spacing w:after="0"/>
              <w:rPr>
                <w:sz w:val="20"/>
                <w:szCs w:val="20"/>
                <w:color w:val="auto"/>
              </w:rPr>
            </w:pPr>
            <w:r>
              <w:rPr>
                <w:rFonts w:ascii="Arial" w:cs="Arial" w:eastAsia="Arial" w:hAnsi="Arial"/>
                <w:sz w:val="18"/>
                <w:szCs w:val="18"/>
                <w:color w:val="auto"/>
              </w:rPr>
              <w:t>3,400,000</w:t>
            </w:r>
          </w:p>
        </w:tc>
        <w:tc>
          <w:tcPr>
            <w:tcW w:w="4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131,575</w:t>
            </w:r>
          </w:p>
        </w:tc>
        <w:tc>
          <w:tcPr>
            <w:tcW w:w="440" w:type="dxa"/>
            <w:vAlign w:val="bottom"/>
          </w:tcPr>
          <w:p>
            <w:pPr>
              <w:spacing w:after="0"/>
              <w:rPr>
                <w:sz w:val="23"/>
                <w:szCs w:val="23"/>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3,531,575</w:t>
            </w:r>
          </w:p>
        </w:tc>
        <w:tc>
          <w:tcPr>
            <w:tcW w:w="12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12,177,845</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Placement proceeds</w:t>
            </w:r>
          </w:p>
        </w:tc>
        <w:tc>
          <w:tcPr>
            <w:tcW w:w="13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4,735,707</w:t>
            </w: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4,735,707</w:t>
            </w:r>
          </w:p>
        </w:tc>
        <w:tc>
          <w:tcPr>
            <w:tcW w:w="1280" w:type="dxa"/>
            <w:vAlign w:val="bottom"/>
            <w:tcBorders>
              <w:bottom w:val="single" w:sz="8" w:color="CCEEFF"/>
            </w:tcBorders>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16,330,023</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13,400,000</w:t>
            </w:r>
          </w:p>
        </w:tc>
        <w:tc>
          <w:tcPr>
            <w:tcW w:w="4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1,318,972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4,735,707</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19,454,679</w:t>
            </w:r>
          </w:p>
        </w:tc>
        <w:tc>
          <w:tcPr>
            <w:tcW w:w="12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67,085,100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-805180</wp:posOffset>
            </wp:positionV>
            <wp:extent cx="274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-805180</wp:posOffset>
            </wp:positionV>
            <wp:extent cx="274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-805180</wp:posOffset>
            </wp:positionV>
            <wp:extent cx="274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-805180</wp:posOffset>
            </wp:positionV>
            <wp:extent cx="274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-805180</wp:posOffset>
            </wp:positionV>
            <wp:extent cx="137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300" w:right="379"/>
        <w:spacing w:after="0" w:line="308" w:lineRule="auto"/>
        <w:rPr>
          <w:sz w:val="20"/>
          <w:szCs w:val="20"/>
          <w:color w:val="auto"/>
        </w:rPr>
      </w:pPr>
      <w:r>
        <w:rPr>
          <w:rFonts w:ascii="Arial" w:cs="Arial" w:eastAsia="Arial" w:hAnsi="Arial"/>
          <w:sz w:val="17"/>
          <w:szCs w:val="17"/>
          <w:color w:val="auto"/>
        </w:rPr>
        <w:t>Prior to the capital raise a total of 25,000,000 loan notes were on issue to the St Baker Energy Innovation Fund with a face value of $10,000,000. These loan notes accrued interest at a coupon rate of 10% pa.</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convertible loan notes were repaid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Face</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Fair value of loan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Carrying value of</w:t>
            </w: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Loss on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Amount settled through</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Amount settled in cash</w:t>
            </w: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Loan notes</w:t>
            </w: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notes at</w:t>
            </w: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loan notes at</w:t>
            </w:r>
          </w:p>
        </w:tc>
        <w:tc>
          <w:tcPr>
            <w:tcW w:w="70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conversion to equity as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 of proceeds from</w:t>
            </w:r>
          </w:p>
        </w:tc>
        <w:tc>
          <w:tcPr>
            <w:tcW w:w="0" w:type="dxa"/>
            <w:vAlign w:val="bottom"/>
          </w:tcPr>
          <w:p>
            <w:pPr>
              <w:spacing w:after="0"/>
              <w:rPr>
                <w:sz w:val="1"/>
                <w:szCs w:val="1"/>
                <w:color w:val="auto"/>
              </w:rPr>
            </w:pPr>
          </w:p>
        </w:tc>
      </w:tr>
      <w:tr>
        <w:trPr>
          <w:trHeight w:val="148"/>
        </w:trPr>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accrued</w:t>
            </w: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settlement date</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settlement date</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settlement</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part of rights issue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the rights issue</w:t>
            </w:r>
          </w:p>
        </w:tc>
        <w:tc>
          <w:tcPr>
            <w:tcW w:w="0" w:type="dxa"/>
            <w:vAlign w:val="bottom"/>
          </w:tcPr>
          <w:p>
            <w:pPr>
              <w:spacing w:after="0"/>
              <w:rPr>
                <w:sz w:val="1"/>
                <w:szCs w:val="1"/>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2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53"/>
        </w:trPr>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25,000,000</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8"/>
              </w:rPr>
              <w:t>10,000,000 1,187,397</w:t>
            </w: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11,187,397</w:t>
            </w: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9,614,996</w:t>
            </w:r>
          </w:p>
        </w:tc>
        <w:tc>
          <w:tcPr>
            <w:tcW w:w="6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1,572,401</w:t>
            </w:r>
          </w:p>
        </w:tc>
        <w:tc>
          <w:tcPr>
            <w:tcW w:w="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11,187,397</w:t>
            </w:r>
            <w:r>
              <w:rPr>
                <w:rFonts w:ascii="Arial" w:cs="Arial" w:eastAsia="Arial" w:hAnsi="Arial"/>
                <w:sz w:val="23"/>
                <w:szCs w:val="23"/>
                <w:color w:val="auto"/>
                <w:vertAlign w:val="superscript"/>
              </w:rPr>
              <w:t>*</w:t>
            </w:r>
          </w:p>
        </w:tc>
        <w:tc>
          <w:tcPr>
            <w:tcW w:w="6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-179070</wp:posOffset>
            </wp:positionV>
            <wp:extent cx="342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-179070</wp:posOffset>
            </wp:positionV>
            <wp:extent cx="342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-179070</wp:posOffset>
            </wp:positionV>
            <wp:extent cx="342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-179070</wp:posOffset>
            </wp:positionV>
            <wp:extent cx="342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-179070</wp:posOffset>
            </wp:positionV>
            <wp:extent cx="342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-179070</wp:posOffset>
            </wp:positionV>
            <wp:extent cx="342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-179070</wp:posOffset>
            </wp:positionV>
            <wp:extent cx="342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Repaid through the issue of 38,577,232 shares at $0.29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Capital raising (continued)</w:t>
      </w:r>
    </w:p>
    <w:p>
      <w:pPr>
        <w:spacing w:after="0" w:line="27" w:lineRule="exact"/>
        <w:rPr>
          <w:sz w:val="20"/>
          <w:szCs w:val="20"/>
          <w:color w:val="auto"/>
        </w:rPr>
      </w:pPr>
    </w:p>
    <w:p>
      <w:pPr>
        <w:ind w:left="1640" w:hanging="348"/>
        <w:spacing w:after="0"/>
        <w:tabs>
          <w:tab w:leader="none" w:pos="1640"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of options</w:t>
      </w:r>
    </w:p>
    <w:p>
      <w:pPr>
        <w:spacing w:after="0" w:line="103" w:lineRule="exact"/>
        <w:rPr>
          <w:sz w:val="20"/>
          <w:szCs w:val="20"/>
          <w:color w:val="auto"/>
        </w:rPr>
      </w:pPr>
    </w:p>
    <w:p>
      <w:pPr>
        <w:ind w:left="1300" w:right="1340"/>
        <w:spacing w:after="0" w:line="257" w:lineRule="auto"/>
        <w:rPr>
          <w:sz w:val="20"/>
          <w:szCs w:val="20"/>
          <w:color w:val="auto"/>
        </w:rPr>
      </w:pPr>
      <w:r>
        <w:rPr>
          <w:rFonts w:ascii="Arial" w:cs="Arial" w:eastAsia="Arial" w:hAnsi="Arial"/>
          <w:sz w:val="18"/>
          <w:szCs w:val="18"/>
          <w:color w:val="auto"/>
        </w:rPr>
        <w:t>As part of the capital raise, the Group obtained agreement from holders of a total of 40,500,000 options (approximately half of the options on issue at the time of the capital raise) to cancel the options for no consideration. The cancellation of the options has resulted in an acceleration of the share-based payment expense, with the unexpensed portion of the share option fair values being expensed in full at the date of cancellation. Details of the options cancelled are below:</w:t>
      </w:r>
    </w:p>
    <w:p>
      <w:pPr>
        <w:spacing w:after="0" w:line="14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Number of options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accelerated</w:t>
            </w: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cancelled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53"/>
        </w:trPr>
        <w:tc>
          <w:tcPr>
            <w:tcW w:w="63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Directors</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5,750,000</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578,135</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KMP</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7,500,000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610,946</w:t>
            </w: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note holders*</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27,250,000</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40,500,000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1,189,081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-805180</wp:posOffset>
            </wp:positionV>
            <wp:extent cx="137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-805180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146050</wp:posOffset>
            </wp:positionV>
            <wp:extent cx="8229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1640" w:right="1440" w:hanging="348"/>
        <w:spacing w:after="0" w:line="253" w:lineRule="auto"/>
        <w:tabs>
          <w:tab w:leader="none" w:pos="16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Loan note holders are not employees of the company and therefore there is no associated share based payment expense, hence no expense acceleration.</w:t>
      </w:r>
    </w:p>
    <w:p>
      <w:pPr>
        <w:spacing w:after="0" w:line="241"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Impairment testing of goodwill</w:t>
      </w:r>
    </w:p>
    <w:p>
      <w:pPr>
        <w:spacing w:after="0" w:line="121" w:lineRule="exact"/>
        <w:rPr>
          <w:sz w:val="20"/>
          <w:szCs w:val="20"/>
          <w:color w:val="auto"/>
        </w:rPr>
      </w:pPr>
    </w:p>
    <w:p>
      <w:pPr>
        <w:ind w:left="1300" w:right="1520"/>
        <w:spacing w:after="0" w:line="342" w:lineRule="auto"/>
        <w:rPr>
          <w:sz w:val="20"/>
          <w:szCs w:val="20"/>
          <w:color w:val="auto"/>
        </w:rPr>
      </w:pPr>
      <w:r>
        <w:rPr>
          <w:rFonts w:ascii="Arial" w:cs="Arial" w:eastAsia="Arial" w:hAnsi="Arial"/>
          <w:sz w:val="16"/>
          <w:szCs w:val="16"/>
          <w:color w:val="auto"/>
        </w:rPr>
        <w:t>For the purposes of impairment testing, the cash generating unit has been defined as the business to which the goodwill relates where individual cash flows can be ascertained for the purposes of discounting future cash flows.</w:t>
      </w:r>
    </w:p>
    <w:p>
      <w:pPr>
        <w:spacing w:after="0" w:line="7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2000" w:type="dxa"/>
            <w:vAlign w:val="bottom"/>
            <w:gridSpan w:val="4"/>
          </w:tcPr>
          <w:p>
            <w:pPr>
              <w:ind w:left="600"/>
              <w:spacing w:after="0"/>
              <w:rPr>
                <w:sz w:val="20"/>
                <w:szCs w:val="20"/>
                <w:color w:val="auto"/>
              </w:rPr>
            </w:pPr>
            <w:r>
              <w:rPr>
                <w:rFonts w:ascii="Arial" w:cs="Arial" w:eastAsia="Arial" w:hAnsi="Arial"/>
                <w:sz w:val="14"/>
                <w:szCs w:val="14"/>
                <w:b w:val="1"/>
                <w:bCs w:val="1"/>
                <w:color w:val="auto"/>
              </w:rPr>
              <w:t>Consolidated</w:t>
            </w:r>
          </w:p>
        </w:tc>
      </w:tr>
      <w:tr>
        <w:trPr>
          <w:trHeight w:val="53"/>
        </w:trPr>
        <w:tc>
          <w:tcPr>
            <w:tcW w:w="64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87"/>
        </w:trPr>
        <w:tc>
          <w:tcPr>
            <w:tcW w:w="6420" w:type="dxa"/>
            <w:vAlign w:val="bottom"/>
          </w:tcPr>
          <w:p>
            <w:pPr>
              <w:spacing w:after="0"/>
              <w:rPr>
                <w:sz w:val="16"/>
                <w:szCs w:val="16"/>
                <w:color w:val="auto"/>
              </w:rPr>
            </w:pPr>
          </w:p>
        </w:tc>
        <w:tc>
          <w:tcPr>
            <w:tcW w:w="800" w:type="dxa"/>
            <w:vAlign w:val="bottom"/>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186"/>
        </w:trPr>
        <w:tc>
          <w:tcPr>
            <w:tcW w:w="6420" w:type="dxa"/>
            <w:vAlign w:val="bottom"/>
          </w:tcPr>
          <w:p>
            <w:pPr>
              <w:spacing w:after="0"/>
              <w:rPr>
                <w:sz w:val="20"/>
                <w:szCs w:val="20"/>
                <w:color w:val="auto"/>
              </w:rPr>
            </w:pPr>
            <w:r>
              <w:rPr>
                <w:rFonts w:ascii="Arial" w:cs="Arial" w:eastAsia="Arial" w:hAnsi="Arial"/>
                <w:sz w:val="14"/>
                <w:szCs w:val="14"/>
                <w:i w:val="1"/>
                <w:iCs w:val="1"/>
                <w:color w:val="auto"/>
              </w:rPr>
              <w:t>The carrying amount of goodwill allocated to the cash generating unit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r>
      <w:tr>
        <w:trPr>
          <w:trHeight w:val="53"/>
        </w:trPr>
        <w:tc>
          <w:tcPr>
            <w:tcW w:w="64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64"/>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Novonix Anode Materials LLC</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15,950,624</w:t>
            </w:r>
          </w:p>
        </w:tc>
        <w:tc>
          <w:tcPr>
            <w:tcW w:w="3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17,411,685</w:t>
            </w:r>
          </w:p>
        </w:tc>
      </w:tr>
      <w:tr>
        <w:trPr>
          <w:trHeight w:val="61"/>
        </w:trPr>
        <w:tc>
          <w:tcPr>
            <w:tcW w:w="64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6420" w:type="dxa"/>
            <w:vAlign w:val="bottom"/>
          </w:tcPr>
          <w:p>
            <w:pPr>
              <w:spacing w:after="0"/>
              <w:rPr>
                <w:sz w:val="20"/>
                <w:szCs w:val="20"/>
                <w:color w:val="auto"/>
              </w:rPr>
            </w:pPr>
            <w:r>
              <w:rPr>
                <w:rFonts w:ascii="Arial" w:cs="Arial" w:eastAsia="Arial" w:hAnsi="Arial"/>
                <w:sz w:val="18"/>
                <w:szCs w:val="18"/>
                <w:color w:val="auto"/>
              </w:rPr>
              <w:t>Total carrying amount of goodwill</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15,950,624</w:t>
            </w:r>
          </w:p>
        </w:tc>
        <w:tc>
          <w:tcPr>
            <w:tcW w:w="380" w:type="dxa"/>
            <w:vAlign w:val="bottom"/>
          </w:tcPr>
          <w:p>
            <w:pPr>
              <w:spacing w:after="0"/>
              <w:rPr>
                <w:sz w:val="23"/>
                <w:szCs w:val="23"/>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17,411,685</w:t>
            </w:r>
          </w:p>
        </w:tc>
      </w:tr>
      <w:tr>
        <w:trPr>
          <w:trHeight w:val="20"/>
        </w:trPr>
        <w:tc>
          <w:tcPr>
            <w:tcW w:w="6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-436880</wp:posOffset>
            </wp:positionV>
            <wp:extent cx="2400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-436880</wp:posOffset>
            </wp:positionV>
            <wp:extent cx="12001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7" w:lineRule="exact"/>
        <w:rPr>
          <w:sz w:val="20"/>
          <w:szCs w:val="20"/>
          <w:color w:val="auto"/>
        </w:rPr>
      </w:pPr>
    </w:p>
    <w:p>
      <w:pPr>
        <w:ind w:left="1300" w:right="1660"/>
        <w:spacing w:after="0" w:line="277" w:lineRule="auto"/>
        <w:rPr>
          <w:sz w:val="20"/>
          <w:szCs w:val="20"/>
          <w:color w:val="auto"/>
        </w:rPr>
      </w:pPr>
      <w:r>
        <w:rPr>
          <w:rFonts w:ascii="Arial" w:cs="Arial" w:eastAsia="Arial" w:hAnsi="Arial"/>
          <w:sz w:val="18"/>
          <w:szCs w:val="18"/>
          <w:color w:val="auto"/>
        </w:rPr>
        <w:t>The recoverable amount of the Novonix Anode Materials LLC cash generating unit (“Novonix Anode Materials CGU”) has been determined on a ‘Fair Value Less Costs to Sell’ (“FVLCS”) basis.</w:t>
      </w:r>
    </w:p>
    <w:p>
      <w:pPr>
        <w:spacing w:after="0" w:line="62" w:lineRule="exact"/>
        <w:rPr>
          <w:sz w:val="20"/>
          <w:szCs w:val="20"/>
          <w:color w:val="auto"/>
        </w:rPr>
      </w:pPr>
    </w:p>
    <w:p>
      <w:pPr>
        <w:ind w:left="1300" w:right="1600"/>
        <w:spacing w:after="0" w:line="263" w:lineRule="auto"/>
        <w:rPr>
          <w:sz w:val="20"/>
          <w:szCs w:val="20"/>
          <w:color w:val="auto"/>
        </w:rPr>
      </w:pPr>
      <w:r>
        <w:rPr>
          <w:rFonts w:ascii="Arial" w:cs="Arial" w:eastAsia="Arial" w:hAnsi="Arial"/>
          <w:sz w:val="18"/>
          <w:szCs w:val="18"/>
          <w:color w:val="auto"/>
        </w:rPr>
        <w:t>To determine the recoverable amount, FVLCS was calculated based on the capital raising outlined in Note 23 (h) given that the capital raising was directly associated with the planned future expansion of the Novonix Anode Materials CGU.</w:t>
      </w:r>
    </w:p>
    <w:p>
      <w:pPr>
        <w:spacing w:after="0" w:line="76" w:lineRule="exact"/>
        <w:rPr>
          <w:sz w:val="20"/>
          <w:szCs w:val="20"/>
          <w:color w:val="auto"/>
        </w:rPr>
      </w:pPr>
    </w:p>
    <w:p>
      <w:pPr>
        <w:ind w:left="1300" w:right="1400"/>
        <w:spacing w:after="0" w:line="277" w:lineRule="auto"/>
        <w:rPr>
          <w:sz w:val="20"/>
          <w:szCs w:val="20"/>
          <w:color w:val="auto"/>
        </w:rPr>
      </w:pPr>
      <w:r>
        <w:rPr>
          <w:rFonts w:ascii="Arial" w:cs="Arial" w:eastAsia="Arial" w:hAnsi="Arial"/>
          <w:sz w:val="18"/>
          <w:szCs w:val="18"/>
          <w:color w:val="auto"/>
        </w:rPr>
        <w:t>The recoverable amount of the Novonix Anode Materials CGU was deemed to be in excess of the carrying value of the CGU, and therefore no impairment has been recognised at 30 June 2021.</w:t>
      </w:r>
    </w:p>
    <w:p>
      <w:pPr>
        <w:spacing w:after="0" w:line="24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Cash and cash equivalents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204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Consolidated</w:t>
            </w:r>
          </w:p>
        </w:tc>
      </w:tr>
      <w:tr>
        <w:trPr>
          <w:trHeight w:val="53"/>
        </w:trPr>
        <w:tc>
          <w:tcPr>
            <w:tcW w:w="63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7"/>
        </w:trPr>
        <w:tc>
          <w:tcPr>
            <w:tcW w:w="6380" w:type="dxa"/>
            <w:vAlign w:val="bottom"/>
          </w:tcPr>
          <w:p>
            <w:pPr>
              <w:spacing w:after="0"/>
              <w:rPr>
                <w:sz w:val="16"/>
                <w:szCs w:val="16"/>
                <w:color w:val="auto"/>
              </w:rPr>
            </w:pPr>
          </w:p>
        </w:tc>
        <w:tc>
          <w:tcPr>
            <w:tcW w:w="900" w:type="dxa"/>
            <w:vAlign w:val="bottom"/>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2020</w:t>
            </w:r>
          </w:p>
        </w:tc>
      </w:tr>
      <w:tr>
        <w:trPr>
          <w:trHeight w:val="186"/>
        </w:trPr>
        <w:tc>
          <w:tcPr>
            <w:tcW w:w="63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r>
      <w:tr>
        <w:trPr>
          <w:trHeight w:val="53"/>
        </w:trPr>
        <w:tc>
          <w:tcPr>
            <w:tcW w:w="63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29"/>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bank</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136,663,976</w:t>
            </w: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38,807,662</w:t>
            </w:r>
          </w:p>
        </w:tc>
      </w:tr>
      <w:tr>
        <w:trPr>
          <w:trHeight w:val="270"/>
        </w:trPr>
        <w:tc>
          <w:tcPr>
            <w:tcW w:w="6380" w:type="dxa"/>
            <w:vAlign w:val="bottom"/>
            <w:tcBorders>
              <w:top w:val="single" w:sz="8" w:color="CCEEFF"/>
            </w:tcBorders>
          </w:tcPr>
          <w:p>
            <w:pPr>
              <w:spacing w:after="0"/>
              <w:rPr>
                <w:sz w:val="23"/>
                <w:szCs w:val="23"/>
                <w:color w:val="auto"/>
              </w:rPr>
            </w:pPr>
          </w:p>
        </w:tc>
        <w:tc>
          <w:tcPr>
            <w:tcW w:w="90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8"/>
                <w:szCs w:val="18"/>
                <w:color w:val="auto"/>
                <w:w w:val="89"/>
              </w:rPr>
              <w:t>136,663,976</w:t>
            </w:r>
          </w:p>
        </w:tc>
        <w:tc>
          <w:tcPr>
            <w:tcW w:w="320" w:type="dxa"/>
            <w:vAlign w:val="bottom"/>
            <w:tcBorders>
              <w:top w:val="single" w:sz="8" w:color="CCEEFF"/>
            </w:tcBorders>
          </w:tcPr>
          <w:p>
            <w:pPr>
              <w:spacing w:after="0"/>
              <w:rPr>
                <w:sz w:val="23"/>
                <w:szCs w:val="23"/>
                <w:color w:val="auto"/>
              </w:rPr>
            </w:pPr>
          </w:p>
        </w:tc>
        <w:tc>
          <w:tcPr>
            <w:tcW w:w="82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8"/>
                <w:szCs w:val="18"/>
                <w:color w:val="auto"/>
                <w:w w:val="90"/>
              </w:rPr>
              <w:t>38,807,662</w:t>
            </w:r>
          </w:p>
        </w:tc>
      </w:tr>
      <w:tr>
        <w:trPr>
          <w:trHeight w:val="21"/>
        </w:trPr>
        <w:tc>
          <w:tcPr>
            <w:tcW w:w="6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-436245</wp:posOffset>
            </wp:positionV>
            <wp:extent cx="2057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-436245</wp:posOffset>
            </wp:positionV>
            <wp:extent cx="1028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Reconciliation to cash flow statement</w:t>
      </w:r>
    </w:p>
    <w:p>
      <w:pPr>
        <w:spacing w:after="0" w:line="117" w:lineRule="exact"/>
        <w:rPr>
          <w:sz w:val="20"/>
          <w:szCs w:val="20"/>
          <w:color w:val="auto"/>
        </w:rPr>
      </w:pPr>
    </w:p>
    <w:p>
      <w:pPr>
        <w:ind w:left="1300" w:right="1540"/>
        <w:spacing w:after="0" w:line="277" w:lineRule="auto"/>
        <w:rPr>
          <w:sz w:val="20"/>
          <w:szCs w:val="20"/>
          <w:color w:val="auto"/>
        </w:rPr>
      </w:pPr>
      <w:r>
        <w:rPr>
          <w:rFonts w:ascii="Arial" w:cs="Arial" w:eastAsia="Arial" w:hAnsi="Arial"/>
          <w:sz w:val="18"/>
          <w:szCs w:val="18"/>
          <w:color w:val="auto"/>
        </w:rPr>
        <w:t>The above figures reconcile to the amount of cash shown in the statement of cash flows at the end of the financial year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9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6"/>
        </w:trPr>
        <w:tc>
          <w:tcPr>
            <w:tcW w:w="13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9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300" w:type="dxa"/>
            <w:vAlign w:val="bottom"/>
            <w:tcBorders>
              <w:bottom w:val="single" w:sz="8" w:color="CCEEFF"/>
            </w:tcBorders>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above</w:t>
            </w:r>
          </w:p>
        </w:tc>
        <w:tc>
          <w:tcPr>
            <w:tcW w:w="3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136,663,976</w:t>
            </w: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38,807,662</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Bank overdrafts</w:t>
            </w:r>
          </w:p>
        </w:tc>
        <w:tc>
          <w:tcPr>
            <w:tcW w:w="3080" w:type="dxa"/>
            <w:vAlign w:val="bottom"/>
          </w:tcPr>
          <w:p>
            <w:pPr>
              <w:spacing w:after="0"/>
              <w:rPr>
                <w:sz w:val="22"/>
                <w:szCs w:val="22"/>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120" w:type="dxa"/>
            <w:vAlign w:val="bottom"/>
            <w:gridSpan w:val="3"/>
          </w:tcPr>
          <w:p>
            <w:pPr>
              <w:ind w:left="620"/>
              <w:spacing w:after="0"/>
              <w:rPr>
                <w:sz w:val="20"/>
                <w:szCs w:val="20"/>
                <w:color w:val="auto"/>
              </w:rPr>
            </w:pPr>
            <w:r>
              <w:rPr>
                <w:rFonts w:ascii="Arial" w:cs="Arial" w:eastAsia="Arial" w:hAnsi="Arial"/>
                <w:sz w:val="18"/>
                <w:szCs w:val="18"/>
                <w:color w:val="auto"/>
              </w:rPr>
              <w:t>—</w:t>
            </w:r>
          </w:p>
        </w:tc>
      </w:tr>
      <w:tr>
        <w:trPr>
          <w:trHeight w:val="61"/>
        </w:trPr>
        <w:tc>
          <w:tcPr>
            <w:tcW w:w="130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08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per statement of cash flows</w:t>
            </w:r>
          </w:p>
        </w:tc>
        <w:tc>
          <w:tcPr>
            <w:tcW w:w="3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136,663,976</w:t>
            </w:r>
          </w:p>
        </w:tc>
        <w:tc>
          <w:tcPr>
            <w:tcW w:w="3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38,807,662</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ind w:left="740"/>
              <w:spacing w:after="0"/>
              <w:rPr>
                <w:sz w:val="20"/>
                <w:szCs w:val="20"/>
                <w:color w:val="auto"/>
              </w:rPr>
            </w:pPr>
            <w:r>
              <w:rPr>
                <w:rFonts w:ascii="Arial" w:cs="Arial" w:eastAsia="Arial" w:hAnsi="Arial"/>
                <w:sz w:val="18"/>
                <w:szCs w:val="18"/>
                <w:color w:val="auto"/>
              </w:rPr>
              <w:t>F-25</w:t>
            </w:r>
          </w:p>
        </w:tc>
        <w:tc>
          <w:tcPr>
            <w:tcW w:w="900" w:type="dxa"/>
            <w:vAlign w:val="bottom"/>
            <w:tcBorders>
              <w:top w:val="single" w:sz="8" w:color="auto"/>
            </w:tcBorders>
            <w:gridSpan w:val="2"/>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-1053465</wp:posOffset>
            </wp:positionV>
            <wp:extent cx="20574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-1053465</wp:posOffset>
            </wp:positionV>
            <wp:extent cx="1028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Trade and other receivables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920" w:type="dxa"/>
            <w:vAlign w:val="bottom"/>
            <w:gridSpan w:val="3"/>
          </w:tcPr>
          <w:p>
            <w:pPr>
              <w:jc w:val="right"/>
              <w:ind w:right="477"/>
              <w:spacing w:after="0"/>
              <w:rPr>
                <w:sz w:val="20"/>
                <w:szCs w:val="20"/>
                <w:color w:val="auto"/>
              </w:rPr>
            </w:pPr>
            <w:r>
              <w:rPr>
                <w:rFonts w:ascii="Arial" w:cs="Arial" w:eastAsia="Arial" w:hAnsi="Arial"/>
                <w:sz w:val="14"/>
                <w:szCs w:val="14"/>
                <w:b w:val="1"/>
                <w:bCs w:val="1"/>
                <w:color w:val="auto"/>
              </w:rPr>
              <w:t>Consolidated</w:t>
            </w:r>
          </w:p>
        </w:tc>
      </w:tr>
      <w:tr>
        <w:trPr>
          <w:trHeight w:val="53"/>
        </w:trPr>
        <w:tc>
          <w:tcPr>
            <w:tcW w:w="65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7"/>
        </w:trPr>
        <w:tc>
          <w:tcPr>
            <w:tcW w:w="650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740" w:type="dxa"/>
            <w:vAlign w:val="bottom"/>
          </w:tcPr>
          <w:p>
            <w:pPr>
              <w:jc w:val="right"/>
              <w:ind w:right="157"/>
              <w:spacing w:after="0"/>
              <w:rPr>
                <w:sz w:val="20"/>
                <w:szCs w:val="20"/>
                <w:color w:val="auto"/>
              </w:rPr>
            </w:pPr>
            <w:r>
              <w:rPr>
                <w:rFonts w:ascii="Arial" w:cs="Arial" w:eastAsia="Arial" w:hAnsi="Arial"/>
                <w:sz w:val="14"/>
                <w:szCs w:val="14"/>
                <w:b w:val="1"/>
                <w:bCs w:val="1"/>
                <w:color w:val="auto"/>
              </w:rPr>
              <w:t>2020</w:t>
            </w:r>
          </w:p>
        </w:tc>
      </w:tr>
      <w:tr>
        <w:trPr>
          <w:trHeight w:val="186"/>
        </w:trPr>
        <w:tc>
          <w:tcPr>
            <w:tcW w:w="65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r>
      <w:tr>
        <w:trPr>
          <w:trHeight w:val="53"/>
        </w:trPr>
        <w:tc>
          <w:tcPr>
            <w:tcW w:w="65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11"/>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debtors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1,533,963</w:t>
            </w: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952,881</w:t>
            </w: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rPr>
              <w:t>Other receivables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509,000</w:t>
            </w:r>
          </w:p>
        </w:tc>
        <w:tc>
          <w:tcPr>
            <w:tcW w:w="46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274,911</w:t>
            </w:r>
          </w:p>
        </w:tc>
      </w:tr>
      <w:tr>
        <w:trPr>
          <w:trHeight w:val="61"/>
        </w:trPr>
        <w:tc>
          <w:tcPr>
            <w:tcW w:w="6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91"/>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trade and other receivables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2,042,963</w:t>
            </w:r>
          </w:p>
        </w:tc>
        <w:tc>
          <w:tcPr>
            <w:tcW w:w="46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1,227,792</w:t>
            </w:r>
          </w:p>
        </w:tc>
      </w:tr>
      <w:tr>
        <w:trPr>
          <w:trHeight w:val="27"/>
        </w:trPr>
        <w:tc>
          <w:tcPr>
            <w:tcW w:w="65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-650875</wp:posOffset>
            </wp:positionV>
            <wp:extent cx="2914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-650875</wp:posOffset>
            </wp:positionV>
            <wp:extent cx="1460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300" w:right="639"/>
        <w:spacing w:after="0" w:line="263" w:lineRule="auto"/>
        <w:rPr>
          <w:sz w:val="20"/>
          <w:szCs w:val="20"/>
          <w:color w:val="auto"/>
        </w:rPr>
      </w:pPr>
      <w:r>
        <w:rPr>
          <w:rFonts w:ascii="Arial" w:cs="Arial" w:eastAsia="Arial" w:hAnsi="Arial"/>
          <w:sz w:val="18"/>
          <w:szCs w:val="18"/>
          <w:color w:val="auto"/>
        </w:rPr>
        <w:t>The Group has no significant concentration of credit risk with respect to any counterparties or on a geographical basis. Amounts are considered as “past due” when the debt has not been settled, in line with the terms and conditions agreed between the Group and the customer to the transaction.</w:t>
      </w:r>
    </w:p>
    <w:p>
      <w:pPr>
        <w:spacing w:after="0" w:line="76" w:lineRule="exact"/>
        <w:rPr>
          <w:sz w:val="20"/>
          <w:szCs w:val="20"/>
          <w:color w:val="auto"/>
        </w:rPr>
      </w:pPr>
    </w:p>
    <w:p>
      <w:pPr>
        <w:ind w:left="300" w:right="599"/>
        <w:spacing w:after="0" w:line="259" w:lineRule="auto"/>
        <w:rPr>
          <w:sz w:val="20"/>
          <w:szCs w:val="20"/>
          <w:color w:val="auto"/>
        </w:rPr>
      </w:pPr>
      <w:r>
        <w:rPr>
          <w:rFonts w:ascii="Arial" w:cs="Arial" w:eastAsia="Arial" w:hAnsi="Arial"/>
          <w:sz w:val="18"/>
          <w:szCs w:val="18"/>
          <w:color w:val="auto"/>
        </w:rPr>
        <w:t>The Group assess impairment on trade and other receivables using the simplified approach of the expected credit loss (ECL) model under AASB 9. Due to the minimal history of bad debt write-offs and strong credit approval processes, the Group have determined that the incorporation of the ECL model will not have a material effect on impairment as at 30 June 2021.</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balance of receivables that remain within initial trade terms are considered to be of high credit quality.</w:t>
      </w:r>
    </w:p>
    <w:p>
      <w:pPr>
        <w:spacing w:after="0" w:line="381"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Prepayments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840" w:type="dxa"/>
            <w:vAlign w:val="bottom"/>
            <w:gridSpan w:val="3"/>
          </w:tcPr>
          <w:p>
            <w:pPr>
              <w:jc w:val="right"/>
              <w:ind w:right="437"/>
              <w:spacing w:after="0"/>
              <w:rPr>
                <w:sz w:val="20"/>
                <w:szCs w:val="20"/>
                <w:color w:val="auto"/>
              </w:rPr>
            </w:pPr>
            <w:r>
              <w:rPr>
                <w:rFonts w:ascii="Arial" w:cs="Arial" w:eastAsia="Arial" w:hAnsi="Arial"/>
                <w:sz w:val="14"/>
                <w:szCs w:val="14"/>
                <w:b w:val="1"/>
                <w:bCs w:val="1"/>
                <w:color w:val="auto"/>
              </w:rPr>
              <w:t>Consolidated</w:t>
            </w:r>
          </w:p>
        </w:tc>
      </w:tr>
      <w:tr>
        <w:trPr>
          <w:trHeight w:val="53"/>
        </w:trPr>
        <w:tc>
          <w:tcPr>
            <w:tcW w:w="65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87"/>
        </w:trPr>
        <w:tc>
          <w:tcPr>
            <w:tcW w:w="6580" w:type="dxa"/>
            <w:vAlign w:val="bottom"/>
          </w:tcPr>
          <w:p>
            <w:pPr>
              <w:spacing w:after="0"/>
              <w:rPr>
                <w:sz w:val="16"/>
                <w:szCs w:val="16"/>
                <w:color w:val="auto"/>
              </w:rPr>
            </w:pPr>
          </w:p>
        </w:tc>
        <w:tc>
          <w:tcPr>
            <w:tcW w:w="720" w:type="dxa"/>
            <w:vAlign w:val="bottom"/>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600" w:type="dxa"/>
            <w:vAlign w:val="bottom"/>
          </w:tcPr>
          <w:p>
            <w:pPr>
              <w:jc w:val="right"/>
              <w:ind w:right="97"/>
              <w:spacing w:after="0"/>
              <w:rPr>
                <w:sz w:val="20"/>
                <w:szCs w:val="20"/>
                <w:color w:val="auto"/>
              </w:rPr>
            </w:pPr>
            <w:r>
              <w:rPr>
                <w:rFonts w:ascii="Arial" w:cs="Arial" w:eastAsia="Arial" w:hAnsi="Arial"/>
                <w:sz w:val="14"/>
                <w:szCs w:val="14"/>
                <w:b w:val="1"/>
                <w:bCs w:val="1"/>
                <w:color w:val="auto"/>
              </w:rPr>
              <w:t>2020</w:t>
            </w:r>
          </w:p>
        </w:tc>
      </w:tr>
      <w:tr>
        <w:trPr>
          <w:trHeight w:val="186"/>
        </w:trPr>
        <w:tc>
          <w:tcPr>
            <w:tcW w:w="658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r>
      <w:tr>
        <w:trPr>
          <w:trHeight w:val="53"/>
        </w:trPr>
        <w:tc>
          <w:tcPr>
            <w:tcW w:w="65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share issuance costs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2,174,347</w:t>
            </w:r>
          </w:p>
        </w:tc>
        <w:tc>
          <w:tcPr>
            <w:tcW w:w="5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Prepaid general and administrative expenses</w:t>
            </w:r>
          </w:p>
        </w:tc>
        <w:tc>
          <w:tcPr>
            <w:tcW w:w="720" w:type="dxa"/>
            <w:vAlign w:val="bottom"/>
          </w:tcPr>
          <w:p>
            <w:pPr>
              <w:jc w:val="right"/>
              <w:spacing w:after="0"/>
              <w:rPr>
                <w:sz w:val="20"/>
                <w:szCs w:val="20"/>
                <w:color w:val="auto"/>
              </w:rPr>
            </w:pPr>
            <w:r>
              <w:rPr>
                <w:rFonts w:ascii="Arial" w:cs="Arial" w:eastAsia="Arial" w:hAnsi="Arial"/>
                <w:sz w:val="18"/>
                <w:szCs w:val="18"/>
                <w:color w:val="auto"/>
              </w:rPr>
              <w:t>362,860</w:t>
            </w:r>
          </w:p>
        </w:tc>
        <w:tc>
          <w:tcPr>
            <w:tcW w:w="5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152,434</w:t>
            </w:r>
          </w:p>
        </w:tc>
      </w:tr>
      <w:tr>
        <w:trPr>
          <w:trHeight w:val="48"/>
        </w:trPr>
        <w:tc>
          <w:tcPr>
            <w:tcW w:w="65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r>
      <w:tr>
        <w:trPr>
          <w:trHeight w:val="291"/>
        </w:trPr>
        <w:tc>
          <w:tcPr>
            <w:tcW w:w="65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2,538,207</w:t>
            </w:r>
          </w:p>
        </w:tc>
        <w:tc>
          <w:tcPr>
            <w:tcW w:w="52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152,434</w:t>
            </w:r>
          </w:p>
        </w:tc>
      </w:tr>
      <w:tr>
        <w:trPr>
          <w:trHeight w:val="27"/>
        </w:trPr>
        <w:tc>
          <w:tcPr>
            <w:tcW w:w="65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-650875</wp:posOffset>
            </wp:positionV>
            <wp:extent cx="3257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-650875</wp:posOffset>
            </wp:positionV>
            <wp:extent cx="1625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74" w:lineRule="exact"/>
        <w:rPr>
          <w:sz w:val="20"/>
          <w:szCs w:val="20"/>
          <w:color w:val="auto"/>
        </w:rPr>
      </w:pPr>
    </w:p>
    <w:p>
      <w:pPr>
        <w:jc w:val="both"/>
        <w:ind w:left="300" w:right="379"/>
        <w:spacing w:after="0" w:line="257" w:lineRule="auto"/>
        <w:rPr>
          <w:sz w:val="20"/>
          <w:szCs w:val="20"/>
          <w:color w:val="auto"/>
        </w:rPr>
      </w:pPr>
      <w:r>
        <w:rPr>
          <w:rFonts w:ascii="Arial" w:cs="Arial" w:eastAsia="Arial" w:hAnsi="Arial"/>
          <w:sz w:val="18"/>
          <w:szCs w:val="18"/>
          <w:color w:val="auto"/>
        </w:rPr>
        <w:t>Deferred share issuance costs, which consist primarily of direct and incremental legal and advisory fees related to the Company’s proposed NASDAQ listing, are capitalised in prepayments on the consolidated balance sheet as at 30 June 2021. The deferred share issuance costs will be offset against the IPO proceeds upon the consummation of an IPO. In the event the planned IPO is terminated or a decision is made to not raise any proceeds from the IPO, the deferred share issuance costs will be expensed.</w:t>
      </w:r>
    </w:p>
    <w:p>
      <w:pPr>
        <w:spacing w:after="0" w:line="346"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Inventory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9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Consolidated</w:t>
            </w:r>
          </w:p>
        </w:tc>
      </w:tr>
      <w:tr>
        <w:trPr>
          <w:trHeight w:val="52"/>
        </w:trPr>
        <w:tc>
          <w:tcPr>
            <w:tcW w:w="65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5"/>
        </w:trPr>
        <w:tc>
          <w:tcPr>
            <w:tcW w:w="6500" w:type="dxa"/>
            <w:vAlign w:val="bottom"/>
          </w:tcPr>
          <w:p>
            <w:pPr>
              <w:spacing w:after="0"/>
              <w:rPr>
                <w:sz w:val="19"/>
                <w:szCs w:val="19"/>
                <w:color w:val="auto"/>
              </w:rPr>
            </w:pPr>
          </w:p>
        </w:tc>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rPr>
              <w:t>2021 $</w:t>
            </w:r>
          </w:p>
        </w:tc>
        <w:tc>
          <w:tcPr>
            <w:tcW w:w="460" w:type="dxa"/>
            <w:vAlign w:val="bottom"/>
          </w:tcPr>
          <w:p>
            <w:pPr>
              <w:spacing w:after="0"/>
              <w:rPr>
                <w:sz w:val="19"/>
                <w:szCs w:val="19"/>
                <w:color w:val="auto"/>
              </w:rPr>
            </w:pPr>
          </w:p>
        </w:tc>
        <w:tc>
          <w:tcPr>
            <w:tcW w:w="720" w:type="dxa"/>
            <w:vAlign w:val="bottom"/>
          </w:tcPr>
          <w:p>
            <w:pPr>
              <w:jc w:val="right"/>
              <w:ind w:right="74"/>
              <w:spacing w:after="0"/>
              <w:rPr>
                <w:sz w:val="20"/>
                <w:szCs w:val="20"/>
                <w:color w:val="auto"/>
              </w:rPr>
            </w:pPr>
            <w:r>
              <w:rPr>
                <w:rFonts w:ascii="Arial" w:cs="Arial" w:eastAsia="Arial" w:hAnsi="Arial"/>
                <w:sz w:val="14"/>
                <w:szCs w:val="14"/>
                <w:b w:val="1"/>
                <w:bCs w:val="1"/>
                <w:color w:val="auto"/>
              </w:rPr>
              <w:t>2020 $</w:t>
            </w:r>
          </w:p>
        </w:tc>
        <w:tc>
          <w:tcPr>
            <w:tcW w:w="20" w:type="dxa"/>
            <w:vAlign w:val="bottom"/>
          </w:tcPr>
          <w:p>
            <w:pPr>
              <w:spacing w:after="0"/>
              <w:rPr>
                <w:sz w:val="19"/>
                <w:szCs w:val="19"/>
                <w:color w:val="auto"/>
              </w:rPr>
            </w:pPr>
          </w:p>
        </w:tc>
      </w:tr>
      <w:tr>
        <w:trPr>
          <w:trHeight w:val="53"/>
        </w:trPr>
        <w:tc>
          <w:tcPr>
            <w:tcW w:w="65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1,162,142</w:t>
            </w: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759,693</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Components and assemblies</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1,618,231</w:t>
            </w:r>
          </w:p>
        </w:tc>
        <w:tc>
          <w:tcPr>
            <w:tcW w:w="46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584,090</w:t>
            </w:r>
          </w:p>
        </w:tc>
      </w:tr>
      <w:tr>
        <w:trPr>
          <w:trHeight w:val="54"/>
        </w:trPr>
        <w:tc>
          <w:tcPr>
            <w:tcW w:w="6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 at cost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23,202</w:t>
            </w:r>
          </w:p>
        </w:tc>
        <w:tc>
          <w:tcPr>
            <w:tcW w:w="20" w:type="dxa"/>
            <w:vAlign w:val="bottom"/>
            <w:shd w:val="clear" w:color="auto" w:fill="CCEEFF"/>
          </w:tcPr>
          <w:p>
            <w:pPr>
              <w:spacing w:after="0"/>
              <w:rPr>
                <w:sz w:val="22"/>
                <w:szCs w:val="22"/>
                <w:color w:val="auto"/>
              </w:rPr>
            </w:pPr>
          </w:p>
        </w:tc>
      </w:tr>
      <w:tr>
        <w:trPr>
          <w:trHeight w:val="61"/>
        </w:trPr>
        <w:tc>
          <w:tcPr>
            <w:tcW w:w="65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6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2,780,373</w:t>
            </w:r>
          </w:p>
        </w:tc>
        <w:tc>
          <w:tcPr>
            <w:tcW w:w="46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1,366,985</w:t>
            </w:r>
          </w:p>
        </w:tc>
      </w:tr>
      <w:tr>
        <w:trPr>
          <w:trHeight w:val="20"/>
        </w:trPr>
        <w:tc>
          <w:tcPr>
            <w:tcW w:w="6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-847725</wp:posOffset>
            </wp:positionV>
            <wp:extent cx="2914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-847725</wp:posOffset>
            </wp:positionV>
            <wp:extent cx="1460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Amounts recognised in profit or loss</w:t>
      </w:r>
    </w:p>
    <w:p>
      <w:pPr>
        <w:spacing w:after="0" w:line="121"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Inventories recognised as an expense during the year ended 30 June 2021 amounts to $969,774 (2020: $1,245,187). These were included in cost of goods sold (exclusive of depreciation presented separately) in the consolidated statement of profit or loss and other comprehensive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Property, plant and equipment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Leasehold</w:t>
            </w:r>
          </w:p>
        </w:tc>
        <w:tc>
          <w:tcPr>
            <w:tcW w:w="12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Plant and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89"/>
              </w:rPr>
              <w:t>Construction</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5"/>
              </w:rPr>
              <w:t>Land</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Buildings</w:t>
            </w: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work in</w:t>
            </w:r>
          </w:p>
        </w:tc>
        <w:tc>
          <w:tcPr>
            <w:tcW w:w="100" w:type="dxa"/>
            <w:vAlign w:val="bottom"/>
          </w:tcPr>
          <w:p>
            <w:pPr>
              <w:spacing w:after="0"/>
              <w:rPr>
                <w:sz w:val="12"/>
                <w:szCs w:val="12"/>
                <w:color w:val="auto"/>
              </w:rPr>
            </w:pPr>
          </w:p>
        </w:tc>
        <w:tc>
          <w:tcPr>
            <w:tcW w:w="2180" w:type="dxa"/>
            <w:vAlign w:val="bottom"/>
            <w:gridSpan w:val="3"/>
            <w:vMerge w:val="restart"/>
          </w:tcPr>
          <w:p>
            <w:pPr>
              <w:jc w:val="center"/>
              <w:ind w:right="1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improvements</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equipment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progress</w:t>
            </w:r>
          </w:p>
        </w:tc>
        <w:tc>
          <w:tcPr>
            <w:tcW w:w="10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76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4"/>
          </w:tcPr>
          <w:p>
            <w:pPr>
              <w:jc w:val="center"/>
              <w:ind w:left="35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30 June 2019</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Cost</w:t>
            </w:r>
          </w:p>
        </w:tc>
        <w:tc>
          <w:tcPr>
            <w:tcW w:w="780" w:type="dxa"/>
            <w:vAlign w:val="bottom"/>
            <w:gridSpan w:val="2"/>
          </w:tcPr>
          <w:p>
            <w:pPr>
              <w:jc w:val="right"/>
              <w:ind w:right="34"/>
              <w:spacing w:after="0"/>
              <w:rPr>
                <w:sz w:val="20"/>
                <w:szCs w:val="20"/>
                <w:color w:val="auto"/>
              </w:rPr>
            </w:pPr>
            <w:r>
              <w:rPr>
                <w:rFonts w:ascii="Arial" w:cs="Arial" w:eastAsia="Arial" w:hAnsi="Arial"/>
                <w:sz w:val="18"/>
                <w:szCs w:val="18"/>
                <w:color w:val="auto"/>
                <w:w w:val="98"/>
              </w:rPr>
              <w:t>380,251</w:t>
            </w:r>
          </w:p>
        </w:tc>
        <w:tc>
          <w:tcPr>
            <w:tcW w:w="900" w:type="dxa"/>
            <w:vAlign w:val="bottom"/>
            <w:gridSpan w:val="2"/>
          </w:tcPr>
          <w:p>
            <w:pPr>
              <w:jc w:val="right"/>
              <w:ind w:right="17"/>
              <w:spacing w:after="0"/>
              <w:rPr>
                <w:sz w:val="20"/>
                <w:szCs w:val="20"/>
                <w:color w:val="auto"/>
              </w:rPr>
            </w:pPr>
            <w:r>
              <w:rPr>
                <w:rFonts w:ascii="Arial" w:cs="Arial" w:eastAsia="Arial" w:hAnsi="Arial"/>
                <w:sz w:val="18"/>
                <w:szCs w:val="18"/>
                <w:color w:val="auto"/>
                <w:w w:val="97"/>
              </w:rPr>
              <w:t>1,762,019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4,437,493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6,579,763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8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(87,299)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(507,947)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(595,246)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78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Net book amount</w:t>
            </w:r>
          </w:p>
        </w:tc>
        <w:tc>
          <w:tcPr>
            <w:tcW w:w="780" w:type="dxa"/>
            <w:vAlign w:val="bottom"/>
            <w:gridSpan w:val="2"/>
          </w:tcPr>
          <w:p>
            <w:pPr>
              <w:jc w:val="right"/>
              <w:ind w:right="34"/>
              <w:spacing w:after="0"/>
              <w:rPr>
                <w:sz w:val="20"/>
                <w:szCs w:val="20"/>
                <w:color w:val="auto"/>
              </w:rPr>
            </w:pPr>
            <w:r>
              <w:rPr>
                <w:rFonts w:ascii="Arial" w:cs="Arial" w:eastAsia="Arial" w:hAnsi="Arial"/>
                <w:sz w:val="18"/>
                <w:szCs w:val="18"/>
                <w:color w:val="auto"/>
                <w:w w:val="98"/>
              </w:rPr>
              <w:t>380,251</w:t>
            </w:r>
          </w:p>
        </w:tc>
        <w:tc>
          <w:tcPr>
            <w:tcW w:w="900" w:type="dxa"/>
            <w:vAlign w:val="bottom"/>
            <w:gridSpan w:val="2"/>
          </w:tcPr>
          <w:p>
            <w:pPr>
              <w:jc w:val="right"/>
              <w:ind w:right="17"/>
              <w:spacing w:after="0"/>
              <w:rPr>
                <w:sz w:val="20"/>
                <w:szCs w:val="20"/>
                <w:color w:val="auto"/>
              </w:rPr>
            </w:pPr>
            <w:r>
              <w:rPr>
                <w:rFonts w:ascii="Arial" w:cs="Arial" w:eastAsia="Arial" w:hAnsi="Arial"/>
                <w:sz w:val="18"/>
                <w:szCs w:val="18"/>
                <w:color w:val="auto"/>
                <w:w w:val="97"/>
              </w:rPr>
              <w:t>1,674,720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3,929,546</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5,984,517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Year ended 30 June 2020</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net book amount</w:t>
            </w:r>
          </w:p>
        </w:tc>
        <w:tc>
          <w:tcPr>
            <w:tcW w:w="780" w:type="dxa"/>
            <w:vAlign w:val="bottom"/>
            <w:tcBorders>
              <w:bottom w:val="single" w:sz="8" w:color="CCEEFF"/>
              <w:right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w w:val="98"/>
              </w:rPr>
              <w:t>380,251</w:t>
            </w:r>
          </w:p>
        </w:tc>
        <w:tc>
          <w:tcPr>
            <w:tcW w:w="900" w:type="dxa"/>
            <w:vAlign w:val="bottom"/>
            <w:tcBorders>
              <w:bottom w:val="single" w:sz="8" w:color="CCEEFF"/>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7"/>
              </w:rPr>
              <w:t>1,674,720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3,929,546</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5,984,517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Additions</w:t>
            </w:r>
          </w:p>
        </w:tc>
        <w:tc>
          <w:tcPr>
            <w:tcW w:w="80" w:type="dxa"/>
            <w:vAlign w:val="bottom"/>
          </w:tcPr>
          <w:p>
            <w:pPr>
              <w:spacing w:after="0"/>
              <w:rPr>
                <w:sz w:val="23"/>
                <w:szCs w:val="23"/>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7"/>
              <w:spacing w:after="0"/>
              <w:rPr>
                <w:sz w:val="20"/>
                <w:szCs w:val="20"/>
                <w:color w:val="auto"/>
              </w:rPr>
            </w:pPr>
            <w:r>
              <w:rPr>
                <w:rFonts w:ascii="Arial" w:cs="Arial" w:eastAsia="Arial" w:hAnsi="Arial"/>
                <w:sz w:val="18"/>
                <w:szCs w:val="18"/>
                <w:color w:val="auto"/>
              </w:rPr>
              <w:t>93,127</w:t>
            </w: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195,082</w:t>
            </w:r>
          </w:p>
        </w:tc>
        <w:tc>
          <w:tcPr>
            <w:tcW w:w="120" w:type="dxa"/>
            <w:vAlign w:val="bottom"/>
          </w:tcPr>
          <w:p>
            <w:pPr>
              <w:spacing w:after="0"/>
              <w:rPr>
                <w:sz w:val="23"/>
                <w:szCs w:val="23"/>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4,451,587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4,739,796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written off</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(210,773)</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(210,773)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Depreciation charge</w:t>
            </w:r>
          </w:p>
        </w:tc>
        <w:tc>
          <w:tcPr>
            <w:tcW w:w="80" w:type="dxa"/>
            <w:vAlign w:val="bottom"/>
          </w:tcPr>
          <w:p>
            <w:pPr>
              <w:spacing w:after="0"/>
              <w:rPr>
                <w:sz w:val="23"/>
                <w:szCs w:val="23"/>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(72,028)</w:t>
            </w:r>
          </w:p>
        </w:tc>
        <w:tc>
          <w:tcPr>
            <w:tcW w:w="100" w:type="dxa"/>
            <w:vAlign w:val="bottom"/>
          </w:tcPr>
          <w:p>
            <w:pPr>
              <w:spacing w:after="0"/>
              <w:rPr>
                <w:sz w:val="23"/>
                <w:szCs w:val="23"/>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(31,320)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(829,440)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(932,788)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(29,018)</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75,523</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78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Closing net book amount</w:t>
            </w:r>
          </w:p>
        </w:tc>
        <w:tc>
          <w:tcPr>
            <w:tcW w:w="780" w:type="dxa"/>
            <w:vAlign w:val="bottom"/>
            <w:gridSpan w:val="2"/>
          </w:tcPr>
          <w:p>
            <w:pPr>
              <w:jc w:val="right"/>
              <w:ind w:right="34"/>
              <w:spacing w:after="0"/>
              <w:rPr>
                <w:sz w:val="20"/>
                <w:szCs w:val="20"/>
                <w:color w:val="auto"/>
              </w:rPr>
            </w:pPr>
            <w:r>
              <w:rPr>
                <w:rFonts w:ascii="Arial" w:cs="Arial" w:eastAsia="Arial" w:hAnsi="Arial"/>
                <w:sz w:val="18"/>
                <w:szCs w:val="18"/>
                <w:color w:val="auto"/>
                <w:w w:val="98"/>
              </w:rPr>
              <w:t>372,995</w:t>
            </w:r>
          </w:p>
        </w:tc>
        <w:tc>
          <w:tcPr>
            <w:tcW w:w="900" w:type="dxa"/>
            <w:vAlign w:val="bottom"/>
            <w:gridSpan w:val="2"/>
          </w:tcPr>
          <w:p>
            <w:pPr>
              <w:jc w:val="right"/>
              <w:ind w:right="17"/>
              <w:spacing w:after="0"/>
              <w:rPr>
                <w:sz w:val="20"/>
                <w:szCs w:val="20"/>
                <w:color w:val="auto"/>
              </w:rPr>
            </w:pPr>
            <w:r>
              <w:rPr>
                <w:rFonts w:ascii="Arial" w:cs="Arial" w:eastAsia="Arial" w:hAnsi="Arial"/>
                <w:sz w:val="18"/>
                <w:szCs w:val="18"/>
                <w:color w:val="auto"/>
                <w:w w:val="97"/>
              </w:rPr>
              <w:t>1,666,801</w:t>
            </w: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164,558</w:t>
            </w:r>
          </w:p>
        </w:tc>
        <w:tc>
          <w:tcPr>
            <w:tcW w:w="120" w:type="dxa"/>
            <w:vAlign w:val="bottom"/>
          </w:tcPr>
          <w:p>
            <w:pPr>
              <w:spacing w:after="0"/>
              <w:rPr>
                <w:sz w:val="23"/>
                <w:szCs w:val="23"/>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7,416,443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9,620,797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At 30 June 2020</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780" w:type="dxa"/>
            <w:vAlign w:val="bottom"/>
            <w:tcBorders>
              <w:bottom w:val="single" w:sz="8" w:color="CCEEFF"/>
              <w:right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w w:val="98"/>
              </w:rPr>
              <w:t>372,995</w:t>
            </w:r>
          </w:p>
        </w:tc>
        <w:tc>
          <w:tcPr>
            <w:tcW w:w="900" w:type="dxa"/>
            <w:vAlign w:val="bottom"/>
            <w:tcBorders>
              <w:bottom w:val="single" w:sz="8" w:color="CCEEFF"/>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7"/>
              </w:rPr>
              <w:t>1,821,526</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195,082</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8,579,868</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10,969,471</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80" w:type="dxa"/>
            <w:vAlign w:val="bottom"/>
          </w:tcPr>
          <w:p>
            <w:pPr>
              <w:spacing w:after="0"/>
              <w:rPr>
                <w:sz w:val="22"/>
                <w:szCs w:val="22"/>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(154,725)</w:t>
            </w:r>
          </w:p>
        </w:tc>
        <w:tc>
          <w:tcPr>
            <w:tcW w:w="100" w:type="dxa"/>
            <w:vAlign w:val="bottom"/>
          </w:tcPr>
          <w:p>
            <w:pPr>
              <w:spacing w:after="0"/>
              <w:rPr>
                <w:sz w:val="22"/>
                <w:szCs w:val="22"/>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(30,524)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(1,163,425)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(1,348,674)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book amount</w:t>
            </w:r>
          </w:p>
        </w:tc>
        <w:tc>
          <w:tcPr>
            <w:tcW w:w="780" w:type="dxa"/>
            <w:vAlign w:val="bottom"/>
            <w:tcBorders>
              <w:right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w w:val="98"/>
              </w:rPr>
              <w:t>372,995</w:t>
            </w:r>
          </w:p>
        </w:tc>
        <w:tc>
          <w:tcPr>
            <w:tcW w:w="900" w:type="dxa"/>
            <w:vAlign w:val="bottom"/>
            <w:tcBorders>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7"/>
              </w:rPr>
              <w:t>1,666,801</w:t>
            </w:r>
          </w:p>
        </w:tc>
        <w:tc>
          <w:tcPr>
            <w:tcW w:w="100" w:type="dxa"/>
            <w:vAlign w:val="bottom"/>
            <w:shd w:val="clear" w:color="auto" w:fill="CCEEFF"/>
          </w:tcPr>
          <w:p>
            <w:pPr>
              <w:spacing w:after="0"/>
              <w:rPr>
                <w:sz w:val="24"/>
                <w:szCs w:val="24"/>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164,558</w:t>
            </w:r>
          </w:p>
        </w:tc>
        <w:tc>
          <w:tcPr>
            <w:tcW w:w="12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7,416,443</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9,620,797</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right w:val="single" w:sz="8" w:color="auto"/>
            </w:tcBorders>
            <w:shd w:val="clear" w:color="auto" w:fill="CCEEFF"/>
          </w:tcPr>
          <w:p>
            <w:pPr>
              <w:spacing w:after="0"/>
              <w:rPr>
                <w:sz w:val="2"/>
                <w:szCs w:val="2"/>
                <w:color w:val="auto"/>
              </w:rPr>
            </w:pPr>
          </w:p>
        </w:tc>
        <w:tc>
          <w:tcPr>
            <w:tcW w:w="780" w:type="dxa"/>
            <w:vAlign w:val="bottom"/>
            <w:tcBorders>
              <w:top w:val="single" w:sz="8" w:color="auto"/>
              <w:right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1"/>
        </w:trPr>
        <w:tc>
          <w:tcPr>
            <w:tcW w:w="1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Leasehold</w:t>
            </w:r>
          </w:p>
        </w:tc>
        <w:tc>
          <w:tcPr>
            <w:tcW w:w="120" w:type="dxa"/>
            <w:vAlign w:val="bottom"/>
          </w:tcPr>
          <w:p>
            <w:pPr>
              <w:spacing w:after="0"/>
              <w:rPr>
                <w:sz w:val="24"/>
                <w:szCs w:val="2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Plant and</w:t>
            </w:r>
          </w:p>
        </w:tc>
        <w:tc>
          <w:tcPr>
            <w:tcW w:w="100" w:type="dxa"/>
            <w:vAlign w:val="bottom"/>
          </w:tcPr>
          <w:p>
            <w:pPr>
              <w:spacing w:after="0"/>
              <w:rPr>
                <w:sz w:val="24"/>
                <w:szCs w:val="24"/>
                <w:color w:val="auto"/>
              </w:rPr>
            </w:pPr>
          </w:p>
        </w:tc>
        <w:tc>
          <w:tcPr>
            <w:tcW w:w="8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1"/>
              </w:rPr>
              <w:t>Construction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5"/>
              </w:rPr>
              <w:t>Land</w:t>
            </w:r>
          </w:p>
        </w:tc>
        <w:tc>
          <w:tcPr>
            <w:tcW w:w="12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Buildings</w:t>
            </w: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work in</w:t>
            </w:r>
          </w:p>
        </w:tc>
        <w:tc>
          <w:tcPr>
            <w:tcW w:w="100" w:type="dxa"/>
            <w:vAlign w:val="bottom"/>
          </w:tcPr>
          <w:p>
            <w:pPr>
              <w:spacing w:after="0"/>
              <w:rPr>
                <w:sz w:val="12"/>
                <w:szCs w:val="12"/>
                <w:color w:val="auto"/>
              </w:rPr>
            </w:pPr>
          </w:p>
        </w:tc>
        <w:tc>
          <w:tcPr>
            <w:tcW w:w="2180" w:type="dxa"/>
            <w:vAlign w:val="bottom"/>
            <w:gridSpan w:val="3"/>
            <w:vMerge w:val="restart"/>
          </w:tcPr>
          <w:p>
            <w:pPr>
              <w:jc w:val="center"/>
              <w:ind w:right="1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improvements</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equipment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progress</w:t>
            </w:r>
          </w:p>
        </w:tc>
        <w:tc>
          <w:tcPr>
            <w:tcW w:w="10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7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6"/>
                <w:szCs w:val="16"/>
                <w:color w:val="auto"/>
              </w:rPr>
            </w:pPr>
          </w:p>
        </w:tc>
        <w:tc>
          <w:tcPr>
            <w:tcW w:w="9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4"/>
          </w:tcPr>
          <w:p>
            <w:pPr>
              <w:jc w:val="center"/>
              <w:ind w:left="335"/>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30 June 2021</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Opening net book amount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372,995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1,666,801</w:t>
            </w: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164,558</w:t>
            </w:r>
          </w:p>
        </w:tc>
        <w:tc>
          <w:tcPr>
            <w:tcW w:w="120" w:type="dxa"/>
            <w:vAlign w:val="bottom"/>
          </w:tcPr>
          <w:p>
            <w:pPr>
              <w:spacing w:after="0"/>
              <w:rPr>
                <w:sz w:val="23"/>
                <w:szCs w:val="23"/>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7,416,443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9,620,797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w:t>
            </w: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666,920</w:t>
            </w:r>
          </w:p>
        </w:tc>
        <w:tc>
          <w:tcPr>
            <w:tcW w:w="9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4,358,515</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482,637</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2,982,443</w:t>
            </w: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w w:val="97"/>
              </w:rPr>
              <w:t>17,754,185</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26,244,700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Disposals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(39,285)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(39,285)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written off</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(2,764,940)</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(2,764,940)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Depreciation charge</w:t>
            </w:r>
          </w:p>
        </w:tc>
        <w:tc>
          <w:tcPr>
            <w:tcW w:w="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(67,897)</w:t>
            </w:r>
          </w:p>
        </w:tc>
        <w:tc>
          <w:tcPr>
            <w:tcW w:w="100" w:type="dxa"/>
            <w:vAlign w:val="bottom"/>
          </w:tcPr>
          <w:p>
            <w:pPr>
              <w:spacing w:after="0"/>
              <w:rPr>
                <w:sz w:val="23"/>
                <w:szCs w:val="2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(110,681)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(996,462)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(1,175,040)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100,126</w:t>
            </w:r>
          </w:p>
        </w:tc>
        <w:tc>
          <w:tcPr>
            <w:tcW w:w="1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(9,103)</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(411,876)</w:t>
            </w:r>
          </w:p>
        </w:tc>
        <w:tc>
          <w:tcPr>
            <w:tcW w:w="98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(894)</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(307,787)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78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Closing net book amount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1,053,875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6,057,545</w:t>
            </w: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527,411</w:t>
            </w:r>
          </w:p>
        </w:tc>
        <w:tc>
          <w:tcPr>
            <w:tcW w:w="120" w:type="dxa"/>
            <w:vAlign w:val="bottom"/>
          </w:tcPr>
          <w:p>
            <w:pPr>
              <w:spacing w:after="0"/>
              <w:rPr>
                <w:sz w:val="23"/>
                <w:szCs w:val="23"/>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8"/>
                <w:szCs w:val="18"/>
                <w:color w:val="auto"/>
              </w:rPr>
              <w:t>6,186,323</w:t>
            </w:r>
          </w:p>
        </w:tc>
        <w:tc>
          <w:tcPr>
            <w:tcW w:w="900" w:type="dxa"/>
            <w:vAlign w:val="bottom"/>
            <w:gridSpan w:val="6"/>
          </w:tcPr>
          <w:p>
            <w:pPr>
              <w:jc w:val="right"/>
              <w:spacing w:after="0"/>
              <w:rPr>
                <w:sz w:val="20"/>
                <w:szCs w:val="20"/>
                <w:color w:val="auto"/>
              </w:rPr>
            </w:pPr>
            <w:r>
              <w:rPr>
                <w:rFonts w:ascii="Arial" w:cs="Arial" w:eastAsia="Arial" w:hAnsi="Arial"/>
                <w:sz w:val="18"/>
                <w:szCs w:val="18"/>
                <w:color w:val="auto"/>
                <w:w w:val="97"/>
              </w:rPr>
              <w:t>17,753,291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31,578,445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At 30 June 2021</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1,053,875</w:t>
            </w:r>
          </w:p>
        </w:tc>
        <w:tc>
          <w:tcPr>
            <w:tcW w:w="9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6,283,383</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665,540</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8,004,580</w:t>
            </w: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w w:val="97"/>
              </w:rPr>
              <w:t>17,753,291</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33,760,669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(225,838)</w:t>
            </w:r>
          </w:p>
        </w:tc>
        <w:tc>
          <w:tcPr>
            <w:tcW w:w="100" w:type="dxa"/>
            <w:vAlign w:val="bottom"/>
          </w:tcPr>
          <w:p>
            <w:pPr>
              <w:spacing w:after="0"/>
              <w:rPr>
                <w:sz w:val="22"/>
                <w:szCs w:val="22"/>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(138,129)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(1,818,257)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(2,182,224)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book amount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1,053,875</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6,057,545</w:t>
            </w:r>
          </w:p>
        </w:tc>
        <w:tc>
          <w:tcPr>
            <w:tcW w:w="100" w:type="dxa"/>
            <w:vAlign w:val="bottom"/>
            <w:shd w:val="clear" w:color="auto" w:fill="CCEEFF"/>
          </w:tcPr>
          <w:p>
            <w:pPr>
              <w:spacing w:after="0"/>
              <w:rPr>
                <w:sz w:val="24"/>
                <w:szCs w:val="24"/>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527,411</w:t>
            </w:r>
          </w:p>
        </w:tc>
        <w:tc>
          <w:tcPr>
            <w:tcW w:w="12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6,186,323</w:t>
            </w:r>
          </w:p>
        </w:tc>
        <w:tc>
          <w:tcPr>
            <w:tcW w:w="9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7"/>
              </w:rPr>
              <w:t>17,753,291</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31,578,445</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8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F-27</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-7379970</wp:posOffset>
            </wp:positionV>
            <wp:extent cx="857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-7379970</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-7379970</wp:posOffset>
            </wp:positionV>
            <wp:extent cx="857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-7379970</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3074670</wp:posOffset>
            </wp:positionH>
            <wp:positionV relativeFrom="paragraph">
              <wp:posOffset>-7379970</wp:posOffset>
            </wp:positionV>
            <wp:extent cx="85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-7379970</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-3179445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-3179445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-3179445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3683635</wp:posOffset>
            </wp:positionH>
            <wp:positionV relativeFrom="paragraph">
              <wp:posOffset>-3179445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-3179445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-3179445</wp:posOffset>
            </wp:positionV>
            <wp:extent cx="342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8" w:name="page159"/>
    <w:bookmarkEnd w:id="158"/>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Exploration and evaluation assets</w:t>
      </w:r>
    </w:p>
    <w:p>
      <w:pPr>
        <w:spacing w:after="0" w:line="194"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92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Consolidated</w:t>
            </w:r>
          </w:p>
        </w:tc>
      </w:tr>
      <w:tr>
        <w:trPr>
          <w:trHeight w:val="53"/>
        </w:trPr>
        <w:tc>
          <w:tcPr>
            <w:tcW w:w="65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7"/>
        </w:trPr>
        <w:tc>
          <w:tcPr>
            <w:tcW w:w="6500" w:type="dxa"/>
            <w:vAlign w:val="bottom"/>
          </w:tcPr>
          <w:p>
            <w:pPr>
              <w:spacing w:after="0"/>
              <w:rPr>
                <w:sz w:val="16"/>
                <w:szCs w:val="16"/>
                <w:color w:val="auto"/>
              </w:rPr>
            </w:pPr>
          </w:p>
        </w:tc>
        <w:tc>
          <w:tcPr>
            <w:tcW w:w="720" w:type="dxa"/>
            <w:vAlign w:val="bottom"/>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color w:val="auto"/>
              </w:rPr>
              <w:t>2020</w:t>
            </w:r>
          </w:p>
        </w:tc>
      </w:tr>
      <w:tr>
        <w:trPr>
          <w:trHeight w:val="186"/>
        </w:trPr>
        <w:tc>
          <w:tcPr>
            <w:tcW w:w="650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color w:val="auto"/>
              </w:rPr>
              <w:t>$</w:t>
            </w:r>
          </w:p>
        </w:tc>
      </w:tr>
      <w:tr>
        <w:trPr>
          <w:trHeight w:val="53"/>
        </w:trPr>
        <w:tc>
          <w:tcPr>
            <w:tcW w:w="65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52"/>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evaluation assets – at cost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3,108,073</w:t>
            </w:r>
          </w:p>
        </w:tc>
        <w:tc>
          <w:tcPr>
            <w:tcW w:w="46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2,988,921</w:t>
            </w:r>
          </w:p>
        </w:tc>
      </w:tr>
      <w:tr>
        <w:trPr>
          <w:trHeight w:val="296"/>
        </w:trPr>
        <w:tc>
          <w:tcPr>
            <w:tcW w:w="65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7"/>
              </w:rPr>
              <w:t>The capitalised exploration and evaluation assets carried forward above have been</w:t>
            </w:r>
          </w:p>
        </w:tc>
        <w:tc>
          <w:tcPr>
            <w:tcW w:w="720" w:type="dxa"/>
            <w:vAlign w:val="bottom"/>
            <w:tcBorders>
              <w:top w:val="single" w:sz="8" w:color="auto"/>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30"/>
        </w:trPr>
        <w:tc>
          <w:tcPr>
            <w:tcW w:w="6500" w:type="dxa"/>
            <w:vAlign w:val="bottom"/>
          </w:tcPr>
          <w:p>
            <w:pPr>
              <w:ind w:left="180"/>
              <w:spacing w:after="0"/>
              <w:rPr>
                <w:sz w:val="20"/>
                <w:szCs w:val="20"/>
                <w:color w:val="auto"/>
              </w:rPr>
            </w:pPr>
            <w:r>
              <w:rPr>
                <w:rFonts w:ascii="Arial" w:cs="Arial" w:eastAsia="Arial" w:hAnsi="Arial"/>
                <w:sz w:val="18"/>
                <w:szCs w:val="18"/>
                <w:color w:val="auto"/>
              </w:rPr>
              <w:t>determined as follows: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4"/>
        </w:trPr>
        <w:tc>
          <w:tcPr>
            <w:tcW w:w="6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2,988,921</w:t>
            </w: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2,838,749</w:t>
            </w: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rPr>
              <w:t>Expenditure incurred during the year</w:t>
            </w:r>
          </w:p>
        </w:tc>
        <w:tc>
          <w:tcPr>
            <w:tcW w:w="720" w:type="dxa"/>
            <w:vAlign w:val="bottom"/>
          </w:tcPr>
          <w:p>
            <w:pPr>
              <w:jc w:val="right"/>
              <w:spacing w:after="0"/>
              <w:rPr>
                <w:sz w:val="20"/>
                <w:szCs w:val="20"/>
                <w:color w:val="auto"/>
              </w:rPr>
            </w:pPr>
            <w:r>
              <w:rPr>
                <w:rFonts w:ascii="Arial" w:cs="Arial" w:eastAsia="Arial" w:hAnsi="Arial"/>
                <w:sz w:val="18"/>
                <w:szCs w:val="18"/>
                <w:color w:val="auto"/>
              </w:rPr>
              <w:t>119,152</w:t>
            </w:r>
          </w:p>
        </w:tc>
        <w:tc>
          <w:tcPr>
            <w:tcW w:w="4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150,172</w:t>
            </w:r>
          </w:p>
        </w:tc>
      </w:tr>
      <w:tr>
        <w:trPr>
          <w:trHeight w:val="61"/>
        </w:trPr>
        <w:tc>
          <w:tcPr>
            <w:tcW w:w="650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r>
      <w:tr>
        <w:trPr>
          <w:trHeight w:val="291"/>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3,108,073</w:t>
            </w:r>
          </w:p>
        </w:tc>
        <w:tc>
          <w:tcPr>
            <w:tcW w:w="46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2,988,921</w:t>
            </w:r>
          </w:p>
        </w:tc>
      </w:tr>
      <w:tr>
        <w:trPr>
          <w:trHeight w:val="27"/>
        </w:trPr>
        <w:tc>
          <w:tcPr>
            <w:tcW w:w="65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-1250950</wp:posOffset>
            </wp:positionV>
            <wp:extent cx="2914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-1250950</wp:posOffset>
            </wp:positionV>
            <wp:extent cx="1460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74" w:lineRule="exact"/>
        <w:rPr>
          <w:sz w:val="20"/>
          <w:szCs w:val="20"/>
          <w:color w:val="auto"/>
        </w:rPr>
      </w:pPr>
    </w:p>
    <w:p>
      <w:pPr>
        <w:ind w:left="1300" w:right="1340"/>
        <w:spacing w:after="0" w:line="257" w:lineRule="auto"/>
        <w:rPr>
          <w:sz w:val="20"/>
          <w:szCs w:val="20"/>
          <w:color w:val="auto"/>
        </w:rPr>
      </w:pPr>
      <w:r>
        <w:rPr>
          <w:rFonts w:ascii="Arial" w:cs="Arial" w:eastAsia="Arial" w:hAnsi="Arial"/>
          <w:sz w:val="18"/>
          <w:szCs w:val="18"/>
          <w:color w:val="auto"/>
        </w:rPr>
        <w:t>The future development of the Mt Dromedary mine will not occur in the short to medium term given the tonnages of natural graphite required by the Novonix Anode Materials business are unlikely to be sufficient to warrant the development of the mine in that timeframe. As well, a significant portion of graphite used by Novonix Anode Materials will be synthetic graphite, and the natural graphite required at this time can be more cost effectively sourced from other natural graphite producers.</w:t>
      </w:r>
    </w:p>
    <w:p>
      <w:pPr>
        <w:spacing w:after="0" w:line="80" w:lineRule="exact"/>
        <w:rPr>
          <w:sz w:val="20"/>
          <w:szCs w:val="20"/>
          <w:color w:val="auto"/>
        </w:rPr>
      </w:pPr>
    </w:p>
    <w:p>
      <w:pPr>
        <w:ind w:left="1300" w:right="1520"/>
        <w:spacing w:after="0" w:line="277" w:lineRule="auto"/>
        <w:rPr>
          <w:sz w:val="20"/>
          <w:szCs w:val="20"/>
          <w:color w:val="auto"/>
        </w:rPr>
      </w:pPr>
      <w:r>
        <w:rPr>
          <w:rFonts w:ascii="Arial" w:cs="Arial" w:eastAsia="Arial" w:hAnsi="Arial"/>
          <w:sz w:val="18"/>
          <w:szCs w:val="18"/>
          <w:color w:val="auto"/>
        </w:rPr>
        <w:t>The Mt Dromedary asset however remains a strategic asset for the Group and the tenements remain current and in good standing.</w:t>
      </w:r>
    </w:p>
    <w:p>
      <w:pPr>
        <w:spacing w:after="0" w:line="62" w:lineRule="exact"/>
        <w:rPr>
          <w:sz w:val="20"/>
          <w:szCs w:val="20"/>
          <w:color w:val="auto"/>
        </w:rPr>
      </w:pPr>
    </w:p>
    <w:p>
      <w:pPr>
        <w:ind w:left="1300" w:right="1420"/>
        <w:spacing w:after="0" w:line="308" w:lineRule="auto"/>
        <w:rPr>
          <w:sz w:val="20"/>
          <w:szCs w:val="20"/>
          <w:color w:val="auto"/>
        </w:rPr>
      </w:pPr>
      <w:r>
        <w:rPr>
          <w:rFonts w:ascii="Arial" w:cs="Arial" w:eastAsia="Arial" w:hAnsi="Arial"/>
          <w:sz w:val="17"/>
          <w:szCs w:val="17"/>
          <w:color w:val="auto"/>
        </w:rPr>
        <w:t>The Directors have assessed that for the exploration and evaluation assets recognised at 30 June 2021, the facts and circumstances do not suggest that the carrying amount may exceed its recoverable amount.</w:t>
      </w:r>
    </w:p>
    <w:p>
      <w:pPr>
        <w:spacing w:after="0" w:line="291"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Intangible assets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gridSpan w:val="5"/>
          </w:tcPr>
          <w:p>
            <w:pPr>
              <w:jc w:val="right"/>
              <w:ind w:right="528"/>
              <w:spacing w:after="0"/>
              <w:rPr>
                <w:sz w:val="20"/>
                <w:szCs w:val="20"/>
                <w:color w:val="auto"/>
              </w:rPr>
            </w:pPr>
            <w:r>
              <w:rPr>
                <w:rFonts w:ascii="Arial" w:cs="Arial" w:eastAsia="Arial" w:hAnsi="Arial"/>
                <w:sz w:val="14"/>
                <w:szCs w:val="14"/>
                <w:b w:val="1"/>
                <w:bCs w:val="1"/>
                <w:color w:val="auto"/>
              </w:rPr>
              <w:t>Consolidated</w:t>
            </w:r>
          </w:p>
        </w:tc>
      </w:tr>
      <w:tr>
        <w:trPr>
          <w:trHeight w:val="53"/>
        </w:trPr>
        <w:tc>
          <w:tcPr>
            <w:tcW w:w="5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187"/>
        </w:trPr>
        <w:tc>
          <w:tcPr>
            <w:tcW w:w="5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left="75"/>
              <w:spacing w:after="0"/>
              <w:rPr>
                <w:sz w:val="20"/>
                <w:szCs w:val="20"/>
                <w:color w:val="auto"/>
              </w:rPr>
            </w:pPr>
            <w:r>
              <w:rPr>
                <w:rFonts w:ascii="Arial" w:cs="Arial" w:eastAsia="Arial" w:hAnsi="Arial"/>
                <w:sz w:val="14"/>
                <w:szCs w:val="14"/>
                <w:color w:val="auto"/>
                <w:w w:val="89"/>
              </w:rPr>
              <w:t>2020</w:t>
            </w:r>
          </w:p>
        </w:tc>
      </w:tr>
      <w:tr>
        <w:trPr>
          <w:trHeight w:val="186"/>
        </w:trPr>
        <w:tc>
          <w:tcPr>
            <w:tcW w:w="5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r>
      <w:tr>
        <w:trPr>
          <w:trHeight w:val="53"/>
        </w:trPr>
        <w:tc>
          <w:tcPr>
            <w:tcW w:w="560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311"/>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880" w:type="dxa"/>
            <w:vAlign w:val="bottom"/>
            <w:tcBorders>
              <w:bottom w:val="single" w:sz="8" w:color="CCEEFF"/>
              <w:right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15,950,624</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right w:val="single" w:sz="8" w:color="CCEEFF"/>
            </w:tcBorders>
            <w:gridSpan w:val="2"/>
            <w:shd w:val="clear" w:color="auto" w:fill="CCEEFF"/>
          </w:tcPr>
          <w:p>
            <w:pPr>
              <w:jc w:val="center"/>
              <w:ind w:left="75"/>
              <w:spacing w:after="0"/>
              <w:rPr>
                <w:sz w:val="20"/>
                <w:szCs w:val="20"/>
                <w:color w:val="auto"/>
              </w:rPr>
            </w:pPr>
            <w:r>
              <w:rPr>
                <w:rFonts w:ascii="Arial" w:cs="Arial" w:eastAsia="Arial" w:hAnsi="Arial"/>
                <w:sz w:val="18"/>
                <w:szCs w:val="18"/>
                <w:color w:val="auto"/>
                <w:w w:val="88"/>
              </w:rPr>
              <w:t>17,411,685</w:t>
            </w: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Technology</w:t>
            </w: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631,085</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955,560</w:t>
            </w:r>
          </w:p>
        </w:tc>
      </w:tr>
      <w:tr>
        <w:trPr>
          <w:trHeight w:val="48"/>
        </w:trPr>
        <w:tc>
          <w:tcPr>
            <w:tcW w:w="5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r>
      <w:tr>
        <w:trPr>
          <w:trHeight w:val="290"/>
        </w:trPr>
        <w:tc>
          <w:tcPr>
            <w:tcW w:w="560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16,581,709</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tcBorders>
              <w:right w:val="single" w:sz="8" w:color="CCEEFF"/>
            </w:tcBorders>
            <w:gridSpan w:val="2"/>
            <w:shd w:val="clear" w:color="auto" w:fill="CCEEFF"/>
          </w:tcPr>
          <w:p>
            <w:pPr>
              <w:jc w:val="center"/>
              <w:ind w:left="75"/>
              <w:spacing w:after="0"/>
              <w:rPr>
                <w:sz w:val="20"/>
                <w:szCs w:val="20"/>
                <w:color w:val="auto"/>
              </w:rPr>
            </w:pPr>
            <w:r>
              <w:rPr>
                <w:rFonts w:ascii="Arial" w:cs="Arial" w:eastAsia="Arial" w:hAnsi="Arial"/>
                <w:sz w:val="18"/>
                <w:szCs w:val="18"/>
                <w:color w:val="auto"/>
                <w:w w:val="88"/>
              </w:rPr>
              <w:t>18,367,245</w:t>
            </w:r>
          </w:p>
        </w:tc>
      </w:tr>
      <w:tr>
        <w:trPr>
          <w:trHeight w:val="27"/>
        </w:trPr>
        <w:tc>
          <w:tcPr>
            <w:tcW w:w="56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840" w:type="dxa"/>
            <w:vAlign w:val="bottom"/>
            <w:tcBorders>
              <w:top w:val="single" w:sz="8" w:color="auto"/>
              <w:right w:val="single" w:sz="8" w:color="auto"/>
            </w:tcBorders>
            <w:shd w:val="clear" w:color="auto" w:fill="000000"/>
          </w:tcPr>
          <w:p>
            <w:pPr>
              <w:spacing w:after="0"/>
              <w:rPr>
                <w:sz w:val="2"/>
                <w:szCs w:val="2"/>
                <w:color w:val="auto"/>
              </w:rPr>
            </w:pPr>
          </w:p>
        </w:tc>
      </w:tr>
      <w:tr>
        <w:trPr>
          <w:trHeight w:val="315"/>
        </w:trPr>
        <w:tc>
          <w:tcPr>
            <w:tcW w:w="5600" w:type="dxa"/>
            <w:vAlign w:val="bottom"/>
          </w:tcPr>
          <w:p>
            <w:pPr>
              <w:spacing w:after="0"/>
              <w:rPr>
                <w:sz w:val="24"/>
                <w:szCs w:val="24"/>
                <w:color w:val="auto"/>
              </w:rPr>
            </w:pPr>
          </w:p>
        </w:tc>
        <w:tc>
          <w:tcPr>
            <w:tcW w:w="880" w:type="dxa"/>
            <w:vAlign w:val="bottom"/>
          </w:tcPr>
          <w:p>
            <w:pPr>
              <w:jc w:val="right"/>
              <w:ind w:right="96"/>
              <w:spacing w:after="0"/>
              <w:rPr>
                <w:sz w:val="20"/>
                <w:szCs w:val="20"/>
                <w:color w:val="auto"/>
              </w:rPr>
            </w:pPr>
            <w:r>
              <w:rPr>
                <w:rFonts w:ascii="Arial" w:cs="Arial" w:eastAsia="Arial" w:hAnsi="Arial"/>
                <w:sz w:val="14"/>
                <w:szCs w:val="14"/>
                <w:b w:val="1"/>
                <w:bCs w:val="1"/>
                <w:color w:val="auto"/>
              </w:rPr>
              <w:t>Goodwill</w:t>
            </w:r>
          </w:p>
        </w:tc>
        <w:tc>
          <w:tcPr>
            <w:tcW w:w="160" w:type="dxa"/>
            <w:vAlign w:val="bottom"/>
          </w:tcPr>
          <w:p>
            <w:pPr>
              <w:spacing w:after="0"/>
              <w:rPr>
                <w:sz w:val="24"/>
                <w:szCs w:val="24"/>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6"/>
              </w:rPr>
              <w:t>Technology</w:t>
            </w:r>
          </w:p>
        </w:tc>
        <w:tc>
          <w:tcPr>
            <w:tcW w:w="200" w:type="dxa"/>
            <w:vAlign w:val="bottom"/>
          </w:tcPr>
          <w:p>
            <w:pPr>
              <w:spacing w:after="0"/>
              <w:rPr>
                <w:sz w:val="24"/>
                <w:szCs w:val="24"/>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186"/>
        </w:trPr>
        <w:tc>
          <w:tcPr>
            <w:tcW w:w="560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rPr>
              <w:t>$</w:t>
            </w:r>
          </w:p>
        </w:tc>
      </w:tr>
      <w:tr>
        <w:trPr>
          <w:trHeight w:val="52"/>
        </w:trPr>
        <w:tc>
          <w:tcPr>
            <w:tcW w:w="56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311"/>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17,411,685</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955,560</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18,367,245</w:t>
            </w: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Exchange differences</w:t>
            </w:r>
          </w:p>
        </w:tc>
        <w:tc>
          <w:tcPr>
            <w:tcW w:w="880" w:type="dxa"/>
            <w:vAlign w:val="bottom"/>
          </w:tcPr>
          <w:p>
            <w:pPr>
              <w:jc w:val="right"/>
              <w:spacing w:after="0"/>
              <w:rPr>
                <w:sz w:val="20"/>
                <w:szCs w:val="20"/>
                <w:color w:val="auto"/>
              </w:rPr>
            </w:pPr>
            <w:r>
              <w:rPr>
                <w:rFonts w:ascii="Arial" w:cs="Arial" w:eastAsia="Arial" w:hAnsi="Arial"/>
                <w:sz w:val="18"/>
                <w:szCs w:val="18"/>
                <w:color w:val="auto"/>
                <w:w w:val="91"/>
              </w:rPr>
              <w:t>(1,461,061)</w:t>
            </w:r>
          </w:p>
        </w:tc>
        <w:tc>
          <w:tcPr>
            <w:tcW w:w="160" w:type="dxa"/>
            <w:vAlign w:val="bottom"/>
          </w:tcPr>
          <w:p>
            <w:pPr>
              <w:spacing w:after="0"/>
              <w:rPr>
                <w:sz w:val="23"/>
                <w:szCs w:val="23"/>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(78,258)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(1,539,319)</w:t>
            </w:r>
          </w:p>
        </w:tc>
      </w:tr>
      <w:tr>
        <w:trPr>
          <w:trHeight w:val="54"/>
        </w:trPr>
        <w:tc>
          <w:tcPr>
            <w:tcW w:w="5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Amortisation</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0"/>
              </w:rPr>
              <w:t>(246,217)</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(246,217)</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840" w:type="dxa"/>
            <w:vAlign w:val="bottom"/>
            <w:tcBorders>
              <w:top w:val="single" w:sz="8" w:color="auto"/>
              <w:right w:val="single" w:sz="8" w:color="CCEEFF"/>
            </w:tcBorders>
            <w:shd w:val="clear" w:color="auto" w:fill="CCEEFF"/>
          </w:tcPr>
          <w:p>
            <w:pPr>
              <w:spacing w:after="0"/>
              <w:rPr>
                <w:sz w:val="5"/>
                <w:szCs w:val="5"/>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880" w:type="dxa"/>
            <w:vAlign w:val="bottom"/>
          </w:tcPr>
          <w:p>
            <w:pPr>
              <w:jc w:val="right"/>
              <w:spacing w:after="0"/>
              <w:rPr>
                <w:sz w:val="20"/>
                <w:szCs w:val="20"/>
                <w:color w:val="auto"/>
              </w:rPr>
            </w:pPr>
            <w:r>
              <w:rPr>
                <w:rFonts w:ascii="Arial" w:cs="Arial" w:eastAsia="Arial" w:hAnsi="Arial"/>
                <w:sz w:val="18"/>
                <w:szCs w:val="18"/>
                <w:color w:val="auto"/>
                <w:w w:val="86"/>
              </w:rPr>
              <w:t>15,950,624</w:t>
            </w:r>
          </w:p>
        </w:tc>
        <w:tc>
          <w:tcPr>
            <w:tcW w:w="16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631,085</w:t>
            </w:r>
          </w:p>
        </w:tc>
        <w:tc>
          <w:tcPr>
            <w:tcW w:w="80" w:type="dxa"/>
            <w:vAlign w:val="bottom"/>
          </w:tcPr>
          <w:p>
            <w:pPr>
              <w:spacing w:after="0"/>
              <w:rPr>
                <w:sz w:val="23"/>
                <w:szCs w:val="23"/>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16,581,709</w:t>
            </w:r>
          </w:p>
        </w:tc>
      </w:tr>
      <w:tr>
        <w:trPr>
          <w:trHeight w:val="20"/>
        </w:trPr>
        <w:tc>
          <w:tcPr>
            <w:tcW w:w="5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-1851025</wp:posOffset>
            </wp:positionV>
            <wp:extent cx="22288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4789170</wp:posOffset>
            </wp:positionH>
            <wp:positionV relativeFrom="paragraph">
              <wp:posOffset>-1851025</wp:posOffset>
            </wp:positionV>
            <wp:extent cx="1111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-848360</wp:posOffset>
            </wp:positionV>
            <wp:extent cx="1028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-848360</wp:posOffset>
            </wp:positionV>
            <wp:extent cx="1028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-848360</wp:posOffset>
            </wp:positionV>
            <wp:extent cx="514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7" w:lineRule="exact"/>
        <w:rPr>
          <w:sz w:val="20"/>
          <w:szCs w:val="20"/>
          <w:color w:val="auto"/>
        </w:rPr>
      </w:pPr>
    </w:p>
    <w:p>
      <w:pPr>
        <w:jc w:val="both"/>
        <w:ind w:left="1300" w:right="1380"/>
        <w:spacing w:after="0" w:line="263" w:lineRule="auto"/>
        <w:rPr>
          <w:sz w:val="20"/>
          <w:szCs w:val="20"/>
          <w:color w:val="auto"/>
        </w:rPr>
      </w:pPr>
      <w:r>
        <w:rPr>
          <w:rFonts w:ascii="Arial" w:cs="Arial" w:eastAsia="Arial" w:hAnsi="Arial"/>
          <w:sz w:val="18"/>
          <w:szCs w:val="18"/>
          <w:color w:val="auto"/>
        </w:rPr>
        <w:t>Intangible assets, other than goodwill have finite useful lives. The current amortisation charges for intangible assets are included under depreciation and amortisation expense in the statement of profit or loss and other comprehensive income. Goodwill has an indefinite useful life.</w:t>
      </w:r>
    </w:p>
    <w:p>
      <w:pPr>
        <w:spacing w:after="0" w:line="328"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Trade and other payables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120" w:type="dxa"/>
            <w:vAlign w:val="bottom"/>
            <w:gridSpan w:val="5"/>
          </w:tcPr>
          <w:p>
            <w:pPr>
              <w:ind w:left="500"/>
              <w:spacing w:after="0"/>
              <w:rPr>
                <w:sz w:val="20"/>
                <w:szCs w:val="20"/>
                <w:color w:val="auto"/>
              </w:rPr>
            </w:pPr>
            <w:r>
              <w:rPr>
                <w:rFonts w:ascii="Arial" w:cs="Arial" w:eastAsia="Arial" w:hAnsi="Arial"/>
                <w:sz w:val="14"/>
                <w:szCs w:val="14"/>
                <w:b w:val="1"/>
                <w:bCs w:val="1"/>
                <w:color w:val="auto"/>
              </w:rPr>
              <w:t>Consolidated</w:t>
            </w:r>
          </w:p>
        </w:tc>
      </w:tr>
      <w:tr>
        <w:trPr>
          <w:trHeight w:val="52"/>
        </w:trPr>
        <w:tc>
          <w:tcPr>
            <w:tcW w:w="13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187"/>
        </w:trPr>
        <w:tc>
          <w:tcPr>
            <w:tcW w:w="13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900" w:type="dxa"/>
            <w:vAlign w:val="bottom"/>
            <w:gridSpan w:val="2"/>
          </w:tcPr>
          <w:p>
            <w:pPr>
              <w:jc w:val="center"/>
              <w:ind w:left="307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157"/>
              <w:spacing w:after="0"/>
              <w:rPr>
                <w:sz w:val="20"/>
                <w:szCs w:val="20"/>
                <w:color w:val="auto"/>
              </w:rPr>
            </w:pPr>
            <w:r>
              <w:rPr>
                <w:rFonts w:ascii="Arial" w:cs="Arial" w:eastAsia="Arial" w:hAnsi="Arial"/>
                <w:sz w:val="14"/>
                <w:szCs w:val="14"/>
                <w:color w:val="auto"/>
              </w:rPr>
              <w:t>2020</w:t>
            </w:r>
          </w:p>
        </w:tc>
        <w:tc>
          <w:tcPr>
            <w:tcW w:w="1300" w:type="dxa"/>
            <w:vAlign w:val="bottom"/>
          </w:tcPr>
          <w:p>
            <w:pPr>
              <w:spacing w:after="0"/>
              <w:rPr>
                <w:sz w:val="16"/>
                <w:szCs w:val="16"/>
                <w:color w:val="auto"/>
              </w:rPr>
            </w:pPr>
          </w:p>
        </w:tc>
      </w:tr>
      <w:tr>
        <w:trPr>
          <w:trHeight w:val="186"/>
        </w:trPr>
        <w:tc>
          <w:tcPr>
            <w:tcW w:w="13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900" w:type="dxa"/>
            <w:vAlign w:val="bottom"/>
            <w:gridSpan w:val="2"/>
          </w:tcPr>
          <w:p>
            <w:pPr>
              <w:jc w:val="center"/>
              <w:ind w:left="3119"/>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color w:val="auto"/>
              </w:rPr>
              <w:t>$</w:t>
            </w:r>
          </w:p>
        </w:tc>
        <w:tc>
          <w:tcPr>
            <w:tcW w:w="1300" w:type="dxa"/>
            <w:vAlign w:val="bottom"/>
          </w:tcPr>
          <w:p>
            <w:pPr>
              <w:spacing w:after="0"/>
              <w:rPr>
                <w:sz w:val="16"/>
                <w:szCs w:val="16"/>
                <w:color w:val="auto"/>
              </w:rPr>
            </w:pPr>
          </w:p>
        </w:tc>
      </w:tr>
      <w:tr>
        <w:trPr>
          <w:trHeight w:val="52"/>
        </w:trPr>
        <w:tc>
          <w:tcPr>
            <w:tcW w:w="1300" w:type="dxa"/>
            <w:vAlign w:val="bottom"/>
          </w:tcPr>
          <w:p>
            <w:pPr>
              <w:spacing w:after="0"/>
              <w:rPr>
                <w:sz w:val="4"/>
                <w:szCs w:val="4"/>
                <w:color w:val="auto"/>
              </w:rPr>
            </w:pPr>
          </w:p>
        </w:tc>
        <w:tc>
          <w:tcPr>
            <w:tcW w:w="3420" w:type="dxa"/>
            <w:vAlign w:val="bottom"/>
            <w:tcBorders>
              <w:bottom w:val="single" w:sz="8" w:color="CCEEFF"/>
            </w:tcBorders>
          </w:tcPr>
          <w:p>
            <w:pPr>
              <w:spacing w:after="0"/>
              <w:rPr>
                <w:sz w:val="4"/>
                <w:szCs w:val="4"/>
                <w:color w:val="auto"/>
              </w:rPr>
            </w:pPr>
          </w:p>
        </w:tc>
        <w:tc>
          <w:tcPr>
            <w:tcW w:w="31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Unsecured liabilities:</w:t>
            </w:r>
          </w:p>
        </w:tc>
        <w:tc>
          <w:tcPr>
            <w:tcW w:w="3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Trade payables</w:t>
            </w:r>
          </w:p>
        </w:tc>
        <w:tc>
          <w:tcPr>
            <w:tcW w:w="3920" w:type="dxa"/>
            <w:vAlign w:val="bottom"/>
            <w:gridSpan w:val="3"/>
          </w:tcPr>
          <w:p>
            <w:pPr>
              <w:jc w:val="center"/>
              <w:ind w:left="3079"/>
              <w:spacing w:after="0"/>
              <w:rPr>
                <w:sz w:val="20"/>
                <w:szCs w:val="20"/>
                <w:color w:val="auto"/>
              </w:rPr>
            </w:pPr>
            <w:r>
              <w:rPr>
                <w:rFonts w:ascii="Arial" w:cs="Arial" w:eastAsia="Arial" w:hAnsi="Arial"/>
                <w:sz w:val="18"/>
                <w:szCs w:val="18"/>
                <w:color w:val="auto"/>
                <w:w w:val="89"/>
              </w:rPr>
              <w:t>1,823,898</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847,724</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Sundry payables and accrued expenses</w:t>
            </w:r>
          </w:p>
        </w:tc>
        <w:tc>
          <w:tcPr>
            <w:tcW w:w="3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2,532,658</w:t>
            </w:r>
          </w:p>
        </w:tc>
        <w:tc>
          <w:tcPr>
            <w:tcW w:w="34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2,646,503</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342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right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4,356,556</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3,494,227</w:t>
            </w: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60" w:type="dxa"/>
            <w:vAlign w:val="bottom"/>
            <w:gridSpan w:val="4"/>
          </w:tcPr>
          <w:p>
            <w:pPr>
              <w:ind w:left="620"/>
              <w:spacing w:after="0"/>
              <w:rPr>
                <w:sz w:val="20"/>
                <w:szCs w:val="20"/>
                <w:color w:val="auto"/>
              </w:rPr>
            </w:pPr>
            <w:r>
              <w:rPr>
                <w:rFonts w:ascii="Arial" w:cs="Arial" w:eastAsia="Arial" w:hAnsi="Arial"/>
                <w:sz w:val="18"/>
                <w:szCs w:val="18"/>
                <w:color w:val="auto"/>
              </w:rPr>
              <w:t>F-28</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5483860</wp:posOffset>
            </wp:positionH>
            <wp:positionV relativeFrom="paragraph">
              <wp:posOffset>-1268095</wp:posOffset>
            </wp:positionV>
            <wp:extent cx="2228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-1268095</wp:posOffset>
            </wp:positionV>
            <wp:extent cx="1111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9" w:name="page160"/>
    <w:bookmarkEnd w:id="159"/>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5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5"/>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20  Contract liabilities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2"/>
        </w:trPr>
        <w:tc>
          <w:tcPr>
            <w:tcW w:w="15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520" w:type="dxa"/>
            <w:vAlign w:val="bottom"/>
            <w:gridSpan w:val="5"/>
          </w:tcPr>
          <w:p>
            <w:pPr>
              <w:ind w:left="360"/>
              <w:spacing w:after="0"/>
              <w:rPr>
                <w:sz w:val="20"/>
                <w:szCs w:val="20"/>
                <w:color w:val="auto"/>
              </w:rPr>
            </w:pPr>
            <w:r>
              <w:rPr>
                <w:rFonts w:ascii="Arial" w:cs="Arial" w:eastAsia="Arial" w:hAnsi="Arial"/>
                <w:sz w:val="14"/>
                <w:szCs w:val="14"/>
                <w:b w:val="1"/>
                <w:bCs w:val="1"/>
                <w:color w:val="auto"/>
              </w:rPr>
              <w:t>Consolidated</w:t>
            </w:r>
          </w:p>
        </w:tc>
      </w:tr>
      <w:tr>
        <w:trPr>
          <w:trHeight w:val="53"/>
        </w:trPr>
        <w:tc>
          <w:tcPr>
            <w:tcW w:w="1540" w:type="dxa"/>
            <w:vAlign w:val="bottom"/>
          </w:tcPr>
          <w:p>
            <w:pPr>
              <w:spacing w:after="0"/>
              <w:rPr>
                <w:sz w:val="4"/>
                <w:szCs w:val="4"/>
                <w:color w:val="auto"/>
              </w:rPr>
            </w:pPr>
          </w:p>
        </w:tc>
        <w:tc>
          <w:tcPr>
            <w:tcW w:w="53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87"/>
        </w:trPr>
        <w:tc>
          <w:tcPr>
            <w:tcW w:w="15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r>
      <w:tr>
        <w:trPr>
          <w:trHeight w:val="186"/>
        </w:trPr>
        <w:tc>
          <w:tcPr>
            <w:tcW w:w="15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53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63"/>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 liabilities – Hardware sale contracts</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310,102</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98,783</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1540" w:type="dxa"/>
            <w:vAlign w:val="bottom"/>
            <w:shd w:val="clear" w:color="auto" w:fill="CCEEFF"/>
          </w:tcPr>
          <w:p>
            <w:pPr>
              <w:spacing w:after="0"/>
              <w:rPr>
                <w:sz w:val="5"/>
                <w:szCs w:val="5"/>
                <w:color w:val="auto"/>
              </w:rPr>
            </w:pPr>
          </w:p>
        </w:tc>
        <w:tc>
          <w:tcPr>
            <w:tcW w:w="5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154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310,102</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98,783</w:t>
            </w:r>
          </w:p>
        </w:tc>
        <w:tc>
          <w:tcPr>
            <w:tcW w:w="20" w:type="dxa"/>
            <w:vAlign w:val="bottom"/>
          </w:tcPr>
          <w:p>
            <w:pPr>
              <w:spacing w:after="0"/>
              <w:rPr>
                <w:sz w:val="23"/>
                <w:szCs w:val="23"/>
                <w:color w:val="auto"/>
              </w:rPr>
            </w:pPr>
          </w:p>
        </w:tc>
      </w:tr>
      <w:tr>
        <w:trPr>
          <w:trHeight w:val="20"/>
        </w:trPr>
        <w:tc>
          <w:tcPr>
            <w:tcW w:w="15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-436245</wp:posOffset>
            </wp:positionV>
            <wp:extent cx="25717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-436245</wp:posOffset>
            </wp:positionV>
            <wp:extent cx="1289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72"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3"/>
          <w:szCs w:val="13"/>
          <w:b w:val="1"/>
          <w:bCs w:val="1"/>
          <w:color w:val="auto"/>
        </w:rPr>
        <w:t>Leases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note provides information for leases where the group is the lessee.</w:t>
      </w:r>
    </w:p>
    <w:p>
      <w:pPr>
        <w:spacing w:after="0" w:line="34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Amounts recognised in the balance sheet</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balance sheet shows the following amounts relating to leases: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30 June</w:t>
            </w:r>
          </w:p>
        </w:tc>
        <w:tc>
          <w:tcPr>
            <w:tcW w:w="740" w:type="dxa"/>
            <w:vAlign w:val="bottom"/>
          </w:tcPr>
          <w:p>
            <w:pPr>
              <w:jc w:val="center"/>
              <w:spacing w:after="0"/>
              <w:rPr>
                <w:sz w:val="20"/>
                <w:szCs w:val="20"/>
                <w:color w:val="auto"/>
              </w:rPr>
            </w:pPr>
            <w:r>
              <w:rPr>
                <w:rFonts w:ascii="Arial" w:cs="Arial" w:eastAsia="Arial" w:hAnsi="Arial"/>
                <w:sz w:val="14"/>
                <w:szCs w:val="14"/>
                <w:color w:val="auto"/>
                <w:w w:val="88"/>
              </w:rPr>
              <w:t>30 June</w:t>
            </w:r>
          </w:p>
        </w:tc>
      </w:tr>
      <w:tr>
        <w:trPr>
          <w:trHeight w:val="148"/>
        </w:trPr>
        <w:tc>
          <w:tcPr>
            <w:tcW w:w="6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2020</w:t>
            </w:r>
          </w:p>
        </w:tc>
      </w:tr>
      <w:tr>
        <w:trPr>
          <w:trHeight w:val="186"/>
        </w:trPr>
        <w:tc>
          <w:tcPr>
            <w:tcW w:w="67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w:t>
            </w:r>
          </w:p>
        </w:tc>
      </w:tr>
      <w:tr>
        <w:trPr>
          <w:trHeight w:val="53"/>
        </w:trPr>
        <w:tc>
          <w:tcPr>
            <w:tcW w:w="67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63"/>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Right-of-use assets </w:t>
            </w:r>
            <w:r>
              <w:rPr>
                <w:rFonts w:ascii="Arial" w:cs="Arial" w:eastAsia="Arial" w:hAnsi="Arial"/>
                <w:sz w:val="18"/>
                <w:szCs w:val="18"/>
                <w:color w:val="auto"/>
              </w:rPr>
              <w:t>- Buildings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7,406,943</w:t>
            </w:r>
          </w:p>
        </w:tc>
        <w:tc>
          <w:tcPr>
            <w:tcW w:w="24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2,853,427</w:t>
            </w:r>
          </w:p>
        </w:tc>
      </w:tr>
      <w:tr>
        <w:trPr>
          <w:trHeight w:val="61"/>
        </w:trPr>
        <w:tc>
          <w:tcPr>
            <w:tcW w:w="67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right w:val="single" w:sz="8" w:color="CCEEFF"/>
            </w:tcBorders>
            <w:shd w:val="clear" w:color="auto" w:fill="CCEEFF"/>
          </w:tcPr>
          <w:p>
            <w:pPr>
              <w:spacing w:after="0"/>
              <w:rPr>
                <w:sz w:val="5"/>
                <w:szCs w:val="5"/>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
        </w:trPr>
        <w:tc>
          <w:tcPr>
            <w:tcW w:w="6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77"/>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410,792</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141,124</w:t>
            </w:r>
          </w:p>
        </w:tc>
      </w:tr>
      <w:tr>
        <w:trPr>
          <w:trHeight w:val="243"/>
        </w:trPr>
        <w:tc>
          <w:tcPr>
            <w:tcW w:w="6720" w:type="dxa"/>
            <w:vAlign w:val="bottom"/>
          </w:tcPr>
          <w:p>
            <w:pPr>
              <w:spacing w:after="0"/>
              <w:rPr>
                <w:sz w:val="20"/>
                <w:szCs w:val="20"/>
                <w:color w:val="auto"/>
              </w:rPr>
            </w:pPr>
            <w:r>
              <w:rPr>
                <w:rFonts w:ascii="Arial" w:cs="Arial" w:eastAsia="Arial" w:hAnsi="Arial"/>
                <w:sz w:val="18"/>
                <w:szCs w:val="18"/>
                <w:color w:val="auto"/>
              </w:rPr>
              <w:t>Non-current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7,120,396</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2,778,979</w:t>
            </w:r>
          </w:p>
        </w:tc>
      </w:tr>
      <w:tr>
        <w:trPr>
          <w:trHeight w:val="61"/>
        </w:trPr>
        <w:tc>
          <w:tcPr>
            <w:tcW w:w="672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r>
      <w:tr>
        <w:trPr>
          <w:trHeight w:val="291"/>
        </w:trPr>
        <w:tc>
          <w:tcPr>
            <w:tcW w:w="67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7,531,188</w:t>
            </w:r>
          </w:p>
        </w:tc>
        <w:tc>
          <w:tcPr>
            <w:tcW w:w="24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2,920,103</w:t>
            </w:r>
          </w:p>
        </w:tc>
      </w:tr>
      <w:tr>
        <w:trPr>
          <w:trHeight w:val="27"/>
        </w:trPr>
        <w:tc>
          <w:tcPr>
            <w:tcW w:w="6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-1045210</wp:posOffset>
            </wp:positionV>
            <wp:extent cx="1543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-1045210</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Additions to the right-of-use assets during the 2021 financial year were $5,084,858 (2020: $nil).</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During the financial year the Group entered into an amended lease for the facility in Chattanooga to include a further 80,000 square feet and bring the total area of the warehouse facility under lease to 120,000 square feet. This increase in space has resulted in an increase in base rent which has been accounted for as an addition to the right-of-use asset. All other terms of the lease remain the same.</w:t>
      </w:r>
    </w:p>
    <w:p>
      <w:pPr>
        <w:spacing w:after="0" w:line="30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Amounts recognised in the statement of profit or loss and other comprehensive income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statement of profit or loss and other comprehensive income shows the following amounts relating to leases:</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3"/>
          </w:tcPr>
          <w:p>
            <w:pPr>
              <w:ind w:left="600"/>
              <w:spacing w:after="0"/>
              <w:rPr>
                <w:sz w:val="20"/>
                <w:szCs w:val="20"/>
                <w:color w:val="auto"/>
              </w:rPr>
            </w:pPr>
            <w:r>
              <w:rPr>
                <w:rFonts w:ascii="Arial" w:cs="Arial" w:eastAsia="Arial" w:hAnsi="Arial"/>
                <w:sz w:val="14"/>
                <w:szCs w:val="14"/>
                <w:b w:val="1"/>
                <w:bCs w:val="1"/>
                <w:color w:val="auto"/>
              </w:rPr>
              <w:t>2021</w:t>
            </w:r>
          </w:p>
        </w:tc>
        <w:tc>
          <w:tcPr>
            <w:tcW w:w="980" w:type="dxa"/>
            <w:vAlign w:val="bottom"/>
            <w:gridSpan w:val="3"/>
          </w:tcPr>
          <w:p>
            <w:pPr>
              <w:jc w:val="center"/>
              <w:ind w:left="2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900" w:type="dxa"/>
            <w:vAlign w:val="bottom"/>
            <w:tcBorders>
              <w:bottom w:val="single" w:sz="8" w:color="CCEEFF"/>
            </w:tcBorders>
            <w:gridSpan w:val="2"/>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5"/>
              </w:rPr>
              <w:t>Depreciation of right-of-use assets - Buildings</w:t>
            </w: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197,680</w:t>
            </w:r>
          </w:p>
        </w:tc>
        <w:tc>
          <w:tcPr>
            <w:tcW w:w="980" w:type="dxa"/>
            <w:vAlign w:val="bottom"/>
            <w:tcBorders>
              <w:bottom w:val="single" w:sz="8" w:color="CCEEFF"/>
              <w:right w:val="single" w:sz="8" w:color="CCEEFF"/>
            </w:tcBorders>
            <w:gridSpan w:val="3"/>
            <w:shd w:val="clear" w:color="auto" w:fill="CCEEFF"/>
          </w:tcPr>
          <w:p>
            <w:pPr>
              <w:jc w:val="center"/>
              <w:ind w:left="275"/>
              <w:spacing w:after="0"/>
              <w:rPr>
                <w:sz w:val="20"/>
                <w:szCs w:val="20"/>
                <w:color w:val="auto"/>
              </w:rPr>
            </w:pPr>
            <w:r>
              <w:rPr>
                <w:rFonts w:ascii="Arial" w:cs="Arial" w:eastAsia="Arial" w:hAnsi="Arial"/>
                <w:sz w:val="18"/>
                <w:szCs w:val="18"/>
                <w:color w:val="auto"/>
                <w:w w:val="89"/>
              </w:rPr>
              <w:t>210,381</w:t>
            </w:r>
          </w:p>
        </w:tc>
        <w:tc>
          <w:tcPr>
            <w:tcW w:w="0" w:type="dxa"/>
            <w:vAlign w:val="bottom"/>
          </w:tcPr>
          <w:p>
            <w:pPr>
              <w:spacing w:after="0"/>
              <w:rPr>
                <w:sz w:val="1"/>
                <w:szCs w:val="1"/>
                <w:color w:val="auto"/>
              </w:rPr>
            </w:pPr>
          </w:p>
        </w:tc>
      </w:tr>
      <w:tr>
        <w:trPr>
          <w:trHeight w:val="257"/>
        </w:trPr>
        <w:tc>
          <w:tcPr>
            <w:tcW w:w="244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123,763</w:t>
            </w:r>
          </w:p>
        </w:tc>
        <w:tc>
          <w:tcPr>
            <w:tcW w:w="980" w:type="dxa"/>
            <w:vAlign w:val="bottom"/>
            <w:gridSpan w:val="3"/>
          </w:tcPr>
          <w:p>
            <w:pPr>
              <w:jc w:val="center"/>
              <w:ind w:left="275"/>
              <w:spacing w:after="0"/>
              <w:rPr>
                <w:sz w:val="20"/>
                <w:szCs w:val="20"/>
                <w:color w:val="auto"/>
              </w:rPr>
            </w:pPr>
            <w:r>
              <w:rPr>
                <w:rFonts w:ascii="Arial" w:cs="Arial" w:eastAsia="Arial" w:hAnsi="Arial"/>
                <w:sz w:val="18"/>
                <w:szCs w:val="18"/>
                <w:color w:val="auto"/>
                <w:w w:val="89"/>
              </w:rPr>
              <w:t>112,303</w:t>
            </w:r>
          </w:p>
        </w:tc>
        <w:tc>
          <w:tcPr>
            <w:tcW w:w="0" w:type="dxa"/>
            <w:vAlign w:val="bottom"/>
          </w:tcPr>
          <w:p>
            <w:pPr>
              <w:spacing w:after="0"/>
              <w:rPr>
                <w:sz w:val="1"/>
                <w:szCs w:val="1"/>
                <w:color w:val="auto"/>
              </w:rPr>
            </w:pPr>
          </w:p>
        </w:tc>
      </w:tr>
      <w:tr>
        <w:trPr>
          <w:trHeight w:val="378"/>
        </w:trPr>
        <w:tc>
          <w:tcPr>
            <w:tcW w:w="6380" w:type="dxa"/>
            <w:vAlign w:val="bottom"/>
            <w:gridSpan w:val="9"/>
          </w:tcPr>
          <w:p>
            <w:pPr>
              <w:spacing w:after="0"/>
              <w:rPr>
                <w:sz w:val="20"/>
                <w:szCs w:val="20"/>
                <w:color w:val="auto"/>
              </w:rPr>
            </w:pPr>
            <w:r>
              <w:rPr>
                <w:rFonts w:ascii="Arial" w:cs="Arial" w:eastAsia="Arial" w:hAnsi="Arial"/>
                <w:sz w:val="18"/>
                <w:szCs w:val="18"/>
                <w:color w:val="auto"/>
                <w:w w:val="92"/>
              </w:rPr>
              <w:t>The total cash outflow for leases in the financial year was $190,426 (2020: $254,271).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440" w:type="dxa"/>
            <w:vAlign w:val="bottom"/>
          </w:tcPr>
          <w:p>
            <w:pPr>
              <w:spacing w:after="0"/>
              <w:rPr>
                <w:sz w:val="20"/>
                <w:szCs w:val="20"/>
                <w:color w:val="auto"/>
              </w:rPr>
            </w:pPr>
            <w:r>
              <w:rPr>
                <w:rFonts w:ascii="Arial" w:cs="Arial" w:eastAsia="Arial" w:hAnsi="Arial"/>
                <w:sz w:val="18"/>
                <w:szCs w:val="18"/>
                <w:b w:val="1"/>
                <w:bCs w:val="1"/>
                <w:color w:val="auto"/>
              </w:rPr>
              <w:t>Note 22  Borrowings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280" w:type="dxa"/>
            <w:vAlign w:val="bottom"/>
          </w:tcPr>
          <w:p>
            <w:pPr>
              <w:spacing w:after="0"/>
              <w:rPr>
                <w:sz w:val="16"/>
                <w:szCs w:val="16"/>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Current</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1040" w:type="dxa"/>
            <w:vAlign w:val="bottom"/>
            <w:gridSpan w:val="2"/>
          </w:tcPr>
          <w:p>
            <w:pPr>
              <w:jc w:val="center"/>
              <w:ind w:left="373"/>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ind w:left="60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4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Secured</w:t>
            </w:r>
          </w:p>
        </w:tc>
        <w:tc>
          <w:tcPr>
            <w:tcW w:w="4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Bank loans (i)</w:t>
            </w:r>
          </w:p>
        </w:tc>
        <w:tc>
          <w:tcPr>
            <w:tcW w:w="1040" w:type="dxa"/>
            <w:vAlign w:val="bottom"/>
            <w:gridSpan w:val="2"/>
          </w:tcPr>
          <w:p>
            <w:pPr>
              <w:jc w:val="center"/>
              <w:ind w:left="373"/>
              <w:spacing w:after="0"/>
              <w:rPr>
                <w:sz w:val="20"/>
                <w:szCs w:val="20"/>
                <w:color w:val="auto"/>
              </w:rPr>
            </w:pPr>
            <w:r>
              <w:rPr>
                <w:rFonts w:ascii="Arial" w:cs="Arial" w:eastAsia="Arial" w:hAnsi="Arial"/>
                <w:sz w:val="18"/>
                <w:szCs w:val="18"/>
                <w:color w:val="auto"/>
                <w:w w:val="89"/>
              </w:rPr>
              <w:t>110,752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5,297,180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5,407,932</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56,704</w:t>
            </w:r>
          </w:p>
        </w:tc>
        <w:tc>
          <w:tcPr>
            <w:tcW w:w="1060" w:type="dxa"/>
            <w:vAlign w:val="bottom"/>
            <w:gridSpan w:val="3"/>
          </w:tcPr>
          <w:p>
            <w:pPr>
              <w:jc w:val="right"/>
              <w:ind w:right="8"/>
              <w:spacing w:after="0"/>
              <w:rPr>
                <w:sz w:val="20"/>
                <w:szCs w:val="20"/>
                <w:color w:val="auto"/>
              </w:rPr>
            </w:pPr>
            <w:r>
              <w:rPr>
                <w:rFonts w:ascii="Arial" w:cs="Arial" w:eastAsia="Arial" w:hAnsi="Arial"/>
                <w:sz w:val="18"/>
                <w:szCs w:val="18"/>
                <w:color w:val="auto"/>
              </w:rPr>
              <w:t>1,214,406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1,271,110</w:t>
            </w:r>
          </w:p>
        </w:tc>
        <w:tc>
          <w:tcPr>
            <w:tcW w:w="0" w:type="dxa"/>
            <w:vAlign w:val="bottom"/>
          </w:tcPr>
          <w:p>
            <w:pPr>
              <w:spacing w:after="0"/>
              <w:rPr>
                <w:sz w:val="1"/>
                <w:szCs w:val="1"/>
                <w:color w:val="auto"/>
              </w:rPr>
            </w:pPr>
          </w:p>
        </w:tc>
      </w:tr>
      <w:tr>
        <w:trPr>
          <w:trHeight w:val="61"/>
        </w:trPr>
        <w:tc>
          <w:tcPr>
            <w:tcW w:w="2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 secured borrowings</w:t>
            </w:r>
          </w:p>
        </w:tc>
        <w:tc>
          <w:tcPr>
            <w:tcW w:w="104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89"/>
              </w:rPr>
              <w:t>110,752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5,297,180</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5,407,932</w:t>
            </w:r>
          </w:p>
        </w:tc>
        <w:tc>
          <w:tcPr>
            <w:tcW w:w="26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56,704</w:t>
            </w:r>
          </w:p>
        </w:tc>
        <w:tc>
          <w:tcPr>
            <w:tcW w:w="106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1,214,406</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1,271,110</w:t>
            </w:r>
          </w:p>
        </w:tc>
        <w:tc>
          <w:tcPr>
            <w:tcW w:w="0" w:type="dxa"/>
            <w:vAlign w:val="bottom"/>
          </w:tcPr>
          <w:p>
            <w:pPr>
              <w:spacing w:after="0"/>
              <w:rPr>
                <w:sz w:val="1"/>
                <w:szCs w:val="1"/>
                <w:color w:val="auto"/>
              </w:rPr>
            </w:pPr>
          </w:p>
        </w:tc>
      </w:tr>
      <w:tr>
        <w:trPr>
          <w:trHeight w:val="61"/>
        </w:trPr>
        <w:tc>
          <w:tcPr>
            <w:tcW w:w="24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440" w:type="dxa"/>
            <w:vAlign w:val="bottom"/>
          </w:tcPr>
          <w:p>
            <w:pPr>
              <w:spacing w:after="0"/>
              <w:rPr>
                <w:sz w:val="20"/>
                <w:szCs w:val="20"/>
                <w:color w:val="auto"/>
              </w:rPr>
            </w:pPr>
            <w:r>
              <w:rPr>
                <w:rFonts w:ascii="Arial" w:cs="Arial" w:eastAsia="Arial" w:hAnsi="Arial"/>
                <w:sz w:val="18"/>
                <w:szCs w:val="18"/>
                <w:i w:val="1"/>
                <w:iCs w:val="1"/>
                <w:color w:val="auto"/>
              </w:rPr>
              <w:t>Unsecured</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loans (iii)</w:t>
            </w:r>
          </w:p>
        </w:tc>
        <w:tc>
          <w:tcPr>
            <w:tcW w:w="104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89"/>
              </w:rPr>
              <w:t>166,308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689,385</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855,693</w:t>
            </w:r>
          </w:p>
        </w:tc>
        <w:tc>
          <w:tcPr>
            <w:tcW w:w="26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218,213</w:t>
            </w:r>
          </w:p>
        </w:tc>
        <w:tc>
          <w:tcPr>
            <w:tcW w:w="106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722,689</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940,902</w:t>
            </w:r>
          </w:p>
        </w:tc>
        <w:tc>
          <w:tcPr>
            <w:tcW w:w="0" w:type="dxa"/>
            <w:vAlign w:val="bottom"/>
          </w:tcPr>
          <w:p>
            <w:pPr>
              <w:spacing w:after="0"/>
              <w:rPr>
                <w:sz w:val="1"/>
                <w:szCs w:val="1"/>
                <w:color w:val="auto"/>
              </w:rPr>
            </w:pPr>
          </w:p>
        </w:tc>
      </w:tr>
      <w:tr>
        <w:trPr>
          <w:trHeight w:val="61"/>
        </w:trPr>
        <w:tc>
          <w:tcPr>
            <w:tcW w:w="24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440" w:type="dxa"/>
            <w:vAlign w:val="bottom"/>
          </w:tcPr>
          <w:p>
            <w:pPr>
              <w:spacing w:after="0"/>
              <w:rPr>
                <w:sz w:val="20"/>
                <w:szCs w:val="20"/>
                <w:color w:val="auto"/>
              </w:rPr>
            </w:pPr>
            <w:r>
              <w:rPr>
                <w:rFonts w:ascii="Arial" w:cs="Arial" w:eastAsia="Arial" w:hAnsi="Arial"/>
                <w:sz w:val="18"/>
                <w:szCs w:val="18"/>
                <w:color w:val="auto"/>
              </w:rPr>
              <w:t>Total unsecured borrowings</w:t>
            </w:r>
          </w:p>
        </w:tc>
        <w:tc>
          <w:tcPr>
            <w:tcW w:w="1040" w:type="dxa"/>
            <w:vAlign w:val="bottom"/>
            <w:gridSpan w:val="2"/>
          </w:tcPr>
          <w:p>
            <w:pPr>
              <w:jc w:val="center"/>
              <w:ind w:left="373"/>
              <w:spacing w:after="0"/>
              <w:rPr>
                <w:sz w:val="20"/>
                <w:szCs w:val="20"/>
                <w:color w:val="auto"/>
              </w:rPr>
            </w:pPr>
            <w:r>
              <w:rPr>
                <w:rFonts w:ascii="Arial" w:cs="Arial" w:eastAsia="Arial" w:hAnsi="Arial"/>
                <w:sz w:val="18"/>
                <w:szCs w:val="18"/>
                <w:color w:val="auto"/>
                <w:w w:val="89"/>
              </w:rPr>
              <w:t>166,308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689,385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855,693</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218,213</w:t>
            </w:r>
          </w:p>
        </w:tc>
        <w:tc>
          <w:tcPr>
            <w:tcW w:w="1060" w:type="dxa"/>
            <w:vAlign w:val="bottom"/>
            <w:gridSpan w:val="3"/>
          </w:tcPr>
          <w:p>
            <w:pPr>
              <w:jc w:val="right"/>
              <w:ind w:right="8"/>
              <w:spacing w:after="0"/>
              <w:rPr>
                <w:sz w:val="20"/>
                <w:szCs w:val="20"/>
                <w:color w:val="auto"/>
              </w:rPr>
            </w:pPr>
            <w:r>
              <w:rPr>
                <w:rFonts w:ascii="Arial" w:cs="Arial" w:eastAsia="Arial" w:hAnsi="Arial"/>
                <w:sz w:val="18"/>
                <w:szCs w:val="18"/>
                <w:color w:val="auto"/>
              </w:rPr>
              <w:t>722,689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940,902</w:t>
            </w:r>
          </w:p>
        </w:tc>
        <w:tc>
          <w:tcPr>
            <w:tcW w:w="0" w:type="dxa"/>
            <w:vAlign w:val="bottom"/>
          </w:tcPr>
          <w:p>
            <w:pPr>
              <w:spacing w:after="0"/>
              <w:rPr>
                <w:sz w:val="1"/>
                <w:szCs w:val="1"/>
                <w:color w:val="auto"/>
              </w:rPr>
            </w:pPr>
          </w:p>
        </w:tc>
      </w:tr>
      <w:tr>
        <w:trPr>
          <w:trHeight w:val="61"/>
        </w:trPr>
        <w:tc>
          <w:tcPr>
            <w:tcW w:w="2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w:t>
            </w:r>
          </w:p>
        </w:tc>
        <w:tc>
          <w:tcPr>
            <w:tcW w:w="104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89"/>
              </w:rPr>
              <w:t>277,060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5,986,565</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6,263,625</w:t>
            </w:r>
          </w:p>
        </w:tc>
        <w:tc>
          <w:tcPr>
            <w:tcW w:w="26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274,917</w:t>
            </w:r>
          </w:p>
        </w:tc>
        <w:tc>
          <w:tcPr>
            <w:tcW w:w="106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1,937,095</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2,212,012</w:t>
            </w:r>
          </w:p>
        </w:tc>
        <w:tc>
          <w:tcPr>
            <w:tcW w:w="0" w:type="dxa"/>
            <w:vAlign w:val="bottom"/>
          </w:tcPr>
          <w:p>
            <w:pPr>
              <w:spacing w:after="0"/>
              <w:rPr>
                <w:sz w:val="1"/>
                <w:szCs w:val="1"/>
                <w:color w:val="auto"/>
              </w:rPr>
            </w:pPr>
          </w:p>
        </w:tc>
      </w:tr>
      <w:tr>
        <w:trPr>
          <w:trHeight w:val="27"/>
        </w:trPr>
        <w:tc>
          <w:tcPr>
            <w:tcW w:w="24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right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-3093720</wp:posOffset>
            </wp:positionV>
            <wp:extent cx="2400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-3093720</wp:posOffset>
            </wp:positionV>
            <wp:extent cx="1200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-1490980</wp:posOffset>
            </wp:positionV>
            <wp:extent cx="17145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-1490980</wp:posOffset>
            </wp:positionV>
            <wp:extent cx="17145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-1490980</wp:posOffset>
            </wp:positionV>
            <wp:extent cx="17145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-1490980</wp:posOffset>
            </wp:positionV>
            <wp:extent cx="17145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-1490980</wp:posOffset>
            </wp:positionV>
            <wp:extent cx="17145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-1490980</wp:posOffset>
            </wp:positionV>
            <wp:extent cx="857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6"/>
          <w:szCs w:val="16"/>
          <w:b w:val="1"/>
          <w:bCs w:val="1"/>
          <w:color w:val="auto"/>
        </w:rPr>
        <w:t>Borrowings (continued)</w:t>
      </w:r>
    </w:p>
    <w:p>
      <w:pPr>
        <w:spacing w:after="0" w:line="148" w:lineRule="exact"/>
        <w:rPr>
          <w:sz w:val="20"/>
          <w:szCs w:val="20"/>
          <w:color w:val="auto"/>
        </w:rPr>
      </w:pPr>
    </w:p>
    <w:p>
      <w:pPr>
        <w:ind w:left="640" w:hanging="348"/>
        <w:spacing w:after="0"/>
        <w:tabs>
          <w:tab w:leader="none" w:pos="640"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Secured liabilities and assets pledged as security</w:t>
      </w:r>
    </w:p>
    <w:p>
      <w:pPr>
        <w:spacing w:after="0" w:line="117" w:lineRule="exact"/>
        <w:rPr>
          <w:rFonts w:ascii="Arial" w:cs="Arial" w:eastAsia="Arial" w:hAnsi="Arial"/>
          <w:sz w:val="18"/>
          <w:szCs w:val="18"/>
          <w:i w:val="1"/>
          <w:iCs w:val="1"/>
          <w:color w:val="auto"/>
        </w:rPr>
      </w:pPr>
    </w:p>
    <w:p>
      <w:pPr>
        <w:ind w:left="1000" w:right="559" w:hanging="348"/>
        <w:spacing w:after="0" w:line="263" w:lineRule="auto"/>
        <w:tabs>
          <w:tab w:leader="none" w:pos="10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December 2017, the group entered into a loan facility to purchase commercial land and buildings in Nova Scotia from which the Battery Technology Solutions business operates. The initial amount loaned under the facility was CAD $1,330,000.</w:t>
      </w:r>
    </w:p>
    <w:p>
      <w:pPr>
        <w:spacing w:after="0" w:line="75" w:lineRule="exact"/>
        <w:rPr>
          <w:rFonts w:ascii="Arial" w:cs="Arial" w:eastAsia="Arial" w:hAnsi="Arial"/>
          <w:sz w:val="18"/>
          <w:szCs w:val="18"/>
          <w:color w:val="auto"/>
        </w:rPr>
      </w:pPr>
    </w:p>
    <w:p>
      <w:pPr>
        <w:ind w:left="1020" w:right="359"/>
        <w:spacing w:after="0" w:line="259" w:lineRule="auto"/>
        <w:rPr>
          <w:rFonts w:ascii="Arial" w:cs="Arial" w:eastAsia="Arial" w:hAnsi="Arial"/>
          <w:sz w:val="18"/>
          <w:szCs w:val="18"/>
          <w:color w:val="auto"/>
        </w:rPr>
      </w:pPr>
      <w:r>
        <w:rPr>
          <w:rFonts w:ascii="Arial" w:cs="Arial" w:eastAsia="Arial" w:hAnsi="Arial"/>
          <w:sz w:val="18"/>
          <w:szCs w:val="18"/>
          <w:color w:val="auto"/>
        </w:rPr>
        <w:t>On 5 February 2021, the group extended the loan facility and the total available amount now available under the facility is CAD $2,680,000. At 30 June 2021 the facility had been drawn down to CAD$2,047,697, leaving a remaining undrawn amount of $623,303. The total liability at year end is CAD $1,866,103.</w:t>
      </w:r>
    </w:p>
    <w:p>
      <w:pPr>
        <w:spacing w:after="0" w:line="78" w:lineRule="exact"/>
        <w:rPr>
          <w:rFonts w:ascii="Arial" w:cs="Arial" w:eastAsia="Arial" w:hAnsi="Arial"/>
          <w:sz w:val="18"/>
          <w:szCs w:val="18"/>
          <w:color w:val="auto"/>
        </w:rPr>
      </w:pPr>
    </w:p>
    <w:p>
      <w:pPr>
        <w:ind w:left="1020" w:right="1299"/>
        <w:spacing w:after="0" w:line="277" w:lineRule="auto"/>
        <w:rPr>
          <w:rFonts w:ascii="Arial" w:cs="Arial" w:eastAsia="Arial" w:hAnsi="Arial"/>
          <w:sz w:val="18"/>
          <w:szCs w:val="18"/>
          <w:color w:val="auto"/>
        </w:rPr>
      </w:pPr>
      <w:r>
        <w:rPr>
          <w:rFonts w:ascii="Arial" w:cs="Arial" w:eastAsia="Arial" w:hAnsi="Arial"/>
          <w:sz w:val="18"/>
          <w:szCs w:val="18"/>
          <w:color w:val="auto"/>
        </w:rPr>
        <w:t>The facility is repayable in monthly instalments, commencing 15 December 2017 and ending 15 August 2044.</w:t>
      </w:r>
    </w:p>
    <w:p>
      <w:pPr>
        <w:spacing w:after="0" w:line="10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The Group's freehold land and buildings are pledged as collateral against the bank loan.</w:t>
      </w:r>
    </w:p>
    <w:p>
      <w:pPr>
        <w:spacing w:after="0" w:line="117" w:lineRule="exact"/>
        <w:rPr>
          <w:rFonts w:ascii="Arial" w:cs="Arial" w:eastAsia="Arial" w:hAnsi="Arial"/>
          <w:sz w:val="18"/>
          <w:szCs w:val="18"/>
          <w:color w:val="auto"/>
        </w:rPr>
      </w:pPr>
    </w:p>
    <w:p>
      <w:pPr>
        <w:ind w:left="1020" w:right="379"/>
        <w:spacing w:after="0" w:line="277" w:lineRule="auto"/>
        <w:rPr>
          <w:rFonts w:ascii="Arial" w:cs="Arial" w:eastAsia="Arial" w:hAnsi="Arial"/>
          <w:sz w:val="18"/>
          <w:szCs w:val="18"/>
          <w:color w:val="auto"/>
        </w:rPr>
      </w:pPr>
      <w:r>
        <w:rPr>
          <w:rFonts w:ascii="Arial" w:cs="Arial" w:eastAsia="Arial" w:hAnsi="Arial"/>
          <w:sz w:val="18"/>
          <w:szCs w:val="18"/>
          <w:color w:val="auto"/>
        </w:rPr>
        <w:t>The carrying amounts of non-financial assets pledged as collateral for current and non-current borrowings is $3,104,819 (2020: $2,039,796).</w:t>
      </w:r>
    </w:p>
    <w:p>
      <w:pPr>
        <w:spacing w:after="0" w:line="62" w:lineRule="exact"/>
        <w:rPr>
          <w:rFonts w:ascii="Arial" w:cs="Arial" w:eastAsia="Arial" w:hAnsi="Arial"/>
          <w:sz w:val="18"/>
          <w:szCs w:val="18"/>
          <w:color w:val="auto"/>
        </w:rPr>
      </w:pPr>
    </w:p>
    <w:p>
      <w:pPr>
        <w:ind w:left="1000" w:right="379" w:hanging="348"/>
        <w:spacing w:after="0" w:line="257" w:lineRule="auto"/>
        <w:tabs>
          <w:tab w:leader="none" w:pos="10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On 28 May 2021, the Group purchased commercial land and buildings in Nova Scotia, Canada for CAD$3,550,000 from which the Cathode business will operate. The Group entered into a loan facility to purchase the land and buildings. The total available amount under the facility is CAD $4,375,000 and it has been drawn down to CAD$3,169,216 at the date of this report. The balance of the facility will be used to fund renovations to the building.</w:t>
      </w:r>
    </w:p>
    <w:p>
      <w:pPr>
        <w:spacing w:after="0" w:line="79" w:lineRule="exact"/>
        <w:rPr>
          <w:rFonts w:ascii="Arial" w:cs="Arial" w:eastAsia="Arial" w:hAnsi="Arial"/>
          <w:sz w:val="18"/>
          <w:szCs w:val="18"/>
          <w:color w:val="auto"/>
        </w:rPr>
      </w:pPr>
    </w:p>
    <w:p>
      <w:pPr>
        <w:ind w:left="1020" w:right="319"/>
        <w:spacing w:after="0" w:line="277" w:lineRule="auto"/>
        <w:rPr>
          <w:rFonts w:ascii="Arial" w:cs="Arial" w:eastAsia="Arial" w:hAnsi="Arial"/>
          <w:sz w:val="18"/>
          <w:szCs w:val="18"/>
          <w:color w:val="auto"/>
        </w:rPr>
      </w:pPr>
      <w:r>
        <w:rPr>
          <w:rFonts w:ascii="Arial" w:cs="Arial" w:eastAsia="Arial" w:hAnsi="Arial"/>
          <w:sz w:val="18"/>
          <w:szCs w:val="18"/>
          <w:color w:val="auto"/>
        </w:rPr>
        <w:t>The full facility is repayable in monthly instalments, commencing 31 May 2022 and ending 30 April 2047. The Group’s land and buildings have been pledged as collateral for the bank loan.</w:t>
      </w:r>
    </w:p>
    <w:p>
      <w:pPr>
        <w:spacing w:after="0" w:line="62" w:lineRule="exact"/>
        <w:rPr>
          <w:rFonts w:ascii="Arial" w:cs="Arial" w:eastAsia="Arial" w:hAnsi="Arial"/>
          <w:sz w:val="18"/>
          <w:szCs w:val="18"/>
          <w:color w:val="auto"/>
        </w:rPr>
      </w:pPr>
    </w:p>
    <w:p>
      <w:pPr>
        <w:ind w:left="1020" w:right="379"/>
        <w:spacing w:after="0" w:line="277" w:lineRule="auto"/>
        <w:rPr>
          <w:rFonts w:ascii="Arial" w:cs="Arial" w:eastAsia="Arial" w:hAnsi="Arial"/>
          <w:sz w:val="18"/>
          <w:szCs w:val="18"/>
          <w:color w:val="auto"/>
        </w:rPr>
      </w:pPr>
      <w:r>
        <w:rPr>
          <w:rFonts w:ascii="Arial" w:cs="Arial" w:eastAsia="Arial" w:hAnsi="Arial"/>
          <w:sz w:val="18"/>
          <w:szCs w:val="18"/>
          <w:color w:val="auto"/>
        </w:rPr>
        <w:t>The carrying amounts of non-financial assets pledged as collateral for current and non-current borrowings is $4,006,926.</w:t>
      </w:r>
    </w:p>
    <w:p>
      <w:pPr>
        <w:spacing w:after="0" w:line="319" w:lineRule="exact"/>
        <w:rPr>
          <w:sz w:val="20"/>
          <w:szCs w:val="20"/>
          <w:color w:val="auto"/>
        </w:rPr>
      </w:pPr>
    </w:p>
    <w:p>
      <w:pPr>
        <w:ind w:left="700" w:hanging="408"/>
        <w:spacing w:after="0"/>
        <w:tabs>
          <w:tab w:leader="none" w:pos="70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Other loans</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ACOA Loans</w:t>
      </w:r>
    </w:p>
    <w:p>
      <w:pPr>
        <w:spacing w:after="0" w:line="121" w:lineRule="exact"/>
        <w:rPr>
          <w:sz w:val="20"/>
          <w:szCs w:val="20"/>
          <w:color w:val="auto"/>
        </w:rPr>
      </w:pPr>
    </w:p>
    <w:p>
      <w:pPr>
        <w:ind w:left="300" w:right="399"/>
        <w:spacing w:after="0" w:line="301" w:lineRule="auto"/>
        <w:rPr>
          <w:sz w:val="20"/>
          <w:szCs w:val="20"/>
          <w:color w:val="auto"/>
        </w:rPr>
      </w:pPr>
      <w:r>
        <w:rPr>
          <w:rFonts w:ascii="Arial" w:cs="Arial" w:eastAsia="Arial" w:hAnsi="Arial"/>
          <w:sz w:val="16"/>
          <w:szCs w:val="16"/>
          <w:color w:val="auto"/>
        </w:rPr>
        <w:t>In December 2017, the group entered into a contribution agreement with Atlantic Canada Opportunities Agency (ACOA), for CAD$500,000. As at 30 June 2021, CAD$500,000 of the facility has been drawn down. The funding was to assist with expanding the market to reach new customers through marketing and product improvements. The facility is repayable in monthly instalments commencing September 2019 and ending May 2027.</w:t>
      </w:r>
    </w:p>
    <w:p>
      <w:pPr>
        <w:spacing w:after="0" w:line="49"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In October 2018, the group entered into another contribution agreement with Atlantic Canada Opportunities Agency (ACOA), for CAD$500,000. As at 30 June 2021, CAD$500,000 of the facility has been drawn down. The funding was to assist in establishing a battery cell manufacturing facility. The facility is repayable in monthly instalments commencing April 2020 and ending December 2026.</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(iii) Fair value</w:t>
      </w:r>
    </w:p>
    <w:p>
      <w:pPr>
        <w:spacing w:after="0" w:line="117"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For all borrowings, other than the ACOA loan noted at (ii) above, the fair values are not materially different to their carrying amounts, since the interest payable on those borrowings is either close to current market rates or the borrowings are of a short-term nature.</w:t>
      </w:r>
    </w:p>
    <w:p>
      <w:pPr>
        <w:spacing w:after="0" w:line="76" w:lineRule="exact"/>
        <w:rPr>
          <w:sz w:val="20"/>
          <w:szCs w:val="20"/>
          <w:color w:val="auto"/>
        </w:rPr>
      </w:pPr>
    </w:p>
    <w:p>
      <w:pPr>
        <w:ind w:left="300" w:right="379"/>
        <w:spacing w:after="0" w:line="286" w:lineRule="auto"/>
        <w:rPr>
          <w:sz w:val="20"/>
          <w:szCs w:val="20"/>
          <w:color w:val="auto"/>
        </w:rPr>
      </w:pPr>
      <w:r>
        <w:rPr>
          <w:rFonts w:ascii="Arial" w:cs="Arial" w:eastAsia="Arial" w:hAnsi="Arial"/>
          <w:sz w:val="17"/>
          <w:szCs w:val="17"/>
          <w:color w:val="auto"/>
        </w:rPr>
        <w:t>The ACOA loans are interest free. The initial fair value of the ACOA loans were determined using a market interest rate for equivalent borrowings at the issue date. This resulted in a day one gain of $100,152 in FY2018 (December 2017 loan) and a day 1 gain of $114,106 in FY2019 (October 2018 loan).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6"/>
          <w:szCs w:val="16"/>
          <w:b w:val="1"/>
          <w:bCs w:val="1"/>
          <w:color w:val="auto"/>
        </w:rPr>
        <w:t>Contributed equity</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40" w:type="dxa"/>
            <w:vAlign w:val="bottom"/>
          </w:tcPr>
          <w:p>
            <w:pPr>
              <w:spacing w:after="0"/>
              <w:rPr>
                <w:sz w:val="14"/>
                <w:szCs w:val="14"/>
                <w:color w:val="auto"/>
              </w:rPr>
            </w:pPr>
          </w:p>
        </w:tc>
        <w:tc>
          <w:tcPr>
            <w:tcW w:w="620" w:type="dxa"/>
            <w:vAlign w:val="bottom"/>
            <w:gridSpan w:val="3"/>
          </w:tcPr>
          <w:p>
            <w:pPr>
              <w:jc w:val="center"/>
              <w:ind w:left="219"/>
              <w:spacing w:after="0"/>
              <w:rPr>
                <w:sz w:val="20"/>
                <w:szCs w:val="20"/>
                <w:color w:val="auto"/>
              </w:rPr>
            </w:pPr>
            <w:r>
              <w:rPr>
                <w:rFonts w:ascii="Arial" w:cs="Arial" w:eastAsia="Arial" w:hAnsi="Arial"/>
                <w:sz w:val="14"/>
                <w:szCs w:val="14"/>
                <w:color w:val="auto"/>
                <w:w w:val="89"/>
              </w:rPr>
              <w:t>2019</w:t>
            </w:r>
          </w:p>
        </w:tc>
        <w:tc>
          <w:tcPr>
            <w:tcW w:w="300" w:type="dxa"/>
            <w:vAlign w:val="bottom"/>
          </w:tcPr>
          <w:p>
            <w:pPr>
              <w:spacing w:after="0"/>
              <w:rPr>
                <w:sz w:val="14"/>
                <w:szCs w:val="14"/>
                <w:color w:val="auto"/>
              </w:rPr>
            </w:pPr>
          </w:p>
        </w:tc>
        <w:tc>
          <w:tcPr>
            <w:tcW w:w="920" w:type="dxa"/>
            <w:vAlign w:val="bottom"/>
            <w:gridSpan w:val="3"/>
          </w:tcPr>
          <w:p>
            <w:pPr>
              <w:jc w:val="center"/>
              <w:ind w:left="211"/>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2020</w:t>
            </w:r>
          </w:p>
        </w:tc>
        <w:tc>
          <w:tcPr>
            <w:tcW w:w="20" w:type="dxa"/>
            <w:vAlign w:val="bottom"/>
          </w:tcPr>
          <w:p>
            <w:pPr>
              <w:spacing w:after="0"/>
              <w:rPr>
                <w:sz w:val="14"/>
                <w:szCs w:val="14"/>
                <w:color w:val="auto"/>
              </w:rPr>
            </w:pPr>
          </w:p>
        </w:tc>
        <w:tc>
          <w:tcPr>
            <w:tcW w:w="900" w:type="dxa"/>
            <w:vAlign w:val="bottom"/>
            <w:gridSpan w:val="2"/>
          </w:tcPr>
          <w:p>
            <w:pPr>
              <w:jc w:val="center"/>
              <w:ind w:left="112"/>
              <w:spacing w:after="0"/>
              <w:rPr>
                <w:sz w:val="20"/>
                <w:szCs w:val="20"/>
                <w:color w:val="auto"/>
              </w:rPr>
            </w:pPr>
            <w:r>
              <w:rPr>
                <w:rFonts w:ascii="Arial" w:cs="Arial" w:eastAsia="Arial" w:hAnsi="Arial"/>
                <w:sz w:val="14"/>
                <w:szCs w:val="14"/>
                <w:color w:val="auto"/>
                <w:w w:val="96"/>
              </w:rPr>
              <w:t>2019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2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color w:val="auto"/>
                <w:w w:val="85"/>
              </w:rPr>
              <w:t>Shares</w:t>
            </w:r>
          </w:p>
        </w:tc>
        <w:tc>
          <w:tcPr>
            <w:tcW w:w="920" w:type="dxa"/>
            <w:vAlign w:val="bottom"/>
            <w:gridSpan w:val="3"/>
          </w:tcPr>
          <w:p>
            <w:pPr>
              <w:jc w:val="center"/>
              <w:ind w:left="251"/>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center"/>
              <w:ind w:left="23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ind w:left="13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2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0"/>
              </w:rPr>
              <w:t>(a)</w:t>
            </w:r>
          </w:p>
        </w:tc>
        <w:tc>
          <w:tcPr>
            <w:tcW w:w="1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Share capital</w:t>
            </w:r>
          </w:p>
        </w:tc>
        <w:tc>
          <w:tcPr>
            <w:tcW w:w="3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40" w:type="dxa"/>
            <w:vAlign w:val="bottom"/>
            <w:gridSpan w:val="4"/>
          </w:tcPr>
          <w:p>
            <w:pPr>
              <w:spacing w:after="0"/>
              <w:rPr>
                <w:sz w:val="20"/>
                <w:szCs w:val="20"/>
                <w:color w:val="auto"/>
              </w:rPr>
            </w:pPr>
            <w:r>
              <w:rPr>
                <w:rFonts w:ascii="Arial" w:cs="Arial" w:eastAsia="Arial" w:hAnsi="Arial"/>
                <w:sz w:val="18"/>
                <w:szCs w:val="18"/>
                <w:color w:val="auto"/>
              </w:rPr>
              <w:t>Ordinary shares Fully paid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404,601,384</w:t>
            </w:r>
          </w:p>
        </w:tc>
        <w:tc>
          <w:tcPr>
            <w:tcW w:w="1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348,206,772</w:t>
            </w:r>
          </w:p>
        </w:tc>
        <w:tc>
          <w:tcPr>
            <w:tcW w:w="140" w:type="dxa"/>
            <w:vAlign w:val="bottom"/>
          </w:tcPr>
          <w:p>
            <w:pPr>
              <w:spacing w:after="0"/>
              <w:rPr>
                <w:sz w:val="22"/>
                <w:szCs w:val="22"/>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89"/>
              </w:rPr>
              <w:t>128,137,680</w:t>
            </w:r>
          </w:p>
        </w:tc>
        <w:tc>
          <w:tcPr>
            <w:tcW w:w="1080" w:type="dxa"/>
            <w:vAlign w:val="bottom"/>
            <w:gridSpan w:val="5"/>
          </w:tcPr>
          <w:p>
            <w:pPr>
              <w:jc w:val="center"/>
              <w:ind w:left="51"/>
              <w:spacing w:after="0"/>
              <w:rPr>
                <w:sz w:val="20"/>
                <w:szCs w:val="20"/>
                <w:color w:val="auto"/>
              </w:rPr>
            </w:pPr>
            <w:r>
              <w:rPr>
                <w:rFonts w:ascii="Arial" w:cs="Arial" w:eastAsia="Arial" w:hAnsi="Arial"/>
                <w:sz w:val="18"/>
                <w:szCs w:val="18"/>
                <w:color w:val="auto"/>
                <w:w w:val="89"/>
              </w:rPr>
              <w:t>233,196,507</w:t>
            </w:r>
          </w:p>
        </w:tc>
        <w:tc>
          <w:tcPr>
            <w:tcW w:w="160" w:type="dxa"/>
            <w:vAlign w:val="bottom"/>
          </w:tcPr>
          <w:p>
            <w:pPr>
              <w:spacing w:after="0"/>
              <w:rPr>
                <w:sz w:val="22"/>
                <w:szCs w:val="22"/>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0"/>
              </w:rPr>
              <w:t>99,851,510</w:t>
            </w:r>
          </w:p>
        </w:tc>
        <w:tc>
          <w:tcPr>
            <w:tcW w:w="20" w:type="dxa"/>
            <w:vAlign w:val="bottom"/>
          </w:tcPr>
          <w:p>
            <w:pPr>
              <w:spacing w:after="0"/>
              <w:rPr>
                <w:sz w:val="22"/>
                <w:szCs w:val="22"/>
                <w:color w:val="auto"/>
              </w:rPr>
            </w:pPr>
          </w:p>
        </w:tc>
        <w:tc>
          <w:tcPr>
            <w:tcW w:w="96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38,163,405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3"/>
        </w:trPr>
        <w:tc>
          <w:tcPr>
            <w:tcW w:w="220" w:type="dxa"/>
            <w:vAlign w:val="bottom"/>
          </w:tcPr>
          <w:p>
            <w:pPr>
              <w:spacing w:after="0"/>
              <w:rPr>
                <w:sz w:val="20"/>
                <w:szCs w:val="20"/>
                <w:color w:val="auto"/>
              </w:rPr>
            </w:pPr>
            <w:r>
              <w:rPr>
                <w:rFonts w:ascii="Arial" w:cs="Arial" w:eastAsia="Arial" w:hAnsi="Arial"/>
                <w:sz w:val="18"/>
                <w:szCs w:val="18"/>
                <w:b w:val="1"/>
                <w:bCs w:val="1"/>
                <w:color w:val="auto"/>
                <w:w w:val="86"/>
              </w:rPr>
              <w:t>(b)</w:t>
            </w:r>
          </w:p>
        </w:tc>
        <w:tc>
          <w:tcPr>
            <w:tcW w:w="2020" w:type="dxa"/>
            <w:vAlign w:val="bottom"/>
            <w:gridSpan w:val="3"/>
          </w:tcPr>
          <w:p>
            <w:pPr>
              <w:ind w:left="180"/>
              <w:spacing w:after="0"/>
              <w:rPr>
                <w:sz w:val="20"/>
                <w:szCs w:val="20"/>
                <w:color w:val="auto"/>
              </w:rPr>
            </w:pPr>
            <w:r>
              <w:rPr>
                <w:rFonts w:ascii="Arial" w:cs="Arial" w:eastAsia="Arial" w:hAnsi="Arial"/>
                <w:sz w:val="18"/>
                <w:szCs w:val="18"/>
                <w:b w:val="1"/>
                <w:bCs w:val="1"/>
                <w:color w:val="auto"/>
                <w:w w:val="95"/>
              </w:rPr>
              <w:t>Ordinary share capital</w:t>
            </w: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w w:val="95"/>
              </w:rPr>
              <w:t>Details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Note</w:t>
            </w:r>
          </w:p>
        </w:tc>
        <w:tc>
          <w:tcPr>
            <w:tcW w:w="40" w:type="dxa"/>
            <w:vAlign w:val="bottom"/>
          </w:tcPr>
          <w:p>
            <w:pPr>
              <w:spacing w:after="0"/>
              <w:rPr>
                <w:sz w:val="24"/>
                <w:szCs w:val="24"/>
                <w:color w:val="auto"/>
              </w:rPr>
            </w:pPr>
          </w:p>
        </w:tc>
        <w:tc>
          <w:tcPr>
            <w:tcW w:w="1200" w:type="dxa"/>
            <w:vAlign w:val="bottom"/>
            <w:gridSpan w:val="5"/>
          </w:tcPr>
          <w:p>
            <w:pPr>
              <w:ind w:left="10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Issue</w:t>
            </w:r>
          </w:p>
        </w:tc>
        <w:tc>
          <w:tcPr>
            <w:tcW w:w="90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Price</w:t>
            </w: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2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gridSpan w:val="4"/>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 July 2018</w:t>
            </w:r>
          </w:p>
        </w:tc>
        <w:tc>
          <w:tcPr>
            <w:tcW w:w="18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Balance</w:t>
            </w:r>
          </w:p>
        </w:tc>
        <w:tc>
          <w:tcPr>
            <w:tcW w:w="9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123,137,680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38,163,405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w w:val="99"/>
              </w:rPr>
              <w:t>24</w:t>
            </w:r>
          </w:p>
        </w:tc>
        <w:tc>
          <w:tcPr>
            <w:tcW w:w="1300" w:type="dxa"/>
            <w:vAlign w:val="bottom"/>
          </w:tcPr>
          <w:p>
            <w:pPr>
              <w:spacing w:after="0"/>
              <w:rPr>
                <w:sz w:val="20"/>
                <w:szCs w:val="20"/>
                <w:color w:val="auto"/>
              </w:rPr>
            </w:pPr>
            <w:r>
              <w:rPr>
                <w:rFonts w:ascii="Arial" w:cs="Arial" w:eastAsia="Arial" w:hAnsi="Arial"/>
                <w:sz w:val="18"/>
                <w:szCs w:val="18"/>
                <w:color w:val="auto"/>
              </w:rPr>
              <w:t>June 2019</w:t>
            </w: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rPr>
              <w:t>(l)</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30</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2019</w:t>
            </w:r>
          </w:p>
        </w:tc>
        <w:tc>
          <w:tcPr>
            <w:tcW w:w="18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Balance</w:t>
            </w:r>
          </w:p>
        </w:tc>
        <w:tc>
          <w:tcPr>
            <w:tcW w:w="9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128,137,680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38,163,405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w w:val="99"/>
              </w:rPr>
              <w:t>17</w:t>
            </w:r>
          </w:p>
        </w:tc>
        <w:tc>
          <w:tcPr>
            <w:tcW w:w="1300" w:type="dxa"/>
            <w:vAlign w:val="bottom"/>
          </w:tcPr>
          <w:p>
            <w:pPr>
              <w:spacing w:after="0"/>
              <w:rPr>
                <w:sz w:val="20"/>
                <w:szCs w:val="20"/>
                <w:color w:val="auto"/>
              </w:rPr>
            </w:pPr>
            <w:r>
              <w:rPr>
                <w:rFonts w:ascii="Arial" w:cs="Arial" w:eastAsia="Arial" w:hAnsi="Arial"/>
                <w:sz w:val="18"/>
                <w:szCs w:val="18"/>
                <w:color w:val="auto"/>
              </w:rPr>
              <w:t>January 2020</w:t>
            </w: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w w:val="91"/>
              </w:rPr>
              <w:t>Share purchase plan</w:t>
            </w: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(c)</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2,485,715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$ 0.51</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1,267,715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580" w:type="dxa"/>
            <w:vAlign w:val="bottom"/>
            <w:gridSpan w:val="6"/>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17</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2020</w:t>
            </w:r>
          </w:p>
        </w:tc>
        <w:tc>
          <w:tcPr>
            <w:tcW w:w="2920" w:type="dxa"/>
            <w:vAlign w:val="bottom"/>
            <w:tcBorders>
              <w:bottom w:val="single" w:sz="8" w:color="CCEEFF"/>
            </w:tcBorders>
            <w:gridSpan w:val="7"/>
            <w:shd w:val="clear" w:color="auto" w:fill="CCEEFF"/>
          </w:tcPr>
          <w:p>
            <w:pPr>
              <w:ind w:left="340"/>
              <w:spacing w:after="0"/>
              <w:rPr>
                <w:sz w:val="20"/>
                <w:szCs w:val="20"/>
                <w:color w:val="auto"/>
              </w:rPr>
            </w:pPr>
            <w:r>
              <w:rPr>
                <w:rFonts w:ascii="Arial" w:cs="Arial" w:eastAsia="Arial" w:hAnsi="Arial"/>
                <w:sz w:val="18"/>
                <w:szCs w:val="18"/>
                <w:color w:val="auto"/>
                <w:w w:val="90"/>
              </w:rPr>
              <w:t>Placement to sophisticated investor</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(d)</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98,040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$ 0.51</w:t>
            </w: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w w:val="99"/>
              </w:rPr>
              <w:t>15</w:t>
            </w:r>
          </w:p>
        </w:tc>
        <w:tc>
          <w:tcPr>
            <w:tcW w:w="1300" w:type="dxa"/>
            <w:vAlign w:val="bottom"/>
          </w:tcPr>
          <w:p>
            <w:pPr>
              <w:spacing w:after="0"/>
              <w:rPr>
                <w:sz w:val="20"/>
                <w:szCs w:val="20"/>
                <w:color w:val="auto"/>
              </w:rPr>
            </w:pPr>
            <w:r>
              <w:rPr>
                <w:rFonts w:ascii="Arial" w:cs="Arial" w:eastAsia="Arial" w:hAnsi="Arial"/>
                <w:sz w:val="18"/>
                <w:szCs w:val="18"/>
                <w:color w:val="auto"/>
              </w:rPr>
              <w:t>June 2020</w:t>
            </w: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$0.785</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78,500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4"/>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15</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2020</w:t>
            </w:r>
          </w:p>
        </w:tc>
        <w:tc>
          <w:tcPr>
            <w:tcW w:w="18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(e)</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$ 0.50</w:t>
            </w: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Arial" w:cs="Arial" w:eastAsia="Arial" w:hAnsi="Arial"/>
                <w:sz w:val="18"/>
                <w:szCs w:val="18"/>
                <w:color w:val="auto"/>
              </w:rPr>
              <w:t>5 June 2020</w:t>
            </w:r>
          </w:p>
        </w:tc>
        <w:tc>
          <w:tcPr>
            <w:tcW w:w="2920" w:type="dxa"/>
            <w:vAlign w:val="bottom"/>
            <w:gridSpan w:val="7"/>
          </w:tcPr>
          <w:p>
            <w:pPr>
              <w:ind w:left="340"/>
              <w:spacing w:after="0"/>
              <w:rPr>
                <w:sz w:val="20"/>
                <w:szCs w:val="20"/>
                <w:color w:val="auto"/>
              </w:rPr>
            </w:pPr>
            <w:r>
              <w:rPr>
                <w:rFonts w:ascii="Arial" w:cs="Arial" w:eastAsia="Arial" w:hAnsi="Arial"/>
                <w:sz w:val="18"/>
                <w:szCs w:val="18"/>
                <w:color w:val="auto"/>
                <w:w w:val="92"/>
              </w:rPr>
              <w:t>Placement to institutional investors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(k)</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w w:val="86"/>
              </w:rPr>
              <w:t>19,495,469</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$ 0.29</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5,653,686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2580" w:type="dxa"/>
            <w:vAlign w:val="bottom"/>
            <w:gridSpan w:val="6"/>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5-25 June 2020</w:t>
            </w:r>
          </w:p>
        </w:tc>
        <w:tc>
          <w:tcPr>
            <w:tcW w:w="2920" w:type="dxa"/>
            <w:vAlign w:val="bottom"/>
            <w:tcBorders>
              <w:bottom w:val="single" w:sz="8" w:color="CCEEFF"/>
            </w:tcBorders>
            <w:gridSpan w:val="7"/>
            <w:shd w:val="clear" w:color="auto" w:fill="CCEEFF"/>
          </w:tcPr>
          <w:p>
            <w:pPr>
              <w:ind w:left="340"/>
              <w:spacing w:after="0"/>
              <w:rPr>
                <w:sz w:val="20"/>
                <w:szCs w:val="20"/>
                <w:color w:val="auto"/>
              </w:rPr>
            </w:pPr>
            <w:r>
              <w:rPr>
                <w:rFonts w:ascii="Arial" w:cs="Arial" w:eastAsia="Arial" w:hAnsi="Arial"/>
                <w:sz w:val="18"/>
                <w:szCs w:val="18"/>
                <w:color w:val="auto"/>
              </w:rPr>
              <w:t>Rights issue entitlement offer</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(k)</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130,721,435</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$ 0.29</w:t>
            </w: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37,909,216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w w:val="99"/>
              </w:rPr>
              <w:t>30</w:t>
            </w:r>
          </w:p>
        </w:tc>
        <w:tc>
          <w:tcPr>
            <w:tcW w:w="1300" w:type="dxa"/>
            <w:vAlign w:val="bottom"/>
          </w:tcPr>
          <w:p>
            <w:pPr>
              <w:spacing w:after="0"/>
              <w:rPr>
                <w:sz w:val="20"/>
                <w:szCs w:val="20"/>
                <w:color w:val="auto"/>
              </w:rPr>
            </w:pPr>
            <w:r>
              <w:rPr>
                <w:rFonts w:ascii="Arial" w:cs="Arial" w:eastAsia="Arial" w:hAnsi="Arial"/>
                <w:sz w:val="18"/>
                <w:szCs w:val="18"/>
                <w:color w:val="auto"/>
              </w:rPr>
              <w:t>June 2020</w:t>
            </w: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w w:val="93"/>
              </w:rPr>
              <w:t>Placement to SBEIF</w:t>
            </w: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(k)</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w w:val="86"/>
              </w:rPr>
              <w:t>67,085,100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$ 0.29</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19,454,679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4"/>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Share issue costs</w:t>
            </w: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(2,767,358)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2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20" w:type="dxa"/>
            <w:vAlign w:val="bottom"/>
          </w:tcPr>
          <w:p>
            <w:pPr>
              <w:spacing w:after="0"/>
              <w:rPr>
                <w:sz w:val="20"/>
                <w:szCs w:val="20"/>
                <w:color w:val="auto"/>
              </w:rPr>
            </w:pPr>
            <w:r>
              <w:rPr>
                <w:rFonts w:ascii="Arial" w:cs="Arial" w:eastAsia="Arial" w:hAnsi="Arial"/>
                <w:sz w:val="18"/>
                <w:szCs w:val="18"/>
                <w:color w:val="auto"/>
                <w:w w:val="99"/>
              </w:rPr>
              <w:t>30</w:t>
            </w:r>
          </w:p>
        </w:tc>
        <w:tc>
          <w:tcPr>
            <w:tcW w:w="1300" w:type="dxa"/>
            <w:vAlign w:val="bottom"/>
          </w:tcPr>
          <w:p>
            <w:pPr>
              <w:spacing w:after="0"/>
              <w:rPr>
                <w:sz w:val="20"/>
                <w:szCs w:val="20"/>
                <w:color w:val="auto"/>
              </w:rPr>
            </w:pPr>
            <w:r>
              <w:rPr>
                <w:rFonts w:ascii="Arial" w:cs="Arial" w:eastAsia="Arial" w:hAnsi="Arial"/>
                <w:sz w:val="18"/>
                <w:szCs w:val="18"/>
                <w:color w:val="auto"/>
              </w:rPr>
              <w:t>June 2020</w:t>
            </w: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rPr>
              <w:t>Balance</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w w:val="91"/>
              </w:rPr>
              <w:t>348,206,772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99,851,510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4"/>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10</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2020</w:t>
            </w:r>
          </w:p>
        </w:tc>
        <w:tc>
          <w:tcPr>
            <w:tcW w:w="18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(e)</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$ 0.80</w:t>
            </w: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w w:val="99"/>
              </w:rPr>
              <w:t>23</w:t>
            </w:r>
          </w:p>
        </w:tc>
        <w:tc>
          <w:tcPr>
            <w:tcW w:w="1300" w:type="dxa"/>
            <w:vAlign w:val="bottom"/>
          </w:tcPr>
          <w:p>
            <w:pPr>
              <w:spacing w:after="0"/>
              <w:rPr>
                <w:sz w:val="20"/>
                <w:szCs w:val="20"/>
                <w:color w:val="auto"/>
              </w:rPr>
            </w:pPr>
            <w:r>
              <w:rPr>
                <w:rFonts w:ascii="Arial" w:cs="Arial" w:eastAsia="Arial" w:hAnsi="Arial"/>
                <w:sz w:val="18"/>
                <w:szCs w:val="18"/>
                <w:color w:val="auto"/>
                <w:w w:val="96"/>
              </w:rPr>
              <w:t>September 2020</w:t>
            </w:r>
          </w:p>
        </w:tc>
        <w:tc>
          <w:tcPr>
            <w:tcW w:w="2920" w:type="dxa"/>
            <w:vAlign w:val="bottom"/>
            <w:gridSpan w:val="7"/>
          </w:tcPr>
          <w:p>
            <w:pPr>
              <w:ind w:left="340"/>
              <w:spacing w:after="0"/>
              <w:rPr>
                <w:sz w:val="20"/>
                <w:szCs w:val="20"/>
                <w:color w:val="auto"/>
              </w:rPr>
            </w:pPr>
            <w:r>
              <w:rPr>
                <w:rFonts w:ascii="Arial" w:cs="Arial" w:eastAsia="Arial" w:hAnsi="Arial"/>
                <w:sz w:val="18"/>
                <w:szCs w:val="18"/>
                <w:color w:val="auto"/>
                <w:w w:val="92"/>
              </w:rPr>
              <w:t>Settlement of limited recourse loan</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rPr>
              <w:t>(f)</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4"/>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24</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September 2020</w:t>
            </w:r>
          </w:p>
        </w:tc>
        <w:tc>
          <w:tcPr>
            <w:tcW w:w="18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(e)</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$ 0.90</w:t>
            </w: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w w:val="99"/>
              </w:rPr>
              <w:t>24</w:t>
            </w:r>
          </w:p>
        </w:tc>
        <w:tc>
          <w:tcPr>
            <w:tcW w:w="1300" w:type="dxa"/>
            <w:vAlign w:val="bottom"/>
          </w:tcPr>
          <w:p>
            <w:pPr>
              <w:spacing w:after="0"/>
              <w:rPr>
                <w:sz w:val="20"/>
                <w:szCs w:val="20"/>
                <w:color w:val="auto"/>
              </w:rPr>
            </w:pPr>
            <w:r>
              <w:rPr>
                <w:rFonts w:ascii="Arial" w:cs="Arial" w:eastAsia="Arial" w:hAnsi="Arial"/>
                <w:sz w:val="18"/>
                <w:szCs w:val="18"/>
                <w:color w:val="auto"/>
                <w:w w:val="96"/>
              </w:rPr>
              <w:t>September 2020</w:t>
            </w: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$ 0.66</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1,650,000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580" w:type="dxa"/>
            <w:vAlign w:val="bottom"/>
            <w:gridSpan w:val="6"/>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28</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September 2020</w:t>
            </w:r>
          </w:p>
        </w:tc>
        <w:tc>
          <w:tcPr>
            <w:tcW w:w="2920" w:type="dxa"/>
            <w:vAlign w:val="bottom"/>
            <w:tcBorders>
              <w:bottom w:val="single" w:sz="8" w:color="CCEEFF"/>
            </w:tcBorders>
            <w:gridSpan w:val="7"/>
            <w:shd w:val="clear" w:color="auto" w:fill="CCEEFF"/>
          </w:tcPr>
          <w:p>
            <w:pPr>
              <w:ind w:left="340"/>
              <w:spacing w:after="0"/>
              <w:rPr>
                <w:sz w:val="20"/>
                <w:szCs w:val="20"/>
                <w:color w:val="auto"/>
              </w:rPr>
            </w:pPr>
            <w:r>
              <w:rPr>
                <w:rFonts w:ascii="Arial" w:cs="Arial" w:eastAsia="Arial" w:hAnsi="Arial"/>
                <w:sz w:val="18"/>
                <w:szCs w:val="18"/>
                <w:color w:val="auto"/>
              </w:rPr>
              <w:t>Exercise of performance rights</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(g)</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158,865</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gridSpan w:val="2"/>
          </w:tcPr>
          <w:p>
            <w:pPr>
              <w:spacing w:after="0"/>
              <w:rPr>
                <w:sz w:val="20"/>
                <w:szCs w:val="20"/>
                <w:color w:val="auto"/>
              </w:rPr>
            </w:pPr>
            <w:r>
              <w:rPr>
                <w:rFonts w:ascii="Arial" w:cs="Arial" w:eastAsia="Arial" w:hAnsi="Arial"/>
                <w:sz w:val="18"/>
                <w:szCs w:val="18"/>
                <w:color w:val="auto"/>
              </w:rPr>
              <w:t>3 March 2021</w:t>
            </w:r>
          </w:p>
        </w:tc>
        <w:tc>
          <w:tcPr>
            <w:tcW w:w="2920" w:type="dxa"/>
            <w:vAlign w:val="bottom"/>
            <w:gridSpan w:val="7"/>
          </w:tcPr>
          <w:p>
            <w:pPr>
              <w:ind w:left="340"/>
              <w:spacing w:after="0"/>
              <w:rPr>
                <w:sz w:val="20"/>
                <w:szCs w:val="20"/>
                <w:color w:val="auto"/>
              </w:rPr>
            </w:pPr>
            <w:r>
              <w:rPr>
                <w:rFonts w:ascii="Arial" w:cs="Arial" w:eastAsia="Arial" w:hAnsi="Arial"/>
                <w:sz w:val="18"/>
                <w:szCs w:val="18"/>
                <w:color w:val="auto"/>
                <w:w w:val="92"/>
              </w:rPr>
              <w:t>Placement to institutional investors</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w w:val="86"/>
              </w:rPr>
              <w:t>39,700,000</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$ 2.90</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7"/>
              </w:rPr>
              <w:t>115,130,000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580" w:type="dxa"/>
            <w:vAlign w:val="bottom"/>
            <w:gridSpan w:val="6"/>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16</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2021</w:t>
            </w:r>
          </w:p>
        </w:tc>
        <w:tc>
          <w:tcPr>
            <w:tcW w:w="2920" w:type="dxa"/>
            <w:vAlign w:val="bottom"/>
            <w:tcBorders>
              <w:bottom w:val="single" w:sz="8" w:color="CCEEFF"/>
            </w:tcBorders>
            <w:gridSpan w:val="7"/>
            <w:shd w:val="clear" w:color="auto" w:fill="CCEEFF"/>
          </w:tcPr>
          <w:p>
            <w:pPr>
              <w:ind w:left="340"/>
              <w:spacing w:after="0"/>
              <w:rPr>
                <w:sz w:val="20"/>
                <w:szCs w:val="20"/>
                <w:color w:val="auto"/>
              </w:rPr>
            </w:pPr>
            <w:r>
              <w:rPr>
                <w:rFonts w:ascii="Arial" w:cs="Arial" w:eastAsia="Arial" w:hAnsi="Arial"/>
                <w:sz w:val="18"/>
                <w:szCs w:val="18"/>
                <w:color w:val="auto"/>
              </w:rPr>
              <w:t>Exercise of performance rights</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(g)</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3,400,000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w w:val="99"/>
              </w:rPr>
              <w:t>16</w:t>
            </w:r>
          </w:p>
        </w:tc>
        <w:tc>
          <w:tcPr>
            <w:tcW w:w="1300" w:type="dxa"/>
            <w:vAlign w:val="bottom"/>
          </w:tcPr>
          <w:p>
            <w:pPr>
              <w:spacing w:after="0"/>
              <w:rPr>
                <w:sz w:val="20"/>
                <w:szCs w:val="20"/>
                <w:color w:val="auto"/>
              </w:rPr>
            </w:pPr>
            <w:r>
              <w:rPr>
                <w:rFonts w:ascii="Arial" w:cs="Arial" w:eastAsia="Arial" w:hAnsi="Arial"/>
                <w:sz w:val="18"/>
                <w:szCs w:val="18"/>
                <w:color w:val="auto"/>
              </w:rPr>
              <w:t>March 2021</w:t>
            </w: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$ 0.74</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1,110,000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4"/>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16</w:t>
            </w: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2021</w:t>
            </w:r>
          </w:p>
        </w:tc>
        <w:tc>
          <w:tcPr>
            <w:tcW w:w="18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(e)</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$ 0.90</w:t>
            </w: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w w:val="99"/>
              </w:rPr>
              <w:t>16</w:t>
            </w:r>
          </w:p>
        </w:tc>
        <w:tc>
          <w:tcPr>
            <w:tcW w:w="1300" w:type="dxa"/>
            <w:vAlign w:val="bottom"/>
          </w:tcPr>
          <w:p>
            <w:pPr>
              <w:spacing w:after="0"/>
              <w:rPr>
                <w:sz w:val="20"/>
                <w:szCs w:val="20"/>
                <w:color w:val="auto"/>
              </w:rPr>
            </w:pPr>
            <w:r>
              <w:rPr>
                <w:rFonts w:ascii="Arial" w:cs="Arial" w:eastAsia="Arial" w:hAnsi="Arial"/>
                <w:sz w:val="18"/>
                <w:szCs w:val="18"/>
                <w:color w:val="auto"/>
              </w:rPr>
              <w:t>March 2021</w:t>
            </w: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33,333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$ 0.50</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16,667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2580" w:type="dxa"/>
            <w:vAlign w:val="bottom"/>
            <w:gridSpan w:val="6"/>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11 May 2021</w:t>
            </w:r>
          </w:p>
        </w:tc>
        <w:tc>
          <w:tcPr>
            <w:tcW w:w="2920" w:type="dxa"/>
            <w:vAlign w:val="bottom"/>
            <w:tcBorders>
              <w:bottom w:val="single" w:sz="8" w:color="CCEEFF"/>
            </w:tcBorders>
            <w:gridSpan w:val="7"/>
            <w:shd w:val="clear" w:color="auto" w:fill="CCEEFF"/>
          </w:tcPr>
          <w:p>
            <w:pPr>
              <w:ind w:left="340"/>
              <w:spacing w:after="0"/>
              <w:rPr>
                <w:sz w:val="20"/>
                <w:szCs w:val="20"/>
                <w:color w:val="auto"/>
              </w:rPr>
            </w:pPr>
            <w:r>
              <w:rPr>
                <w:rFonts w:ascii="Arial" w:cs="Arial" w:eastAsia="Arial" w:hAnsi="Arial"/>
                <w:sz w:val="18"/>
                <w:szCs w:val="18"/>
                <w:color w:val="auto"/>
              </w:rPr>
              <w:t>Placement to directors</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(i)</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5,672,414</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$ 2.90</w:t>
            </w: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16,450,001</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w w:val="99"/>
              </w:rPr>
              <w:t>24</w:t>
            </w:r>
          </w:p>
        </w:tc>
        <w:tc>
          <w:tcPr>
            <w:tcW w:w="1300" w:type="dxa"/>
            <w:vAlign w:val="bottom"/>
          </w:tcPr>
          <w:p>
            <w:pPr>
              <w:spacing w:after="0"/>
              <w:rPr>
                <w:sz w:val="20"/>
                <w:szCs w:val="20"/>
                <w:color w:val="auto"/>
              </w:rPr>
            </w:pPr>
            <w:r>
              <w:rPr>
                <w:rFonts w:ascii="Arial" w:cs="Arial" w:eastAsia="Arial" w:hAnsi="Arial"/>
                <w:sz w:val="18"/>
                <w:szCs w:val="18"/>
                <w:color w:val="auto"/>
              </w:rPr>
              <w:t>May 2021</w:t>
            </w: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$ 0.66</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1,650,000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4"/>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 June 2021</w:t>
            </w:r>
          </w:p>
        </w:tc>
        <w:tc>
          <w:tcPr>
            <w:tcW w:w="18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w w:val="99"/>
              </w:rPr>
              <w:t>Exercise of options</w:t>
            </w:r>
          </w:p>
        </w:tc>
        <w:tc>
          <w:tcPr>
            <w:tcW w:w="9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(e)</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$ 0.90</w:t>
            </w:r>
          </w:p>
        </w:tc>
        <w:tc>
          <w:tcPr>
            <w:tcW w:w="3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rPr>
              <w:t>Share issue costs</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8"/>
                <w:szCs w:val="18"/>
                <w:color w:val="auto"/>
              </w:rPr>
              <w:t>(j)</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(4,973,671)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9"/>
              </w:rPr>
              <w:t>30</w:t>
            </w: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June 2021</w:t>
            </w:r>
          </w:p>
        </w:tc>
        <w:tc>
          <w:tcPr>
            <w:tcW w:w="18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Balance</w:t>
            </w: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404,601,384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233,196,507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-6703060</wp:posOffset>
            </wp:positionV>
            <wp:extent cx="1028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-6703060</wp:posOffset>
            </wp:positionV>
            <wp:extent cx="1028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-6703060</wp:posOffset>
            </wp:positionV>
            <wp:extent cx="1028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-6703060</wp:posOffset>
            </wp:positionV>
            <wp:extent cx="1028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-6703060</wp:posOffset>
            </wp:positionV>
            <wp:extent cx="1028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-6703060</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-5622925</wp:posOffset>
            </wp:positionV>
            <wp:extent cx="2057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-5622925</wp:posOffset>
            </wp:positionV>
            <wp:extent cx="20574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-5622925</wp:posOffset>
            </wp:positionV>
            <wp:extent cx="20574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-5622925</wp:posOffset>
            </wp:positionV>
            <wp:extent cx="20574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-5622925</wp:posOffset>
            </wp:positionV>
            <wp:extent cx="22288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32" w:lineRule="exact"/>
        <w:rPr>
          <w:sz w:val="20"/>
          <w:szCs w:val="20"/>
          <w:color w:val="auto"/>
        </w:rPr>
      </w:pPr>
    </w:p>
    <w:p>
      <w:pPr>
        <w:ind w:left="300"/>
        <w:spacing w:after="0"/>
        <w:tabs>
          <w:tab w:leader="none" w:pos="660" w:val="left"/>
        </w:tabs>
        <w:rPr>
          <w:sz w:val="20"/>
          <w:szCs w:val="20"/>
          <w:color w:val="auto"/>
        </w:rPr>
      </w:pPr>
      <w:r>
        <w:rPr>
          <w:rFonts w:ascii="Arial" w:cs="Arial" w:eastAsia="Arial" w:hAnsi="Arial"/>
          <w:sz w:val="18"/>
          <w:szCs w:val="18"/>
          <w:b w:val="1"/>
          <w:bCs w:val="1"/>
          <w:color w:val="auto"/>
        </w:rPr>
        <w:t>(c)</w:t>
        <w:tab/>
        <w:t>Share Purchase Plan</w:t>
      </w:r>
    </w:p>
    <w:p>
      <w:pPr>
        <w:spacing w:after="0" w:line="121"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In January 2020 the Company undertook a Share Purchase Plan. The issue price under the Share Purchase Plan was $0.51 per share and provided an opportunity to existing shareholders to subscribe for up to $30,000 worth of new shares.</w:t>
      </w:r>
    </w:p>
    <w:p>
      <w:pPr>
        <w:spacing w:after="0" w:line="274" w:lineRule="exact"/>
        <w:rPr>
          <w:sz w:val="20"/>
          <w:szCs w:val="20"/>
          <w:color w:val="auto"/>
        </w:rPr>
      </w:pPr>
    </w:p>
    <w:p>
      <w:pPr>
        <w:ind w:left="300"/>
        <w:spacing w:after="0"/>
        <w:tabs>
          <w:tab w:leader="none" w:pos="680" w:val="left"/>
        </w:tabs>
        <w:rPr>
          <w:sz w:val="20"/>
          <w:szCs w:val="20"/>
          <w:color w:val="auto"/>
        </w:rPr>
      </w:pPr>
      <w:r>
        <w:rPr>
          <w:rFonts w:ascii="Arial" w:cs="Arial" w:eastAsia="Arial" w:hAnsi="Arial"/>
          <w:sz w:val="18"/>
          <w:szCs w:val="18"/>
          <w:b w:val="1"/>
          <w:bCs w:val="1"/>
          <w:color w:val="auto"/>
        </w:rPr>
        <w:t>(d)</w:t>
        <w:tab/>
        <w:t>Placement to sophisticated investor</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January 2020 the Company made a placement of 98,040 shares at $0.51 to a sophisticated investor.</w:t>
      </w:r>
    </w:p>
    <w:p>
      <w:pPr>
        <w:spacing w:after="0" w:line="316" w:lineRule="exact"/>
        <w:rPr>
          <w:sz w:val="20"/>
          <w:szCs w:val="20"/>
          <w:color w:val="auto"/>
        </w:rPr>
      </w:pPr>
    </w:p>
    <w:p>
      <w:pPr>
        <w:ind w:left="300"/>
        <w:spacing w:after="0"/>
        <w:tabs>
          <w:tab w:leader="none" w:pos="660" w:val="left"/>
        </w:tabs>
        <w:rPr>
          <w:sz w:val="20"/>
          <w:szCs w:val="20"/>
          <w:color w:val="auto"/>
        </w:rPr>
      </w:pPr>
      <w:r>
        <w:rPr>
          <w:rFonts w:ascii="Arial" w:cs="Arial" w:eastAsia="Arial" w:hAnsi="Arial"/>
          <w:sz w:val="18"/>
          <w:szCs w:val="18"/>
          <w:b w:val="1"/>
          <w:bCs w:val="1"/>
          <w:color w:val="auto"/>
        </w:rPr>
        <w:t>(e)</w:t>
        <w:tab/>
        <w:t>Exercise of options</w:t>
      </w:r>
    </w:p>
    <w:p>
      <w:pPr>
        <w:spacing w:after="0" w:line="121"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color w:val="auto"/>
        </w:rPr>
        <w:t>On 15 June 2020 183,333 options were exercised by employees (who are not KMP). 100,000 were exercisable at $0.785 and 83,333 were exercisable at $0.50.</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10 July 2020 250,000 options were exercised by a Director, Admiral Robert Natter, at $0.80 per share.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43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6"/>
          <w:szCs w:val="16"/>
          <w:b w:val="1"/>
          <w:bCs w:val="1"/>
          <w:color w:val="auto"/>
        </w:rPr>
        <w:t>Contributed equity (continued)</w:t>
      </w:r>
    </w:p>
    <w:p>
      <w:pPr>
        <w:spacing w:after="0" w:line="148"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On 24 September 2020 500,000 options were exercised by a Director, Admiral Robert Natter, at $0.90 per share and 2,500,000 options were exercised by a Director, Andrew Liveris, at $0.66 per share.</w:t>
      </w:r>
    </w:p>
    <w:p>
      <w:pPr>
        <w:spacing w:after="0" w:line="62" w:lineRule="exact"/>
        <w:rPr>
          <w:sz w:val="20"/>
          <w:szCs w:val="20"/>
          <w:color w:val="auto"/>
        </w:rPr>
      </w:pPr>
    </w:p>
    <w:p>
      <w:pPr>
        <w:ind w:left="300" w:right="799"/>
        <w:spacing w:after="0" w:line="277" w:lineRule="auto"/>
        <w:rPr>
          <w:sz w:val="20"/>
          <w:szCs w:val="20"/>
          <w:color w:val="auto"/>
        </w:rPr>
      </w:pPr>
      <w:r>
        <w:rPr>
          <w:rFonts w:ascii="Arial" w:cs="Arial" w:eastAsia="Arial" w:hAnsi="Arial"/>
          <w:sz w:val="18"/>
          <w:szCs w:val="18"/>
          <w:color w:val="auto"/>
        </w:rPr>
        <w:t>On 16 March 2021 employees of the Group exercised 1,500,000 options at $0.74, 30,000 options at $0.90 and 33,333 options at $0.50.</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 24 May 2021 2,500,000 options were exercised by a Director, Andrew Liveris, at $0.66 per share.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On 3 June 2021 employees of the Group exercised 150,000 options at $0.90.</w:t>
      </w:r>
    </w:p>
    <w:p>
      <w:pPr>
        <w:spacing w:after="0" w:line="2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Settlement of limited recourse loan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23 September 2020, Philip St Baker, as part of his separation arrangements with the Company, settled the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$1,500,000 limited recourse loan entered into in 2019 for the purpose of funding the exercise of 5,000,000 options.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loan was settled through:</w:t>
      </w:r>
    </w:p>
    <w:p>
      <w:pPr>
        <w:spacing w:after="0" w:line="103" w:lineRule="exact"/>
        <w:rPr>
          <w:sz w:val="20"/>
          <w:szCs w:val="20"/>
          <w:color w:val="auto"/>
        </w:rPr>
      </w:pPr>
    </w:p>
    <w:p>
      <w:pPr>
        <w:ind w:left="1000" w:right="419" w:hanging="348"/>
        <w:spacing w:after="0" w:line="27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relinquishing of 736,968 vested performance rights, which were convertible on a 1:1 basis to ordinary shares, with a market value of $1,252,846;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outstanding net employee entitlements amounting to $247,154.</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relinquishment of the vested performance rights has been recognised within the share-based payment reserve.</w:t>
      </w:r>
    </w:p>
    <w:p>
      <w:pPr>
        <w:spacing w:after="0" w:line="24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Exercise of performance rights</w:t>
      </w:r>
    </w:p>
    <w:p>
      <w:pPr>
        <w:spacing w:after="0" w:line="121" w:lineRule="exact"/>
        <w:rPr>
          <w:sz w:val="20"/>
          <w:szCs w:val="20"/>
          <w:color w:val="auto"/>
        </w:rPr>
      </w:pPr>
    </w:p>
    <w:p>
      <w:pPr>
        <w:ind w:left="300" w:right="819"/>
        <w:spacing w:after="0" w:line="277" w:lineRule="auto"/>
        <w:rPr>
          <w:sz w:val="20"/>
          <w:szCs w:val="20"/>
          <w:color w:val="auto"/>
        </w:rPr>
      </w:pPr>
      <w:r>
        <w:rPr>
          <w:rFonts w:ascii="Arial" w:cs="Arial" w:eastAsia="Arial" w:hAnsi="Arial"/>
          <w:sz w:val="18"/>
          <w:szCs w:val="18"/>
          <w:color w:val="auto"/>
        </w:rPr>
        <w:t>On 28 September 2020, 158,865 ordinary shares were issued to an entity controlled by Philip St Baker, on the exercise of 158,865 vested performance rights.</w:t>
      </w:r>
    </w:p>
    <w:p>
      <w:pPr>
        <w:spacing w:after="0" w:line="62"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On 16 March 2021, 3,400,000 ordinary shares were issued to Key Management Personnel and other employees on the exercise of 3,400,000 vested performance rights.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  Institutional placement</w:t>
      </w:r>
    </w:p>
    <w:p>
      <w:pPr>
        <w:spacing w:after="0" w:line="121"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On 3 March 2021 the Company issued 39,700,000 ordinary fully paid shares to institutional investors at $2.90 per share.</w:t>
      </w:r>
    </w:p>
    <w:p>
      <w:pPr>
        <w:spacing w:after="0" w:line="166" w:lineRule="exact"/>
        <w:rPr>
          <w:sz w:val="20"/>
          <w:szCs w:val="20"/>
          <w:color w:val="auto"/>
        </w:rPr>
      </w:pPr>
    </w:p>
    <w:p>
      <w:pPr>
        <w:ind w:left="640" w:hanging="348"/>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Director placement</w:t>
      </w:r>
    </w:p>
    <w:p>
      <w:pPr>
        <w:spacing w:after="0" w:line="12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On 11 May 2021 5,672,414 ordinary shares were issued to directors or their nominees raising $16.45 million. 4,137,931 of these ordinary shares were issued to Trevor St Baker’s nominees at $2.90 per share, 1,034,483 of these ordinary shares were issued to Andrew Liveris’ nominees at $2.90 per share, 431,034 of these ordinary shares were issued to Robert Natter at $2.90 per share and 68,966 of these ordinary shares were issued to Robert Cooper at $2.90 per share.</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(j)</w:t>
      </w:r>
      <w:r>
        <w:rPr>
          <w:sz w:val="20"/>
          <w:szCs w:val="20"/>
          <w:color w:val="auto"/>
        </w:rPr>
        <w:tab/>
      </w:r>
      <w:r>
        <w:rPr>
          <w:rFonts w:ascii="Arial" w:cs="Arial" w:eastAsia="Arial" w:hAnsi="Arial"/>
          <w:sz w:val="15"/>
          <w:szCs w:val="15"/>
          <w:b w:val="1"/>
          <w:bCs w:val="1"/>
          <w:color w:val="auto"/>
        </w:rPr>
        <w:t>Share issue expenses</w:t>
      </w:r>
    </w:p>
    <w:p>
      <w:pPr>
        <w:spacing w:after="0" w:line="121"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During the year ended 30 June 2021 the Company had cash outflows for share issue expenses of $7,908,866, of which $4,973,671 relates to the current period, $1,458,798 relates to the capital raising completed in June 2020 and the balance relates to deferred share issuance costs.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  Capital raising transaction</w:t>
      </w:r>
    </w:p>
    <w:p>
      <w:pPr>
        <w:spacing w:after="0" w:line="121" w:lineRule="exact"/>
        <w:rPr>
          <w:sz w:val="20"/>
          <w:szCs w:val="20"/>
          <w:color w:val="auto"/>
        </w:rPr>
      </w:pPr>
    </w:p>
    <w:p>
      <w:pPr>
        <w:ind w:left="300" w:right="639"/>
        <w:spacing w:after="0" w:line="277" w:lineRule="auto"/>
        <w:rPr>
          <w:sz w:val="20"/>
          <w:szCs w:val="20"/>
          <w:color w:val="auto"/>
        </w:rPr>
      </w:pPr>
      <w:r>
        <w:rPr>
          <w:rFonts w:ascii="Arial" w:cs="Arial" w:eastAsia="Arial" w:hAnsi="Arial"/>
          <w:sz w:val="18"/>
          <w:szCs w:val="18"/>
          <w:color w:val="auto"/>
        </w:rPr>
        <w:t>In June 2020 the Company completed a $63 million capital raising via an institutional placement, an accelerated non-renounceable rights issue and a strategic placement. Refer to Note 11.</w:t>
      </w:r>
    </w:p>
    <w:p>
      <w:pPr>
        <w:spacing w:after="0" w:line="166" w:lineRule="exact"/>
        <w:rPr>
          <w:sz w:val="20"/>
          <w:szCs w:val="20"/>
          <w:color w:val="auto"/>
        </w:rPr>
      </w:pPr>
    </w:p>
    <w:p>
      <w:pPr>
        <w:ind w:left="640" w:hanging="348"/>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Philip St Baker exercise of options</w:t>
      </w:r>
    </w:p>
    <w:p>
      <w:pPr>
        <w:spacing w:after="0" w:line="121"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On 24 June 2019, Philip St Baker exercised 5,000,000 options at an exercise price of $0.30 each. The Company provided a loan of $1,500,000 to Mr St Baker for the purpose of funding the exercise of 5,000,000 options (refer note 28). The loan was limited in recourse over the shares issued on exercise of the options, and the Company placed a holding lock over the shares to secure repayment. These shares were treated as treasury shares, and the limited recourse loan was accounted for as a modification to a share-based payment, by way of extension of the expiry date of the options.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6"/>
          <w:szCs w:val="16"/>
          <w:b w:val="1"/>
          <w:bCs w:val="1"/>
          <w:color w:val="auto"/>
        </w:rPr>
        <w:t>Contributed equity (continued)</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 Capital Management</w:t>
      </w:r>
    </w:p>
    <w:p>
      <w:pPr>
        <w:spacing w:after="0" w:line="103" w:lineRule="exact"/>
        <w:rPr>
          <w:sz w:val="20"/>
          <w:szCs w:val="20"/>
          <w:color w:val="auto"/>
        </w:rPr>
      </w:pPr>
    </w:p>
    <w:p>
      <w:pPr>
        <w:jc w:val="both"/>
        <w:ind w:left="300" w:right="479"/>
        <w:spacing w:after="0" w:line="263" w:lineRule="auto"/>
        <w:rPr>
          <w:sz w:val="20"/>
          <w:szCs w:val="20"/>
          <w:color w:val="auto"/>
        </w:rPr>
      </w:pPr>
      <w:r>
        <w:rPr>
          <w:rFonts w:ascii="Arial" w:cs="Arial" w:eastAsia="Arial" w:hAnsi="Arial"/>
          <w:sz w:val="18"/>
          <w:szCs w:val="18"/>
          <w:color w:val="auto"/>
        </w:rPr>
        <w:t>The Group’s objectives when managing capital are to safeguard its ability to continue as a going concern, so that it can continue to provide returns for shareholders, benefits for other stakeholders and to maintain an optimal capital structure to reduce the cost of capital.</w:t>
      </w:r>
    </w:p>
    <w:p>
      <w:pPr>
        <w:spacing w:after="0" w:line="76" w:lineRule="exact"/>
        <w:rPr>
          <w:sz w:val="20"/>
          <w:szCs w:val="20"/>
          <w:color w:val="auto"/>
        </w:rPr>
      </w:pPr>
    </w:p>
    <w:p>
      <w:pPr>
        <w:ind w:left="300" w:right="579"/>
        <w:spacing w:after="0" w:line="286" w:lineRule="auto"/>
        <w:rPr>
          <w:sz w:val="20"/>
          <w:szCs w:val="20"/>
          <w:color w:val="auto"/>
        </w:rPr>
      </w:pPr>
      <w:r>
        <w:rPr>
          <w:rFonts w:ascii="Arial" w:cs="Arial" w:eastAsia="Arial" w:hAnsi="Arial"/>
          <w:sz w:val="17"/>
          <w:szCs w:val="17"/>
          <w:color w:val="auto"/>
        </w:rPr>
        <w:t>The capital structure of the Group includes equity attributable to equity holders, comprising of issued capital, reserves and accumulated losses. In order to maintain or adjust the capital structure, the Company may issue new shares, sell assets to reduce debt or adjust the level of activities undertaken by the company.</w:t>
      </w:r>
    </w:p>
    <w:p>
      <w:pPr>
        <w:spacing w:after="0" w:line="57" w:lineRule="exact"/>
        <w:rPr>
          <w:sz w:val="20"/>
          <w:szCs w:val="20"/>
          <w:color w:val="auto"/>
        </w:rPr>
      </w:pPr>
    </w:p>
    <w:p>
      <w:pPr>
        <w:ind w:left="300" w:right="499"/>
        <w:spacing w:after="0" w:line="342" w:lineRule="auto"/>
        <w:rPr>
          <w:sz w:val="20"/>
          <w:szCs w:val="20"/>
          <w:color w:val="auto"/>
        </w:rPr>
      </w:pPr>
      <w:r>
        <w:rPr>
          <w:rFonts w:ascii="Arial" w:cs="Arial" w:eastAsia="Arial" w:hAnsi="Arial"/>
          <w:sz w:val="16"/>
          <w:szCs w:val="16"/>
          <w:color w:val="auto"/>
        </w:rPr>
        <w:t>The Group monitors capital on the basis of cash flow requirements for operational, and exploration and evaluation expenditure. The Group will continue to use capital market issues to satisfy anticipated funding requirements.</w:t>
      </w:r>
    </w:p>
    <w:p>
      <w:pPr>
        <w:spacing w:after="0" w:line="16" w:lineRule="exact"/>
        <w:rPr>
          <w:sz w:val="20"/>
          <w:szCs w:val="20"/>
          <w:color w:val="auto"/>
        </w:rPr>
      </w:pPr>
    </w:p>
    <w:p>
      <w:pPr>
        <w:ind w:left="300" w:right="679"/>
        <w:spacing w:after="0" w:line="277" w:lineRule="auto"/>
        <w:rPr>
          <w:sz w:val="20"/>
          <w:szCs w:val="20"/>
          <w:color w:val="auto"/>
        </w:rPr>
      </w:pPr>
      <w:r>
        <w:rPr>
          <w:rFonts w:ascii="Arial" w:cs="Arial" w:eastAsia="Arial" w:hAnsi="Arial"/>
          <w:sz w:val="18"/>
          <w:szCs w:val="18"/>
          <w:color w:val="auto"/>
        </w:rPr>
        <w:t>The Group has no externally imposed capital requirements. The Group’s strategy for capital risk management is unchanged from prior years.</w:t>
      </w:r>
    </w:p>
    <w:p>
      <w:pPr>
        <w:spacing w:after="0" w:line="328"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5"/>
          <w:szCs w:val="15"/>
          <w:b w:val="1"/>
          <w:bCs w:val="1"/>
          <w:color w:val="auto"/>
        </w:rPr>
        <w:t>Reserves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Consolidated</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40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4020" w:type="dxa"/>
            <w:vAlign w:val="bottom"/>
          </w:tcPr>
          <w:p>
            <w:pPr>
              <w:spacing w:after="0"/>
              <w:rPr>
                <w:sz w:val="19"/>
                <w:szCs w:val="19"/>
                <w:color w:val="auto"/>
              </w:rPr>
            </w:pPr>
          </w:p>
        </w:tc>
        <w:tc>
          <w:tcPr>
            <w:tcW w:w="22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2021 $</w:t>
            </w:r>
          </w:p>
        </w:tc>
        <w:tc>
          <w:tcPr>
            <w:tcW w:w="1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2020 $</w:t>
            </w:r>
          </w:p>
        </w:tc>
        <w:tc>
          <w:tcPr>
            <w:tcW w:w="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2019 $</w:t>
            </w:r>
          </w:p>
        </w:tc>
        <w:tc>
          <w:tcPr>
            <w:tcW w:w="20" w:type="dxa"/>
            <w:vAlign w:val="bottom"/>
          </w:tcPr>
          <w:p>
            <w:pPr>
              <w:spacing w:after="0"/>
              <w:rPr>
                <w:sz w:val="19"/>
                <w:szCs w:val="19"/>
                <w:color w:val="auto"/>
              </w:rPr>
            </w:pPr>
          </w:p>
        </w:tc>
      </w:tr>
      <w:tr>
        <w:trPr>
          <w:trHeight w:val="53"/>
        </w:trPr>
        <w:tc>
          <w:tcPr>
            <w:tcW w:w="402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payment reserve</w:t>
            </w:r>
          </w:p>
        </w:tc>
        <w:tc>
          <w:tcPr>
            <w:tcW w:w="22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27,513,594</w:t>
            </w:r>
          </w:p>
        </w:tc>
        <w:tc>
          <w:tcPr>
            <w:tcW w:w="10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22,817,908</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15,258,956</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Foreign currency translation reserve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(600,850)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1,500,247</w:t>
            </w:r>
          </w:p>
        </w:tc>
        <w:tc>
          <w:tcPr>
            <w:tcW w:w="24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950,004</w:t>
            </w:r>
          </w:p>
        </w:tc>
      </w:tr>
      <w:tr>
        <w:trPr>
          <w:trHeight w:val="54"/>
        </w:trPr>
        <w:tc>
          <w:tcPr>
            <w:tcW w:w="40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 reserve</w:t>
            </w:r>
          </w:p>
        </w:tc>
        <w:tc>
          <w:tcPr>
            <w:tcW w:w="2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6,219,812</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6,219,812</w:t>
            </w:r>
          </w:p>
        </w:tc>
        <w:tc>
          <w:tcPr>
            <w:tcW w:w="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5,229,071</w:t>
            </w:r>
          </w:p>
        </w:tc>
      </w:tr>
      <w:tr>
        <w:trPr>
          <w:trHeight w:val="61"/>
        </w:trPr>
        <w:tc>
          <w:tcPr>
            <w:tcW w:w="402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4020" w:type="dxa"/>
            <w:vAlign w:val="bottom"/>
          </w:tcPr>
          <w:p>
            <w:pPr>
              <w:spacing w:after="0"/>
              <w:rPr>
                <w:sz w:val="23"/>
                <w:szCs w:val="23"/>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33,132,556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30,537,967</w:t>
            </w:r>
          </w:p>
        </w:tc>
        <w:tc>
          <w:tcPr>
            <w:tcW w:w="24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0"/>
              </w:rPr>
              <w:t>21,438,031</w:t>
            </w:r>
          </w:p>
        </w:tc>
      </w:tr>
      <w:tr>
        <w:trPr>
          <w:trHeight w:val="21"/>
        </w:trPr>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46"/>
        </w:trPr>
        <w:tc>
          <w:tcPr>
            <w:tcW w:w="4020" w:type="dxa"/>
            <w:vAlign w:val="bottom"/>
          </w:tcPr>
          <w:p>
            <w:pPr>
              <w:spacing w:after="0"/>
              <w:rPr>
                <w:sz w:val="20"/>
                <w:szCs w:val="20"/>
                <w:color w:val="auto"/>
              </w:rPr>
            </w:pPr>
            <w:r>
              <w:rPr>
                <w:rFonts w:ascii="Arial" w:cs="Arial" w:eastAsia="Arial" w:hAnsi="Arial"/>
                <w:sz w:val="14"/>
                <w:szCs w:val="14"/>
                <w:b w:val="1"/>
                <w:bCs w:val="1"/>
                <w:color w:val="auto"/>
              </w:rPr>
              <w:t>(a) Share-based payment reserve</w:t>
            </w: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Consolidated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
        </w:trPr>
        <w:tc>
          <w:tcPr>
            <w:tcW w:w="40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5"/>
        </w:trPr>
        <w:tc>
          <w:tcPr>
            <w:tcW w:w="4020" w:type="dxa"/>
            <w:vAlign w:val="bottom"/>
          </w:tcPr>
          <w:p>
            <w:pPr>
              <w:spacing w:after="0"/>
              <w:rPr>
                <w:sz w:val="19"/>
                <w:szCs w:val="19"/>
                <w:color w:val="auto"/>
              </w:rPr>
            </w:pPr>
          </w:p>
        </w:tc>
        <w:tc>
          <w:tcPr>
            <w:tcW w:w="22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2021 $</w:t>
            </w:r>
          </w:p>
        </w:tc>
        <w:tc>
          <w:tcPr>
            <w:tcW w:w="1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2020 $</w:t>
            </w:r>
          </w:p>
        </w:tc>
        <w:tc>
          <w:tcPr>
            <w:tcW w:w="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2019 $</w:t>
            </w:r>
          </w:p>
        </w:tc>
        <w:tc>
          <w:tcPr>
            <w:tcW w:w="20" w:type="dxa"/>
            <w:vAlign w:val="bottom"/>
          </w:tcPr>
          <w:p>
            <w:pPr>
              <w:spacing w:after="0"/>
              <w:rPr>
                <w:sz w:val="19"/>
                <w:szCs w:val="19"/>
                <w:color w:val="auto"/>
              </w:rPr>
            </w:pPr>
          </w:p>
        </w:tc>
      </w:tr>
      <w:tr>
        <w:trPr>
          <w:trHeight w:val="53"/>
        </w:trPr>
        <w:tc>
          <w:tcPr>
            <w:tcW w:w="402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52"/>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reserve</w:t>
            </w:r>
          </w:p>
        </w:tc>
        <w:tc>
          <w:tcPr>
            <w:tcW w:w="2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27,513,594</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22,817,908</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15,258,956</w:t>
            </w:r>
          </w:p>
        </w:tc>
      </w:tr>
      <w:tr>
        <w:trPr>
          <w:trHeight w:val="310"/>
        </w:trPr>
        <w:tc>
          <w:tcPr>
            <w:tcW w:w="4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Movements:</w:t>
            </w:r>
          </w:p>
        </w:tc>
        <w:tc>
          <w:tcPr>
            <w:tcW w:w="142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54"/>
        </w:trPr>
        <w:tc>
          <w:tcPr>
            <w:tcW w:w="4020" w:type="dxa"/>
            <w:vAlign w:val="bottom"/>
          </w:tcPr>
          <w:p>
            <w:pPr>
              <w:spacing w:after="0"/>
              <w:rPr>
                <w:sz w:val="4"/>
                <w:szCs w:val="4"/>
                <w:color w:val="auto"/>
              </w:rPr>
            </w:pPr>
          </w:p>
        </w:tc>
        <w:tc>
          <w:tcPr>
            <w:tcW w:w="228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1 July 2020</w:t>
            </w:r>
          </w:p>
        </w:tc>
        <w:tc>
          <w:tcPr>
            <w:tcW w:w="22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22,817,908</w:t>
            </w:r>
          </w:p>
        </w:tc>
        <w:tc>
          <w:tcPr>
            <w:tcW w:w="10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15,258,956</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8,585,446</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Equity settled options cancelled</w:t>
            </w:r>
          </w:p>
        </w:tc>
        <w:tc>
          <w:tcPr>
            <w:tcW w:w="1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1,189,081</w:t>
            </w:r>
          </w:p>
        </w:tc>
        <w:tc>
          <w:tcPr>
            <w:tcW w:w="24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4020" w:type="dxa"/>
            <w:vAlign w:val="bottom"/>
          </w:tcPr>
          <w:p>
            <w:pPr>
              <w:spacing w:after="0"/>
              <w:rPr>
                <w:sz w:val="4"/>
                <w:szCs w:val="4"/>
                <w:color w:val="auto"/>
              </w:rPr>
            </w:pPr>
          </w:p>
        </w:tc>
        <w:tc>
          <w:tcPr>
            <w:tcW w:w="228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 of limited recourse loan</w:t>
            </w:r>
          </w:p>
        </w:tc>
        <w:tc>
          <w:tcPr>
            <w:tcW w:w="22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(1,252,846)</w:t>
            </w:r>
          </w:p>
        </w:tc>
        <w:tc>
          <w:tcPr>
            <w:tcW w:w="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Equity settled share-based payments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5,948,532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6,369,871</w:t>
            </w:r>
          </w:p>
        </w:tc>
        <w:tc>
          <w:tcPr>
            <w:tcW w:w="24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6,673,510</w:t>
            </w:r>
          </w:p>
        </w:tc>
      </w:tr>
      <w:tr>
        <w:trPr>
          <w:trHeight w:val="48"/>
        </w:trPr>
        <w:tc>
          <w:tcPr>
            <w:tcW w:w="40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30 June 2021</w:t>
            </w:r>
          </w:p>
        </w:tc>
        <w:tc>
          <w:tcPr>
            <w:tcW w:w="2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27,513,594</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22,817,908</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15,258,956</w:t>
            </w:r>
          </w:p>
        </w:tc>
      </w:tr>
      <w:tr>
        <w:trPr>
          <w:trHeight w:val="27"/>
        </w:trPr>
        <w:tc>
          <w:tcPr>
            <w:tcW w:w="40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right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right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-2819400</wp:posOffset>
            </wp:positionV>
            <wp:extent cx="1543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-2819400</wp:posOffset>
            </wp:positionV>
            <wp:extent cx="1543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-2819400</wp:posOffset>
            </wp:positionV>
            <wp:extent cx="774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-1525270</wp:posOffset>
            </wp:positionV>
            <wp:extent cx="15430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-1525270</wp:posOffset>
            </wp:positionV>
            <wp:extent cx="15430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-1525270</wp:posOffset>
            </wp:positionV>
            <wp:extent cx="774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4" w:lineRule="exact"/>
        <w:rPr>
          <w:sz w:val="20"/>
          <w:szCs w:val="20"/>
          <w:color w:val="auto"/>
        </w:rPr>
      </w:pPr>
    </w:p>
    <w:p>
      <w:pPr>
        <w:ind w:left="300" w:right="779"/>
        <w:spacing w:after="0" w:line="277" w:lineRule="auto"/>
        <w:rPr>
          <w:sz w:val="20"/>
          <w:szCs w:val="20"/>
          <w:color w:val="auto"/>
        </w:rPr>
      </w:pPr>
      <w:r>
        <w:rPr>
          <w:rFonts w:ascii="Arial" w:cs="Arial" w:eastAsia="Arial" w:hAnsi="Arial"/>
          <w:sz w:val="18"/>
          <w:szCs w:val="18"/>
          <w:color w:val="auto"/>
        </w:rPr>
        <w:t>The share-based payment reserve records items recognised as expenses on valuation of director, employee and contractor options and performance rights.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00" w:type="dxa"/>
            <w:vAlign w:val="bottom"/>
          </w:tcPr>
          <w:p>
            <w:pPr>
              <w:spacing w:after="0"/>
              <w:rPr>
                <w:sz w:val="20"/>
                <w:szCs w:val="20"/>
                <w:color w:val="auto"/>
              </w:rPr>
            </w:pPr>
            <w:r>
              <w:rPr>
                <w:rFonts w:ascii="Arial" w:cs="Arial" w:eastAsia="Arial" w:hAnsi="Arial"/>
                <w:sz w:val="14"/>
                <w:szCs w:val="14"/>
                <w:b w:val="1"/>
                <w:bCs w:val="1"/>
                <w:color w:val="auto"/>
              </w:rPr>
              <w:t>(b) Foreign currency translation reserve</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ind w:left="200"/>
              <w:spacing w:after="0"/>
              <w:rPr>
                <w:sz w:val="20"/>
                <w:szCs w:val="20"/>
                <w:color w:val="auto"/>
              </w:rPr>
            </w:pPr>
            <w:r>
              <w:rPr>
                <w:rFonts w:ascii="Arial" w:cs="Arial" w:eastAsia="Arial" w:hAnsi="Arial"/>
                <w:sz w:val="14"/>
                <w:szCs w:val="14"/>
                <w:b w:val="1"/>
                <w:bCs w:val="1"/>
                <w:color w:val="auto"/>
              </w:rPr>
              <w:t>Consolidated</w:t>
            </w:r>
          </w:p>
        </w:tc>
        <w:tc>
          <w:tcPr>
            <w:tcW w:w="600" w:type="dxa"/>
            <w:vAlign w:val="bottom"/>
          </w:tcPr>
          <w:p>
            <w:pPr>
              <w:spacing w:after="0"/>
              <w:rPr>
                <w:sz w:val="16"/>
                <w:szCs w:val="16"/>
                <w:color w:val="auto"/>
              </w:rPr>
            </w:pPr>
          </w:p>
        </w:tc>
      </w:tr>
      <w:tr>
        <w:trPr>
          <w:trHeight w:val="53"/>
        </w:trPr>
        <w:tc>
          <w:tcPr>
            <w:tcW w:w="4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25"/>
        </w:trPr>
        <w:tc>
          <w:tcPr>
            <w:tcW w:w="4800" w:type="dxa"/>
            <w:vAlign w:val="bottom"/>
          </w:tcPr>
          <w:p>
            <w:pPr>
              <w:spacing w:after="0"/>
              <w:rPr>
                <w:sz w:val="19"/>
                <w:szCs w:val="19"/>
                <w:color w:val="auto"/>
              </w:rPr>
            </w:pPr>
          </w:p>
        </w:tc>
        <w:tc>
          <w:tcPr>
            <w:tcW w:w="14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2021 $</w:t>
            </w:r>
          </w:p>
        </w:tc>
        <w:tc>
          <w:tcPr>
            <w:tcW w:w="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2020 $</w:t>
            </w:r>
          </w:p>
        </w:tc>
        <w:tc>
          <w:tcPr>
            <w:tcW w:w="3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2019 $</w:t>
            </w:r>
          </w:p>
        </w:tc>
      </w:tr>
      <w:tr>
        <w:trPr>
          <w:trHeight w:val="52"/>
        </w:trPr>
        <w:tc>
          <w:tcPr>
            <w:tcW w:w="480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6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(600,850)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1,504,430</w:t>
            </w:r>
          </w:p>
        </w:tc>
        <w:tc>
          <w:tcPr>
            <w:tcW w:w="38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950,004</w:t>
            </w:r>
          </w:p>
        </w:tc>
      </w:tr>
      <w:tr>
        <w:trPr>
          <w:trHeight w:val="61"/>
        </w:trPr>
        <w:tc>
          <w:tcPr>
            <w:tcW w:w="48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auto"/>
              <w:right w:val="single" w:sz="8" w:color="CCEEFF"/>
            </w:tcBorders>
            <w:shd w:val="clear" w:color="auto" w:fill="CCEEFF"/>
          </w:tcPr>
          <w:p>
            <w:pPr>
              <w:spacing w:after="0"/>
              <w:rPr>
                <w:sz w:val="5"/>
                <w:szCs w:val="5"/>
                <w:color w:val="auto"/>
              </w:rPr>
            </w:pPr>
          </w:p>
        </w:tc>
      </w:tr>
      <w:tr>
        <w:trPr>
          <w:trHeight w:val="284"/>
        </w:trPr>
        <w:tc>
          <w:tcPr>
            <w:tcW w:w="4800" w:type="dxa"/>
            <w:vAlign w:val="bottom"/>
          </w:tcPr>
          <w:p>
            <w:pPr>
              <w:spacing w:after="0"/>
              <w:rPr>
                <w:sz w:val="20"/>
                <w:szCs w:val="20"/>
                <w:color w:val="auto"/>
              </w:rPr>
            </w:pPr>
            <w:r>
              <w:rPr>
                <w:rFonts w:ascii="Arial" w:cs="Arial" w:eastAsia="Arial" w:hAnsi="Arial"/>
                <w:sz w:val="18"/>
                <w:szCs w:val="18"/>
                <w:color w:val="auto"/>
              </w:rPr>
              <w:t>Movements:</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4"/>
        </w:trPr>
        <w:tc>
          <w:tcPr>
            <w:tcW w:w="4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1 July 2020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1,500,247</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950,004</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140,608</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(2,101,097)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550,243</w:t>
            </w:r>
          </w:p>
        </w:tc>
        <w:tc>
          <w:tcPr>
            <w:tcW w:w="38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809,396</w:t>
            </w:r>
          </w:p>
        </w:tc>
      </w:tr>
      <w:tr>
        <w:trPr>
          <w:trHeight w:val="61"/>
        </w:trPr>
        <w:tc>
          <w:tcPr>
            <w:tcW w:w="4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r>
      <w:tr>
        <w:trPr>
          <w:trHeight w:val="29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30 June 2021</w:t>
            </w:r>
          </w:p>
        </w:tc>
        <w:tc>
          <w:tcPr>
            <w:tcW w:w="6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(600,850)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1,500,247</w:t>
            </w:r>
          </w:p>
        </w:tc>
        <w:tc>
          <w:tcPr>
            <w:tcW w:w="38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950,004</w:t>
            </w:r>
          </w:p>
        </w:tc>
      </w:tr>
      <w:tr>
        <w:trPr>
          <w:trHeight w:val="27"/>
        </w:trPr>
        <w:tc>
          <w:tcPr>
            <w:tcW w:w="48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-1079500</wp:posOffset>
            </wp:positionV>
            <wp:extent cx="24003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-1079500</wp:posOffset>
            </wp:positionV>
            <wp:extent cx="24003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-1079500</wp:posOffset>
            </wp:positionV>
            <wp:extent cx="12001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4"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The foreign currency translation reserve records exchange differences arising on translation of a foreign controlled subsidiary.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5"/>
          <w:szCs w:val="15"/>
          <w:b w:val="1"/>
          <w:bCs w:val="1"/>
          <w:color w:val="auto"/>
        </w:rPr>
        <w:t>Reserves (continued)</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480" w:type="dxa"/>
            <w:vAlign w:val="bottom"/>
          </w:tcPr>
          <w:p>
            <w:pPr>
              <w:spacing w:after="0"/>
              <w:rPr>
                <w:sz w:val="20"/>
                <w:szCs w:val="20"/>
                <w:color w:val="auto"/>
              </w:rPr>
            </w:pPr>
            <w:r>
              <w:rPr>
                <w:rFonts w:ascii="Arial" w:cs="Arial" w:eastAsia="Arial" w:hAnsi="Arial"/>
                <w:sz w:val="14"/>
                <w:szCs w:val="14"/>
                <w:b w:val="1"/>
                <w:bCs w:val="1"/>
                <w:color w:val="auto"/>
              </w:rPr>
              <w:t>(c) Convertible loan note reserve</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4"/>
          </w:tcPr>
          <w:p>
            <w:pPr>
              <w:ind w:left="340"/>
              <w:spacing w:after="0"/>
              <w:rPr>
                <w:sz w:val="20"/>
                <w:szCs w:val="20"/>
                <w:color w:val="auto"/>
              </w:rPr>
            </w:pPr>
            <w:r>
              <w:rPr>
                <w:rFonts w:ascii="Arial" w:cs="Arial" w:eastAsia="Arial" w:hAnsi="Arial"/>
                <w:sz w:val="14"/>
                <w:szCs w:val="14"/>
                <w:b w:val="1"/>
                <w:bCs w:val="1"/>
                <w:color w:val="auto"/>
              </w:rPr>
              <w:t>Consolidated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b w:val="1"/>
                <w:bCs w:val="1"/>
                <w:color w:val="auto"/>
              </w:rPr>
              <w:t>2021 $</w:t>
            </w:r>
          </w:p>
        </w:tc>
        <w:tc>
          <w:tcPr>
            <w:tcW w:w="2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2020 $</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b w:val="1"/>
                <w:bCs w:val="1"/>
                <w:color w:val="auto"/>
              </w:rPr>
              <w:t>2019 $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4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loan note reserve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6,219,812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6,219,812</w:t>
            </w:r>
          </w:p>
        </w:tc>
        <w:tc>
          <w:tcPr>
            <w:tcW w:w="3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5,229,071</w:t>
            </w:r>
          </w:p>
        </w:tc>
        <w:tc>
          <w:tcPr>
            <w:tcW w:w="0" w:type="dxa"/>
            <w:vAlign w:val="bottom"/>
          </w:tcPr>
          <w:p>
            <w:pPr>
              <w:spacing w:after="0"/>
              <w:rPr>
                <w:sz w:val="1"/>
                <w:szCs w:val="1"/>
                <w:color w:val="auto"/>
              </w:rPr>
            </w:pPr>
          </w:p>
        </w:tc>
      </w:tr>
      <w:tr>
        <w:trPr>
          <w:trHeight w:val="311"/>
        </w:trPr>
        <w:tc>
          <w:tcPr>
            <w:tcW w:w="5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Movements:</w:t>
            </w: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1 July 2020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6,219,812</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5,229,071</w:t>
            </w:r>
          </w:p>
        </w:tc>
        <w:tc>
          <w:tcPr>
            <w:tcW w:w="3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2,426,120</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Equity component of loan notes issued during the year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990,741</w:t>
            </w:r>
          </w:p>
        </w:tc>
        <w:tc>
          <w:tcPr>
            <w:tcW w:w="36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2,817,316</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Loan note issue costs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(14,365)</w:t>
            </w:r>
          </w:p>
        </w:tc>
        <w:tc>
          <w:tcPr>
            <w:tcW w:w="0" w:type="dxa"/>
            <w:vAlign w:val="bottom"/>
          </w:tcPr>
          <w:p>
            <w:pPr>
              <w:spacing w:after="0"/>
              <w:rPr>
                <w:sz w:val="1"/>
                <w:szCs w:val="1"/>
                <w:color w:val="auto"/>
              </w:rPr>
            </w:pPr>
          </w:p>
        </w:tc>
      </w:tr>
      <w:tr>
        <w:trPr>
          <w:trHeight w:val="61"/>
        </w:trPr>
        <w:tc>
          <w:tcPr>
            <w:tcW w:w="54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Balance 30 June 2021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6,219,812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6,219,812</w:t>
            </w:r>
          </w:p>
        </w:tc>
        <w:tc>
          <w:tcPr>
            <w:tcW w:w="36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5,229,071</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Convertible loan notes are compound financial instruments.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54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-1525270</wp:posOffset>
            </wp:positionV>
            <wp:extent cx="22288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-1525270</wp:posOffset>
            </wp:positionV>
            <wp:extent cx="2228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-1525270</wp:posOffset>
            </wp:positionV>
            <wp:extent cx="1111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present value of the liability component of the loan notes issued in August 2019, at initial recognition, was</w:t>
      </w:r>
    </w:p>
    <w:p>
      <w:pPr>
        <w:spacing w:after="0" w:line="35"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$3,009,259. The balance of $990,741 was recognised in the convertible note reserve in prior period. In discounting the loan notes to present value to determine the equity proportion of the compound financial instrument, NOVONIX adopted an effective interest rate of 24.25% pa.</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present value of the liability component of the loan notes issued in March 2019, at initial recognition, was</w:t>
      </w:r>
    </w:p>
    <w:p>
      <w:pPr>
        <w:spacing w:after="0" w:line="35" w:lineRule="exact"/>
        <w:rPr>
          <w:sz w:val="20"/>
          <w:szCs w:val="20"/>
          <w:color w:val="auto"/>
        </w:rPr>
      </w:pPr>
    </w:p>
    <w:p>
      <w:pPr>
        <w:ind w:left="300" w:right="359"/>
        <w:spacing w:after="0" w:line="255" w:lineRule="auto"/>
        <w:rPr>
          <w:sz w:val="20"/>
          <w:szCs w:val="20"/>
          <w:color w:val="auto"/>
        </w:rPr>
      </w:pPr>
      <w:r>
        <w:rPr>
          <w:rFonts w:ascii="Arial" w:cs="Arial" w:eastAsia="Arial" w:hAnsi="Arial"/>
          <w:sz w:val="18"/>
          <w:szCs w:val="18"/>
          <w:color w:val="auto"/>
        </w:rPr>
        <w:t>$5,170,660. The balance of $1,702,340 was recognised in the convertible note reserve. In discounting the loan notes to present value to determine the equity proportion of the compound financial instrument, NOVONIX adopted an effective interest rate of 24.5% pa.</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present value of the liability component of the loan notes issued in August 2018, at initial recognition, was</w:t>
      </w:r>
    </w:p>
    <w:p>
      <w:pPr>
        <w:spacing w:after="0" w:line="35"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$4,361,289. The balance of $1,100,611 was recognised in the convertible note reserve. In discounting the loan notes to present value to determine the equity proportion of the compound financial instrument, NOVONIX adopted an effective interest rate of 25.6% pa.</w:t>
      </w:r>
    </w:p>
    <w:p>
      <w:pPr>
        <w:spacing w:after="0" w:line="348"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25</w:t>
      </w:r>
      <w:r>
        <w:rPr>
          <w:sz w:val="20"/>
          <w:szCs w:val="20"/>
          <w:color w:val="auto"/>
        </w:rPr>
        <w:tab/>
      </w:r>
      <w:r>
        <w:rPr>
          <w:rFonts w:ascii="Arial" w:cs="Arial" w:eastAsia="Arial" w:hAnsi="Arial"/>
          <w:sz w:val="15"/>
          <w:szCs w:val="15"/>
          <w:b w:val="1"/>
          <w:bCs w:val="1"/>
          <w:color w:val="auto"/>
        </w:rPr>
        <w:t>Operating segments</w:t>
      </w:r>
    </w:p>
    <w:p>
      <w:pPr>
        <w:spacing w:after="0" w:line="12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The Group has identified its operating segments based on the internal reports that are reviewed and used by the Board of Directors (Chief Operating Decision Makers) in assessing performance and determining the allocation of resources. The Group is managed primarily on an operational basis. Operating segments are determined on the basis of financial information reported to the Board.</w:t>
      </w:r>
    </w:p>
    <w:p>
      <w:pPr>
        <w:spacing w:after="0" w:line="79"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The board has identified three operating segments being Graphite Exploration and Mining, Battery Technology and Battery Materials. The Battery Materials segment develops and manufactures battery anode materials and the Battery Technology segment develops battery cell testing equipment, performs consulting services and carried out research and development in battery development.</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of accounting for purposes of reporting by operating segments</w:t>
      </w:r>
    </w:p>
    <w:p>
      <w:pPr>
        <w:spacing w:after="0" w:line="117" w:lineRule="exact"/>
        <w:rPr>
          <w:sz w:val="20"/>
          <w:szCs w:val="20"/>
          <w:color w:val="auto"/>
        </w:rPr>
      </w:pPr>
    </w:p>
    <w:p>
      <w:pPr>
        <w:ind w:left="640" w:hanging="348"/>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adopted</w:t>
      </w:r>
    </w:p>
    <w:p>
      <w:pPr>
        <w:spacing w:after="0" w:line="121" w:lineRule="exact"/>
        <w:rPr>
          <w:sz w:val="20"/>
          <w:szCs w:val="20"/>
          <w:color w:val="auto"/>
        </w:rPr>
      </w:pPr>
    </w:p>
    <w:p>
      <w:pPr>
        <w:jc w:val="both"/>
        <w:ind w:left="300" w:right="519"/>
        <w:spacing w:after="0" w:line="263" w:lineRule="auto"/>
        <w:rPr>
          <w:sz w:val="20"/>
          <w:szCs w:val="20"/>
          <w:color w:val="auto"/>
        </w:rPr>
      </w:pPr>
      <w:r>
        <w:rPr>
          <w:rFonts w:ascii="Arial" w:cs="Arial" w:eastAsia="Arial" w:hAnsi="Arial"/>
          <w:sz w:val="18"/>
          <w:szCs w:val="18"/>
          <w:color w:val="auto"/>
        </w:rPr>
        <w:t>Unless stated otherwise, all amounts reported to the Board of Directors, being the chief operating decision makers with respect to operating segments, are determined in accordance with accounting policies that are consistent with those adopted in the annual financial statements of the Group.</w:t>
      </w:r>
    </w:p>
    <w:p>
      <w:pPr>
        <w:spacing w:after="0" w:line="72" w:lineRule="exact"/>
        <w:rPr>
          <w:sz w:val="20"/>
          <w:szCs w:val="20"/>
          <w:color w:val="auto"/>
        </w:rPr>
      </w:pPr>
    </w:p>
    <w:p>
      <w:pPr>
        <w:ind w:left="640" w:hanging="348"/>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assets</w:t>
      </w:r>
    </w:p>
    <w:p>
      <w:pPr>
        <w:spacing w:after="0" w:line="121" w:lineRule="exact"/>
        <w:rPr>
          <w:sz w:val="20"/>
          <w:szCs w:val="20"/>
          <w:color w:val="auto"/>
        </w:rPr>
      </w:pPr>
    </w:p>
    <w:p>
      <w:pPr>
        <w:ind w:left="300" w:right="519"/>
        <w:spacing w:after="0" w:line="263" w:lineRule="auto"/>
        <w:rPr>
          <w:sz w:val="20"/>
          <w:szCs w:val="20"/>
          <w:color w:val="auto"/>
        </w:rPr>
      </w:pPr>
      <w:r>
        <w:rPr>
          <w:rFonts w:ascii="Arial" w:cs="Arial" w:eastAsia="Arial" w:hAnsi="Arial"/>
          <w:sz w:val="18"/>
          <w:szCs w:val="18"/>
          <w:color w:val="auto"/>
        </w:rPr>
        <w:t>Where an asset is used across multiple segments, the asset is allocated to the segment that receives the majority of the economic value from the asset. In most instances, segment assets are clearly identifiable on the basis of their nature and physical location.</w:t>
      </w:r>
    </w:p>
    <w:p>
      <w:pPr>
        <w:spacing w:after="0" w:line="72" w:lineRule="exact"/>
        <w:rPr>
          <w:sz w:val="20"/>
          <w:szCs w:val="20"/>
          <w:color w:val="auto"/>
        </w:rPr>
      </w:pPr>
    </w:p>
    <w:p>
      <w:pPr>
        <w:ind w:left="640" w:hanging="348"/>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Segment liabilities</w:t>
      </w:r>
    </w:p>
    <w:p>
      <w:pPr>
        <w:spacing w:after="0" w:line="121"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Liabilities are allocated to segments where there is a direct nexus between the incurrence of the liability and the operations of the segment. Borrowings and tax liabilities are generally considered to relate to the Group as a whole and are not allocated. Segment liabilities include trade and other payables.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25</w:t>
      </w:r>
      <w:r>
        <w:rPr>
          <w:sz w:val="20"/>
          <w:szCs w:val="20"/>
          <w:color w:val="auto"/>
        </w:rPr>
        <w:tab/>
      </w:r>
      <w:r>
        <w:rPr>
          <w:rFonts w:ascii="Arial" w:cs="Arial" w:eastAsia="Arial" w:hAnsi="Arial"/>
          <w:sz w:val="16"/>
          <w:szCs w:val="16"/>
          <w:b w:val="1"/>
          <w:bCs w:val="1"/>
          <w:color w:val="auto"/>
        </w:rPr>
        <w:t>Operating segments (continued)</w:t>
      </w:r>
    </w:p>
    <w:p>
      <w:pPr>
        <w:spacing w:after="0" w:line="27" w:lineRule="exact"/>
        <w:rPr>
          <w:sz w:val="20"/>
          <w:szCs w:val="20"/>
          <w:color w:val="auto"/>
        </w:rPr>
      </w:pPr>
    </w:p>
    <w:p>
      <w:pPr>
        <w:ind w:left="1640" w:hanging="348"/>
        <w:spacing w:after="0"/>
        <w:tabs>
          <w:tab w:leader="none" w:pos="1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Unallocated items</w:t>
      </w:r>
    </w:p>
    <w:p>
      <w:pPr>
        <w:spacing w:after="0" w:line="103" w:lineRule="exact"/>
        <w:rPr>
          <w:sz w:val="20"/>
          <w:szCs w:val="20"/>
          <w:color w:val="auto"/>
        </w:rPr>
      </w:pPr>
    </w:p>
    <w:p>
      <w:pPr>
        <w:ind w:left="1300" w:right="1460"/>
        <w:spacing w:after="0" w:line="277" w:lineRule="auto"/>
        <w:rPr>
          <w:sz w:val="20"/>
          <w:szCs w:val="20"/>
          <w:color w:val="auto"/>
        </w:rPr>
      </w:pPr>
      <w:r>
        <w:rPr>
          <w:rFonts w:ascii="Arial" w:cs="Arial" w:eastAsia="Arial" w:hAnsi="Arial"/>
          <w:sz w:val="18"/>
          <w:szCs w:val="18"/>
          <w:color w:val="auto"/>
        </w:rPr>
        <w:t>The following items for revenue, expenses, assets and liabilities are not allocated to operating segments as they are not considered part of the core operations of any segment:</w:t>
      </w:r>
    </w:p>
    <w:p>
      <w:pPr>
        <w:spacing w:after="0" w:line="6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Interest income</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Prepayments for deferred issuance costs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Corporate administrative and other expenses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Income tax expense</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Corporate share-based payment expenses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Corporate marketing and project development expenses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Corporate cash</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Security deposits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Corporate trade and other payables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Corporate trade and other receivables</w:t>
      </w:r>
    </w:p>
    <w:p>
      <w:pPr>
        <w:spacing w:after="0" w:line="113" w:lineRule="exact"/>
        <w:rPr>
          <w:sz w:val="20"/>
          <w:szCs w:val="20"/>
          <w:color w:val="auto"/>
        </w:rPr>
      </w:pPr>
    </w:p>
    <w:p>
      <w:pPr>
        <w:ind w:left="1640" w:hanging="348"/>
        <w:spacing w:after="0"/>
        <w:tabs>
          <w:tab w:leader="none" w:pos="1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378"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Graphite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Battery</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Battery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Exploration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Unallocated</w:t>
            </w:r>
          </w:p>
        </w:tc>
        <w:tc>
          <w:tcPr>
            <w:tcW w:w="180" w:type="dxa"/>
            <w:vAlign w:val="bottom"/>
          </w:tcPr>
          <w:p>
            <w:pPr>
              <w:spacing w:after="0"/>
              <w:rPr>
                <w:sz w:val="12"/>
                <w:szCs w:val="12"/>
                <w:color w:val="auto"/>
              </w:rPr>
            </w:pPr>
          </w:p>
        </w:tc>
        <w:tc>
          <w:tcPr>
            <w:tcW w:w="2240" w:type="dxa"/>
            <w:vAlign w:val="bottom"/>
            <w:gridSpan w:val="2"/>
            <w:vMerge w:val="restart"/>
          </w:tcPr>
          <w:p>
            <w:pPr>
              <w:jc w:val="center"/>
              <w:ind w:right="13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42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and Mining</w:t>
            </w:r>
          </w:p>
        </w:tc>
        <w:tc>
          <w:tcPr>
            <w:tcW w:w="12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Technology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Materials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left="101"/>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6"/>
                <w:szCs w:val="16"/>
                <w:color w:val="auto"/>
              </w:rPr>
            </w:pPr>
          </w:p>
        </w:tc>
        <w:tc>
          <w:tcPr>
            <w:tcW w:w="90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6"/>
                <w:szCs w:val="16"/>
                <w:color w:val="auto"/>
              </w:rPr>
            </w:pPr>
          </w:p>
        </w:tc>
        <w:tc>
          <w:tcPr>
            <w:tcW w:w="104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5,227,347</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5,227,347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798,882</w:t>
            </w:r>
          </w:p>
        </w:tc>
        <w:tc>
          <w:tcPr>
            <w:tcW w:w="140" w:type="dxa"/>
            <w:vAlign w:val="bottom"/>
          </w:tcPr>
          <w:p>
            <w:pPr>
              <w:spacing w:after="0"/>
              <w:rPr>
                <w:sz w:val="23"/>
                <w:szCs w:val="23"/>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69,204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949,586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35,066</w:t>
            </w:r>
          </w:p>
        </w:tc>
        <w:tc>
          <w:tcPr>
            <w:tcW w:w="11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35,066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Total income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6,026,229</w:t>
            </w:r>
          </w:p>
        </w:tc>
        <w:tc>
          <w:tcPr>
            <w:tcW w:w="140" w:type="dxa"/>
            <w:vAlign w:val="bottom"/>
          </w:tcPr>
          <w:p>
            <w:pPr>
              <w:spacing w:after="0"/>
              <w:rPr>
                <w:sz w:val="23"/>
                <w:szCs w:val="23"/>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69,204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116,566</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6,211,999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Segment net profit / (loss) from continuing</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operations before tax</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(46,424)</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(63,661)</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(11,968,654)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(5,997,338)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(18,076,077)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Graphite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Battery</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Battery</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Exploration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7"/>
              <w:spacing w:after="0"/>
              <w:rPr>
                <w:sz w:val="20"/>
                <w:szCs w:val="20"/>
                <w:color w:val="auto"/>
              </w:rPr>
            </w:pPr>
            <w:r>
              <w:rPr>
                <w:rFonts w:ascii="Arial" w:cs="Arial" w:eastAsia="Arial" w:hAnsi="Arial"/>
                <w:sz w:val="14"/>
                <w:szCs w:val="14"/>
                <w:b w:val="1"/>
                <w:bCs w:val="1"/>
                <w:color w:val="auto"/>
              </w:rPr>
              <w:t>Unallocated</w:t>
            </w:r>
          </w:p>
        </w:tc>
        <w:tc>
          <w:tcPr>
            <w:tcW w:w="180" w:type="dxa"/>
            <w:vAlign w:val="bottom"/>
          </w:tcPr>
          <w:p>
            <w:pPr>
              <w:spacing w:after="0"/>
              <w:rPr>
                <w:sz w:val="12"/>
                <w:szCs w:val="12"/>
                <w:color w:val="auto"/>
              </w:rPr>
            </w:pPr>
          </w:p>
        </w:tc>
        <w:tc>
          <w:tcPr>
            <w:tcW w:w="2240" w:type="dxa"/>
            <w:vAlign w:val="bottom"/>
            <w:gridSpan w:val="2"/>
            <w:vMerge w:val="restart"/>
          </w:tcPr>
          <w:p>
            <w:pPr>
              <w:jc w:val="center"/>
              <w:ind w:right="13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42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and Mining</w:t>
            </w:r>
          </w:p>
        </w:tc>
        <w:tc>
          <w:tcPr>
            <w:tcW w:w="12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Technology</w:t>
            </w:r>
          </w:p>
        </w:tc>
        <w:tc>
          <w:tcPr>
            <w:tcW w:w="4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Materials</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left="101"/>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6"/>
                <w:szCs w:val="16"/>
                <w:color w:val="auto"/>
              </w:rPr>
            </w:pPr>
          </w:p>
        </w:tc>
        <w:tc>
          <w:tcPr>
            <w:tcW w:w="90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6"/>
                <w:szCs w:val="16"/>
                <w:color w:val="auto"/>
              </w:rPr>
            </w:pPr>
          </w:p>
        </w:tc>
        <w:tc>
          <w:tcPr>
            <w:tcW w:w="1040" w:type="dxa"/>
            <w:vAlign w:val="bottom"/>
            <w:gridSpan w:val="3"/>
          </w:tcPr>
          <w:p>
            <w:pPr>
              <w:jc w:val="right"/>
              <w:ind w:right="357"/>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4,253,435</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4,253,435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785,154</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844,154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1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Total income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5,038,589</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59,723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5,098,312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Segment net profit / (loss) from continuing</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operations before tax</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(853,084)</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(7,426,978)</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(11,748,464)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(20,028,526)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Graphite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9"/>
              </w:rPr>
              <w:t>Battery</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Battery</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Exploration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Unallocated</w:t>
            </w:r>
          </w:p>
        </w:tc>
        <w:tc>
          <w:tcPr>
            <w:tcW w:w="180" w:type="dxa"/>
            <w:vAlign w:val="bottom"/>
          </w:tcPr>
          <w:p>
            <w:pPr>
              <w:spacing w:after="0"/>
              <w:rPr>
                <w:sz w:val="12"/>
                <w:szCs w:val="12"/>
                <w:color w:val="auto"/>
              </w:rPr>
            </w:pPr>
          </w:p>
        </w:tc>
        <w:tc>
          <w:tcPr>
            <w:tcW w:w="2240" w:type="dxa"/>
            <w:vAlign w:val="bottom"/>
            <w:gridSpan w:val="2"/>
            <w:vMerge w:val="restart"/>
          </w:tcPr>
          <w:p>
            <w:pPr>
              <w:jc w:val="center"/>
              <w:ind w:right="13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and Mining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Technology</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Materials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left="8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90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00" w:type="dxa"/>
            <w:vAlign w:val="bottom"/>
            <w:gridSpan w:val="3"/>
          </w:tcPr>
          <w:p>
            <w:pPr>
              <w:jc w:val="center"/>
              <w:ind w:left="17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4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CCEEFF"/>
            </w:tcBorders>
            <w:gridSpan w:val="2"/>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revenue</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1,817,049</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1,817,049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443,679</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2,576,131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341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3,020,151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1040" w:type="dxa"/>
            <w:vAlign w:val="bottom"/>
            <w:gridSpan w:val="3"/>
          </w:tcPr>
          <w:p>
            <w:pPr>
              <w:spacing w:after="0"/>
              <w:rPr>
                <w:sz w:val="4"/>
                <w:szCs w:val="4"/>
                <w:color w:val="auto"/>
              </w:rPr>
            </w:pPr>
          </w:p>
        </w:tc>
        <w:tc>
          <w:tcPr>
            <w:tcW w:w="1120" w:type="dxa"/>
            <w:vAlign w:val="bottom"/>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1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4,533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Total income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2,260,728</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2,576,131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4,874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4,841,733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Segment net profit / (loss) from continuing</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operations before tax</w:t>
            </w: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(10,667,897)</w:t>
            </w: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(9,109,713)</w:t>
            </w:r>
          </w:p>
        </w:tc>
        <w:tc>
          <w:tcPr>
            <w:tcW w:w="9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(470,476)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(6,257,481)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(26,505,567)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6"/>
          </w:tcPr>
          <w:p>
            <w:pPr>
              <w:jc w:val="right"/>
              <w:ind w:right="900"/>
              <w:spacing w:after="0"/>
              <w:rPr>
                <w:sz w:val="20"/>
                <w:szCs w:val="20"/>
                <w:color w:val="auto"/>
              </w:rPr>
            </w:pPr>
            <w:r>
              <w:rPr>
                <w:rFonts w:ascii="Arial" w:cs="Arial" w:eastAsia="Arial" w:hAnsi="Arial"/>
                <w:sz w:val="18"/>
                <w:szCs w:val="18"/>
                <w:color w:val="auto"/>
              </w:rPr>
              <w:t>F-35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-5022850</wp:posOffset>
            </wp:positionV>
            <wp:extent cx="12001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-5022850</wp:posOffset>
            </wp:positionV>
            <wp:extent cx="12001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-5022850</wp:posOffset>
            </wp:positionV>
            <wp:extent cx="12001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-5022850</wp:posOffset>
            </wp:positionV>
            <wp:extent cx="12001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-5022850</wp:posOffset>
            </wp:positionV>
            <wp:extent cx="12001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-3299460</wp:posOffset>
            </wp:positionV>
            <wp:extent cx="1200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-3299460</wp:posOffset>
            </wp:positionV>
            <wp:extent cx="1200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-3299460</wp:posOffset>
            </wp:positionV>
            <wp:extent cx="1200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-3299460</wp:posOffset>
            </wp:positionV>
            <wp:extent cx="1200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-3299460</wp:posOffset>
            </wp:positionV>
            <wp:extent cx="1200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-1584960</wp:posOffset>
            </wp:positionV>
            <wp:extent cx="12001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-1584960</wp:posOffset>
            </wp:positionV>
            <wp:extent cx="12001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-1584960</wp:posOffset>
            </wp:positionV>
            <wp:extent cx="12001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-1584960</wp:posOffset>
            </wp:positionV>
            <wp:extent cx="12001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-1584960</wp:posOffset>
            </wp:positionV>
            <wp:extent cx="12001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25</w:t>
      </w:r>
      <w:r>
        <w:rPr>
          <w:sz w:val="20"/>
          <w:szCs w:val="20"/>
          <w:color w:val="auto"/>
        </w:rPr>
        <w:tab/>
      </w:r>
      <w:r>
        <w:rPr>
          <w:rFonts w:ascii="Arial" w:cs="Arial" w:eastAsia="Arial" w:hAnsi="Arial"/>
          <w:sz w:val="16"/>
          <w:szCs w:val="16"/>
          <w:b w:val="1"/>
          <w:bCs w:val="1"/>
          <w:color w:val="auto"/>
        </w:rPr>
        <w:t>Operating segments (continued)</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assets</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Graphite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5"/>
              </w:rPr>
              <w:t>Battery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5"/>
              </w:rPr>
              <w:t>Battery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Exploration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9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Unallocated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and Mining</w:t>
            </w:r>
          </w:p>
        </w:tc>
        <w:tc>
          <w:tcPr>
            <w:tcW w:w="40" w:type="dxa"/>
            <w:vAlign w:val="bottom"/>
          </w:tcPr>
          <w:p>
            <w:pPr>
              <w:spacing w:after="0"/>
              <w:rPr>
                <w:sz w:val="12"/>
                <w:szCs w:val="12"/>
                <w:color w:val="auto"/>
              </w:rPr>
            </w:pPr>
          </w:p>
        </w:tc>
        <w:tc>
          <w:tcPr>
            <w:tcW w:w="96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Technology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Materials</w:t>
            </w:r>
          </w:p>
        </w:tc>
        <w:tc>
          <w:tcPr>
            <w:tcW w:w="98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5"/>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5"/>
          </w:tcPr>
          <w:p>
            <w:pPr>
              <w:jc w:val="right"/>
              <w:ind w:right="3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3,116,523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88"/>
              </w:rPr>
              <w:t>13,990,451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gridSpan w:val="12"/>
            <w:shd w:val="clear" w:color="auto" w:fill="CCEEFF"/>
          </w:tcPr>
          <w:p>
            <w:pPr>
              <w:jc w:val="right"/>
              <w:spacing w:after="0"/>
              <w:rPr>
                <w:sz w:val="20"/>
                <w:szCs w:val="20"/>
                <w:color w:val="auto"/>
              </w:rPr>
            </w:pPr>
            <w:r>
              <w:rPr>
                <w:rFonts w:ascii="Arial" w:cs="Arial" w:eastAsia="Arial" w:hAnsi="Arial"/>
                <w:sz w:val="18"/>
                <w:szCs w:val="18"/>
                <w:color w:val="auto"/>
                <w:w w:val="91"/>
              </w:rPr>
              <w:t>47,899,929  137,850,370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91"/>
              </w:rPr>
              <w:t>202,857,273</w:t>
            </w:r>
          </w:p>
        </w:tc>
        <w:tc>
          <w:tcPr>
            <w:tcW w:w="0" w:type="dxa"/>
            <w:vAlign w:val="bottom"/>
          </w:tcPr>
          <w:p>
            <w:pPr>
              <w:spacing w:after="0"/>
              <w:rPr>
                <w:sz w:val="1"/>
                <w:szCs w:val="1"/>
                <w:color w:val="auto"/>
              </w:rPr>
            </w:pPr>
          </w:p>
        </w:tc>
      </w:tr>
      <w:tr>
        <w:trPr>
          <w:trHeight w:val="342"/>
        </w:trPr>
        <w:tc>
          <w:tcPr>
            <w:tcW w:w="3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Graphite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5"/>
              </w:rPr>
              <w:t>Battery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5"/>
              </w:rPr>
              <w:t>Battery</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Exploration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6"/>
            <w:vMerge w:val="restart"/>
          </w:tcPr>
          <w:p>
            <w:pPr>
              <w:jc w:val="right"/>
              <w:ind w:right="120"/>
              <w:spacing w:after="0"/>
              <w:rPr>
                <w:sz w:val="20"/>
                <w:szCs w:val="20"/>
                <w:color w:val="auto"/>
              </w:rPr>
            </w:pPr>
            <w:r>
              <w:rPr>
                <w:rFonts w:ascii="Arial" w:cs="Arial" w:eastAsia="Arial" w:hAnsi="Arial"/>
                <w:sz w:val="14"/>
                <w:szCs w:val="14"/>
                <w:b w:val="1"/>
                <w:bCs w:val="1"/>
                <w:color w:val="auto"/>
                <w:w w:val="93"/>
              </w:rPr>
              <w:t>Unallocated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and Mining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Technology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Materials</w:t>
            </w:r>
          </w:p>
        </w:tc>
        <w:tc>
          <w:tcPr>
            <w:tcW w:w="100" w:type="dxa"/>
            <w:vAlign w:val="bottom"/>
          </w:tcPr>
          <w:p>
            <w:pPr>
              <w:spacing w:after="0"/>
              <w:rPr>
                <w:sz w:val="12"/>
                <w:szCs w:val="12"/>
                <w:color w:val="auto"/>
              </w:rPr>
            </w:pPr>
          </w:p>
        </w:tc>
        <w:tc>
          <w:tcPr>
            <w:tcW w:w="88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jc w:val="center"/>
              <w:ind w:left="2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5"/>
          </w:tcPr>
          <w:p>
            <w:pPr>
              <w:jc w:val="center"/>
              <w:ind w:left="79"/>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5"/>
          </w:tcPr>
          <w:p>
            <w:pPr>
              <w:jc w:val="center"/>
              <w:ind w:left="5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4"/>
          </w:tcPr>
          <w:p>
            <w:pPr>
              <w:jc w:val="center"/>
              <w:ind w:left="8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5"/>
          </w:tcPr>
          <w:p>
            <w:pPr>
              <w:jc w:val="center"/>
              <w:ind w:left="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0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color w:val="auto"/>
                <w:w w:val="89"/>
              </w:rPr>
              <w:t>2,998,439</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6"/>
            <w:shd w:val="clear" w:color="auto" w:fill="CCEEFF"/>
          </w:tcPr>
          <w:p>
            <w:pPr>
              <w:jc w:val="center"/>
              <w:ind w:left="39"/>
              <w:spacing w:after="0"/>
              <w:rPr>
                <w:sz w:val="20"/>
                <w:szCs w:val="20"/>
                <w:color w:val="auto"/>
              </w:rPr>
            </w:pPr>
            <w:r>
              <w:rPr>
                <w:rFonts w:ascii="Arial" w:cs="Arial" w:eastAsia="Arial" w:hAnsi="Arial"/>
                <w:sz w:val="18"/>
                <w:szCs w:val="18"/>
                <w:color w:val="auto"/>
                <w:w w:val="89"/>
              </w:rPr>
              <w:t>5,872,307</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5"/>
              </w:rPr>
              <w:t>28,744,416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w w:val="99"/>
              </w:rPr>
              <w:t>37,642,256</w:t>
            </w:r>
          </w:p>
        </w:tc>
        <w:tc>
          <w:tcPr>
            <w:tcW w:w="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75,257,418</w:t>
            </w:r>
          </w:p>
        </w:tc>
        <w:tc>
          <w:tcPr>
            <w:tcW w:w="0" w:type="dxa"/>
            <w:vAlign w:val="bottom"/>
          </w:tcPr>
          <w:p>
            <w:pPr>
              <w:spacing w:after="0"/>
              <w:rPr>
                <w:sz w:val="1"/>
                <w:szCs w:val="1"/>
                <w:color w:val="auto"/>
              </w:rPr>
            </w:pPr>
          </w:p>
        </w:tc>
      </w:tr>
      <w:tr>
        <w:trPr>
          <w:trHeight w:val="527"/>
        </w:trPr>
        <w:tc>
          <w:tcPr>
            <w:tcW w:w="3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Segment liabilities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Graphite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5"/>
              </w:rPr>
              <w:t>Battery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5"/>
              </w:rPr>
              <w:t>Battery</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Exploration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3"/>
              </w:rPr>
              <w:t>Unallocated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and Mining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Technology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Materials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jc w:val="center"/>
              <w:ind w:left="2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5"/>
          </w:tcPr>
          <w:p>
            <w:pPr>
              <w:jc w:val="center"/>
              <w:ind w:left="17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5"/>
          </w:tcPr>
          <w:p>
            <w:pPr>
              <w:jc w:val="center"/>
              <w:ind w:left="159"/>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4"/>
          </w:tcPr>
          <w:p>
            <w:pPr>
              <w:jc w:val="center"/>
              <w:ind w:left="101"/>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4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gridSpan w:val="2"/>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gridSpan w:val="3"/>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Segment liabilities</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7"/>
            <w:shd w:val="clear" w:color="auto" w:fill="CCEEFF"/>
          </w:tcPr>
          <w:p>
            <w:pPr>
              <w:jc w:val="center"/>
              <w:ind w:left="119"/>
              <w:spacing w:after="0"/>
              <w:rPr>
                <w:sz w:val="20"/>
                <w:szCs w:val="20"/>
                <w:color w:val="auto"/>
              </w:rPr>
            </w:pPr>
            <w:r>
              <w:rPr>
                <w:rFonts w:ascii="Arial" w:cs="Arial" w:eastAsia="Arial" w:hAnsi="Arial"/>
                <w:sz w:val="18"/>
                <w:szCs w:val="18"/>
                <w:color w:val="auto"/>
                <w:w w:val="89"/>
              </w:rPr>
              <w:t>7,440,067</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9,277,070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4"/>
            <w:shd w:val="clear" w:color="auto" w:fill="CCEEFF"/>
          </w:tcPr>
          <w:p>
            <w:pPr>
              <w:jc w:val="center"/>
              <w:ind w:left="81"/>
              <w:spacing w:after="0"/>
              <w:rPr>
                <w:sz w:val="20"/>
                <w:szCs w:val="20"/>
                <w:color w:val="auto"/>
              </w:rPr>
            </w:pPr>
            <w:r>
              <w:rPr>
                <w:rFonts w:ascii="Arial" w:cs="Arial" w:eastAsia="Arial" w:hAnsi="Arial"/>
                <w:sz w:val="18"/>
                <w:szCs w:val="18"/>
                <w:color w:val="auto"/>
                <w:w w:val="89"/>
              </w:rPr>
              <w:t>1,744,334</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18,461,471</w:t>
            </w:r>
          </w:p>
        </w:tc>
        <w:tc>
          <w:tcPr>
            <w:tcW w:w="0" w:type="dxa"/>
            <w:vAlign w:val="bottom"/>
          </w:tcPr>
          <w:p>
            <w:pPr>
              <w:spacing w:after="0"/>
              <w:rPr>
                <w:sz w:val="1"/>
                <w:szCs w:val="1"/>
                <w:color w:val="auto"/>
              </w:rPr>
            </w:pPr>
          </w:p>
        </w:tc>
      </w:tr>
      <w:tr>
        <w:trPr>
          <w:trHeight w:val="342"/>
        </w:trPr>
        <w:tc>
          <w:tcPr>
            <w:tcW w:w="3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Graphite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5"/>
              </w:rPr>
              <w:t>Battery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5"/>
              </w:rPr>
              <w:t>Battery</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Exploration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0"/>
              </w:rPr>
              <w:t>Unallocated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Mining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Technology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Materials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jc w:val="center"/>
              <w:ind w:left="10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5"/>
          </w:tcPr>
          <w:p>
            <w:pPr>
              <w:jc w:val="center"/>
              <w:ind w:left="33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5"/>
          </w:tcPr>
          <w:p>
            <w:pPr>
              <w:jc w:val="center"/>
              <w:ind w:left="319"/>
              <w:spacing w:after="0"/>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5"/>
          </w:tcPr>
          <w:p>
            <w:pPr>
              <w:jc w:val="center"/>
              <w:ind w:left="159"/>
              <w:spacing w:after="0"/>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53"/>
        </w:trPr>
        <w:tc>
          <w:tcPr>
            <w:tcW w:w="34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gridSpan w:val="2"/>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CCEEFF"/>
            </w:tcBorders>
            <w:gridSpan w:val="4"/>
          </w:tcPr>
          <w:p>
            <w:pPr>
              <w:spacing w:after="0"/>
              <w:rPr>
                <w:sz w:val="4"/>
                <w:szCs w:val="4"/>
                <w:color w:val="auto"/>
              </w:rPr>
            </w:pPr>
          </w:p>
        </w:tc>
        <w:tc>
          <w:tcPr>
            <w:tcW w:w="74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gridSpan w:val="3"/>
          </w:tcPr>
          <w:p>
            <w:pPr>
              <w:spacing w:after="0"/>
              <w:rPr>
                <w:sz w:val="4"/>
                <w:szCs w:val="4"/>
                <w:color w:val="auto"/>
              </w:rPr>
            </w:pPr>
          </w:p>
        </w:tc>
        <w:tc>
          <w:tcPr>
            <w:tcW w:w="740" w:type="dxa"/>
            <w:vAlign w:val="bottom"/>
            <w:tcBorders>
              <w:bottom w:val="single" w:sz="8" w:color="auto"/>
            </w:tcBorders>
            <w:gridSpan w:val="4"/>
          </w:tcPr>
          <w:p>
            <w:pPr>
              <w:spacing w:after="0"/>
              <w:rPr>
                <w:sz w:val="4"/>
                <w:szCs w:val="4"/>
                <w:color w:val="auto"/>
              </w:rPr>
            </w:pPr>
          </w:p>
        </w:tc>
        <w:tc>
          <w:tcPr>
            <w:tcW w:w="240" w:type="dxa"/>
            <w:vAlign w:val="bottom"/>
            <w:tcBorders>
              <w:bottom w:val="single" w:sz="8" w:color="CCEEFF"/>
            </w:tcBorders>
            <w:gridSpan w:val="3"/>
          </w:tcPr>
          <w:p>
            <w:pPr>
              <w:spacing w:after="0"/>
              <w:rPr>
                <w:sz w:val="4"/>
                <w:szCs w:val="4"/>
                <w:color w:val="auto"/>
              </w:rPr>
            </w:pPr>
          </w:p>
        </w:tc>
        <w:tc>
          <w:tcPr>
            <w:tcW w:w="740" w:type="dxa"/>
            <w:vAlign w:val="bottom"/>
            <w:tcBorders>
              <w:bottom w:val="single" w:sz="8" w:color="auto"/>
            </w:tcBorders>
            <w:gridSpan w:val="4"/>
          </w:tcPr>
          <w:p>
            <w:pPr>
              <w:spacing w:after="0"/>
              <w:rPr>
                <w:sz w:val="4"/>
                <w:szCs w:val="4"/>
                <w:color w:val="auto"/>
              </w:rPr>
            </w:pPr>
          </w:p>
        </w:tc>
        <w:tc>
          <w:tcPr>
            <w:tcW w:w="240" w:type="dxa"/>
            <w:vAlign w:val="bottom"/>
            <w:tcBorders>
              <w:bottom w:val="single" w:sz="8" w:color="CCEEFF"/>
            </w:tcBorders>
            <w:gridSpan w:val="4"/>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liabilities</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00" w:type="dxa"/>
            <w:vAlign w:val="bottom"/>
            <w:gridSpan w:val="8"/>
            <w:shd w:val="clear" w:color="auto" w:fill="CCEEFF"/>
          </w:tcPr>
          <w:p>
            <w:pPr>
              <w:jc w:val="center"/>
              <w:ind w:left="159"/>
              <w:spacing w:after="0"/>
              <w:rPr>
                <w:sz w:val="20"/>
                <w:szCs w:val="20"/>
                <w:color w:val="auto"/>
              </w:rPr>
            </w:pPr>
            <w:r>
              <w:rPr>
                <w:rFonts w:ascii="Arial" w:cs="Arial" w:eastAsia="Arial" w:hAnsi="Arial"/>
                <w:sz w:val="18"/>
                <w:szCs w:val="18"/>
                <w:color w:val="auto"/>
                <w:w w:val="89"/>
              </w:rPr>
              <w:t>2,868,546</w:t>
            </w:r>
          </w:p>
        </w:tc>
        <w:tc>
          <w:tcPr>
            <w:tcW w:w="980" w:type="dxa"/>
            <w:vAlign w:val="bottom"/>
            <w:gridSpan w:val="8"/>
            <w:shd w:val="clear" w:color="auto" w:fill="CCEEFF"/>
          </w:tcPr>
          <w:p>
            <w:pPr>
              <w:jc w:val="center"/>
              <w:ind w:left="139"/>
              <w:spacing w:after="0"/>
              <w:rPr>
                <w:sz w:val="20"/>
                <w:szCs w:val="20"/>
                <w:color w:val="auto"/>
              </w:rPr>
            </w:pPr>
            <w:r>
              <w:rPr>
                <w:rFonts w:ascii="Arial" w:cs="Arial" w:eastAsia="Arial" w:hAnsi="Arial"/>
                <w:sz w:val="18"/>
                <w:szCs w:val="18"/>
                <w:color w:val="auto"/>
                <w:w w:val="89"/>
              </w:rPr>
              <w:t>3,604,836</w:t>
            </w:r>
          </w:p>
        </w:tc>
        <w:tc>
          <w:tcPr>
            <w:tcW w:w="9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2,252,043</w:t>
            </w:r>
          </w:p>
        </w:tc>
        <w:tc>
          <w:tcPr>
            <w:tcW w:w="980" w:type="dxa"/>
            <w:vAlign w:val="bottom"/>
            <w:gridSpan w:val="5"/>
            <w:shd w:val="clear" w:color="auto" w:fill="CCEEFF"/>
          </w:tcPr>
          <w:p>
            <w:pPr>
              <w:jc w:val="center"/>
              <w:ind w:left="139"/>
              <w:spacing w:after="0"/>
              <w:rPr>
                <w:sz w:val="20"/>
                <w:szCs w:val="20"/>
                <w:color w:val="auto"/>
              </w:rPr>
            </w:pPr>
            <w:r>
              <w:rPr>
                <w:rFonts w:ascii="Arial" w:cs="Arial" w:eastAsia="Arial" w:hAnsi="Arial"/>
                <w:sz w:val="18"/>
                <w:szCs w:val="18"/>
                <w:color w:val="auto"/>
                <w:w w:val="89"/>
              </w:rPr>
              <w:t>8,725,425</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-2905125</wp:posOffset>
            </wp:positionV>
            <wp:extent cx="857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-2905125</wp:posOffset>
            </wp:positionV>
            <wp:extent cx="857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-2905125</wp:posOffset>
            </wp:positionV>
            <wp:extent cx="857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-2905125</wp:posOffset>
            </wp:positionV>
            <wp:extent cx="857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-2905125</wp:posOffset>
            </wp:positionV>
            <wp:extent cx="857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-2125345</wp:posOffset>
            </wp:positionV>
            <wp:extent cx="1200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-2125345</wp:posOffset>
            </wp:positionV>
            <wp:extent cx="12001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-2125345</wp:posOffset>
            </wp:positionV>
            <wp:extent cx="12001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-2125345</wp:posOffset>
            </wp:positionV>
            <wp:extent cx="12001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-2125345</wp:posOffset>
            </wp:positionV>
            <wp:extent cx="12001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-1002665</wp:posOffset>
            </wp:positionV>
            <wp:extent cx="15430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-1002665</wp:posOffset>
            </wp:positionV>
            <wp:extent cx="15430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-1002665</wp:posOffset>
            </wp:positionV>
            <wp:extent cx="15430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-1002665</wp:posOffset>
            </wp:positionV>
            <wp:extent cx="15430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-1002665</wp:posOffset>
            </wp:positionV>
            <wp:extent cx="15430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-222250</wp:posOffset>
            </wp:positionV>
            <wp:extent cx="15430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-222250</wp:posOffset>
            </wp:positionV>
            <wp:extent cx="15430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-222250</wp:posOffset>
            </wp:positionV>
            <wp:extent cx="15430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-222250</wp:posOffset>
            </wp:positionV>
            <wp:extent cx="17145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-222250</wp:posOffset>
            </wp:positionV>
            <wp:extent cx="17145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Geographical Segments</w:t>
      </w:r>
    </w:p>
    <w:p>
      <w:pPr>
        <w:spacing w:after="0" w:line="117"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For the purposes of segment reporting, all segment activities relating to Graphite Exploration and Mining are carried out in Australia and all segment activities relating to Battery Materials and Battery Technology are carried out in North America.</w:t>
      </w:r>
    </w:p>
    <w:p>
      <w:pPr>
        <w:spacing w:after="0" w:line="315"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26</w:t>
      </w:r>
      <w:r>
        <w:rPr>
          <w:sz w:val="20"/>
          <w:szCs w:val="20"/>
          <w:color w:val="auto"/>
        </w:rPr>
        <w:tab/>
      </w:r>
      <w:r>
        <w:rPr>
          <w:rFonts w:ascii="Arial" w:cs="Arial" w:eastAsia="Arial" w:hAnsi="Arial"/>
          <w:sz w:val="16"/>
          <w:szCs w:val="16"/>
          <w:b w:val="1"/>
          <w:bCs w:val="1"/>
          <w:color w:val="auto"/>
        </w:rPr>
        <w:t>Cash flow information</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Reconciliation of profit / (loss) after income tax to net cash outflow from operating activities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
        </w:trPr>
        <w:tc>
          <w:tcPr>
            <w:tcW w:w="4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r>
      <w:tr>
        <w:trPr>
          <w:trHeight w:val="225"/>
        </w:trPr>
        <w:tc>
          <w:tcPr>
            <w:tcW w:w="4060" w:type="dxa"/>
            <w:vAlign w:val="bottom"/>
          </w:tcPr>
          <w:p>
            <w:pPr>
              <w:spacing w:after="0"/>
              <w:rPr>
                <w:sz w:val="19"/>
                <w:szCs w:val="19"/>
                <w:color w:val="auto"/>
              </w:rPr>
            </w:pPr>
          </w:p>
        </w:tc>
        <w:tc>
          <w:tcPr>
            <w:tcW w:w="2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2021 $</w:t>
            </w:r>
          </w:p>
        </w:tc>
        <w:tc>
          <w:tcPr>
            <w:tcW w:w="18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2020 $</w:t>
            </w:r>
          </w:p>
        </w:tc>
        <w:tc>
          <w:tcPr>
            <w:tcW w:w="1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2019 $</w:t>
            </w:r>
          </w:p>
        </w:tc>
      </w:tr>
      <w:tr>
        <w:trPr>
          <w:trHeight w:val="53"/>
        </w:trPr>
        <w:tc>
          <w:tcPr>
            <w:tcW w:w="406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311"/>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 (loss) for the period</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(18,076,077)</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(20,028,526)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(26,121,912)</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Adjustments for</w:t>
            </w:r>
          </w:p>
        </w:tc>
        <w:tc>
          <w:tcPr>
            <w:tcW w:w="1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
        </w:trPr>
        <w:tc>
          <w:tcPr>
            <w:tcW w:w="4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based payments</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5,948,532</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7,558,953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6,673,510</w:t>
            </w:r>
          </w:p>
        </w:tc>
      </w:tr>
      <w:tr>
        <w:trPr>
          <w:trHeight w:val="270"/>
        </w:trPr>
        <w:tc>
          <w:tcPr>
            <w:tcW w:w="4060" w:type="dxa"/>
            <w:vAlign w:val="bottom"/>
          </w:tcPr>
          <w:p>
            <w:pPr>
              <w:ind w:left="180"/>
              <w:spacing w:after="0"/>
              <w:rPr>
                <w:sz w:val="20"/>
                <w:szCs w:val="20"/>
                <w:color w:val="auto"/>
              </w:rPr>
            </w:pPr>
            <w:r>
              <w:rPr>
                <w:rFonts w:ascii="Arial" w:cs="Arial" w:eastAsia="Arial" w:hAnsi="Arial"/>
                <w:sz w:val="18"/>
                <w:szCs w:val="18"/>
                <w:color w:val="auto"/>
              </w:rPr>
              <w:t>Borrowing costs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5,098,906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1,405,456</w:t>
            </w:r>
          </w:p>
        </w:tc>
      </w:tr>
      <w:tr>
        <w:trPr>
          <w:trHeight w:val="54"/>
        </w:trPr>
        <w:tc>
          <w:tcPr>
            <w:tcW w:w="4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assets written off</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2,764,940</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210,773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90,477</w:t>
            </w:r>
          </w:p>
        </w:tc>
      </w:tr>
      <w:tr>
        <w:trPr>
          <w:trHeight w:val="270"/>
        </w:trPr>
        <w:tc>
          <w:tcPr>
            <w:tcW w:w="4060" w:type="dxa"/>
            <w:vAlign w:val="bottom"/>
          </w:tcPr>
          <w:p>
            <w:pPr>
              <w:ind w:left="180"/>
              <w:spacing w:after="0"/>
              <w:rPr>
                <w:sz w:val="20"/>
                <w:szCs w:val="20"/>
                <w:color w:val="auto"/>
              </w:rPr>
            </w:pPr>
            <w:r>
              <w:rPr>
                <w:rFonts w:ascii="Arial" w:cs="Arial" w:eastAsia="Arial" w:hAnsi="Arial"/>
                <w:sz w:val="18"/>
                <w:szCs w:val="18"/>
                <w:color w:val="auto"/>
              </w:rPr>
              <w:t>Loss on sale of fixed assets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6,777</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4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(gain) / loss</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106,787</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387,371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(174,990)</w:t>
            </w:r>
          </w:p>
        </w:tc>
      </w:tr>
      <w:tr>
        <w:trPr>
          <w:trHeight w:val="270"/>
        </w:trPr>
        <w:tc>
          <w:tcPr>
            <w:tcW w:w="4060" w:type="dxa"/>
            <w:vAlign w:val="bottom"/>
          </w:tcPr>
          <w:p>
            <w:pPr>
              <w:ind w:left="180"/>
              <w:spacing w:after="0"/>
              <w:rPr>
                <w:sz w:val="20"/>
                <w:szCs w:val="20"/>
                <w:color w:val="auto"/>
              </w:rPr>
            </w:pPr>
            <w:r>
              <w:rPr>
                <w:rFonts w:ascii="Arial" w:cs="Arial" w:eastAsia="Arial" w:hAnsi="Arial"/>
                <w:sz w:val="18"/>
                <w:szCs w:val="18"/>
                <w:color w:val="auto"/>
              </w:rPr>
              <w:t>Gain on acquisition of subsidiary</w:t>
            </w:r>
          </w:p>
        </w:tc>
        <w:tc>
          <w:tcPr>
            <w:tcW w:w="11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(2,576,131)</w:t>
            </w:r>
          </w:p>
        </w:tc>
      </w:tr>
      <w:tr>
        <w:trPr>
          <w:trHeight w:val="54"/>
        </w:trPr>
        <w:tc>
          <w:tcPr>
            <w:tcW w:w="4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of net loss of joint venture</w:t>
            </w:r>
          </w:p>
        </w:tc>
        <w:tc>
          <w:tcPr>
            <w:tcW w:w="1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751,981</w:t>
            </w:r>
          </w:p>
        </w:tc>
      </w:tr>
      <w:tr>
        <w:trPr>
          <w:trHeight w:val="270"/>
        </w:trPr>
        <w:tc>
          <w:tcPr>
            <w:tcW w:w="4060" w:type="dxa"/>
            <w:vAlign w:val="bottom"/>
          </w:tcPr>
          <w:p>
            <w:pPr>
              <w:ind w:left="180"/>
              <w:spacing w:after="0"/>
              <w:rPr>
                <w:sz w:val="20"/>
                <w:szCs w:val="20"/>
                <w:color w:val="auto"/>
              </w:rPr>
            </w:pPr>
            <w:r>
              <w:rPr>
                <w:rFonts w:ascii="Arial" w:cs="Arial" w:eastAsia="Arial" w:hAnsi="Arial"/>
                <w:sz w:val="18"/>
                <w:szCs w:val="18"/>
                <w:color w:val="auto"/>
              </w:rPr>
              <w:t>Fair value gain on borrowings</w:t>
            </w:r>
          </w:p>
        </w:tc>
        <w:tc>
          <w:tcPr>
            <w:tcW w:w="118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(114,106)</w:t>
            </w:r>
          </w:p>
        </w:tc>
      </w:tr>
      <w:tr>
        <w:trPr>
          <w:trHeight w:val="54"/>
        </w:trPr>
        <w:tc>
          <w:tcPr>
            <w:tcW w:w="4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1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15,918,925</w:t>
            </w:r>
          </w:p>
        </w:tc>
      </w:tr>
      <w:tr>
        <w:trPr>
          <w:trHeight w:val="270"/>
        </w:trPr>
        <w:tc>
          <w:tcPr>
            <w:tcW w:w="4060" w:type="dxa"/>
            <w:vAlign w:val="bottom"/>
          </w:tcPr>
          <w:p>
            <w:pPr>
              <w:ind w:left="180"/>
              <w:spacing w:after="0"/>
              <w:rPr>
                <w:sz w:val="20"/>
                <w:szCs w:val="20"/>
                <w:color w:val="auto"/>
              </w:rPr>
            </w:pPr>
            <w:r>
              <w:rPr>
                <w:rFonts w:ascii="Arial" w:cs="Arial" w:eastAsia="Arial" w:hAnsi="Arial"/>
                <w:sz w:val="18"/>
                <w:szCs w:val="18"/>
                <w:color w:val="auto"/>
              </w:rPr>
              <w:t>Non-cash termination settlement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294,247</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4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Amortisation &amp; depreciation expense</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1,697,754</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1,380,303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494,948</w:t>
            </w:r>
          </w:p>
        </w:tc>
      </w:tr>
      <w:tr>
        <w:trPr>
          <w:trHeight w:val="270"/>
        </w:trPr>
        <w:tc>
          <w:tcPr>
            <w:tcW w:w="4060" w:type="dxa"/>
            <w:vAlign w:val="bottom"/>
          </w:tcPr>
          <w:p>
            <w:pPr>
              <w:ind w:left="180"/>
              <w:spacing w:after="0"/>
              <w:rPr>
                <w:sz w:val="20"/>
                <w:szCs w:val="20"/>
                <w:color w:val="auto"/>
              </w:rPr>
            </w:pPr>
            <w:r>
              <w:rPr>
                <w:rFonts w:ascii="Arial" w:cs="Arial" w:eastAsia="Arial" w:hAnsi="Arial"/>
                <w:sz w:val="18"/>
                <w:szCs w:val="18"/>
                <w:color w:val="auto"/>
              </w:rPr>
              <w:t>Government incentives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(49,278)</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4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(273,939)</w:t>
            </w:r>
          </w:p>
        </w:tc>
      </w:tr>
      <w:tr>
        <w:trPr>
          <w:trHeight w:val="54"/>
        </w:trPr>
        <w:tc>
          <w:tcPr>
            <w:tcW w:w="406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-3102610</wp:posOffset>
            </wp:positionV>
            <wp:extent cx="12001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-3102610</wp:posOffset>
            </wp:positionV>
            <wp:extent cx="1200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-3102610</wp:posOffset>
            </wp:positionV>
            <wp:extent cx="60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26</w:t>
      </w:r>
      <w:r>
        <w:rPr>
          <w:sz w:val="20"/>
          <w:szCs w:val="20"/>
          <w:color w:val="auto"/>
        </w:rPr>
        <w:tab/>
      </w:r>
      <w:r>
        <w:rPr>
          <w:rFonts w:ascii="Arial" w:cs="Arial" w:eastAsia="Arial" w:hAnsi="Arial"/>
          <w:sz w:val="16"/>
          <w:szCs w:val="16"/>
          <w:b w:val="1"/>
          <w:bCs w:val="1"/>
          <w:color w:val="auto"/>
        </w:rPr>
        <w:t>Cash flow information (continued)</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54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400" w:type="dxa"/>
            <w:vAlign w:val="bottom"/>
          </w:tcPr>
          <w:p>
            <w:pPr>
              <w:spacing w:after="0"/>
              <w:rPr>
                <w:sz w:val="19"/>
                <w:szCs w:val="19"/>
                <w:color w:val="auto"/>
              </w:rPr>
            </w:pPr>
          </w:p>
        </w:tc>
        <w:tc>
          <w:tcPr>
            <w:tcW w:w="780" w:type="dxa"/>
            <w:vAlign w:val="bottom"/>
          </w:tcPr>
          <w:p>
            <w:pPr>
              <w:jc w:val="right"/>
              <w:ind w:right="94"/>
              <w:spacing w:after="0"/>
              <w:rPr>
                <w:sz w:val="20"/>
                <w:szCs w:val="20"/>
                <w:color w:val="auto"/>
              </w:rPr>
            </w:pPr>
            <w:r>
              <w:rPr>
                <w:rFonts w:ascii="Arial" w:cs="Arial" w:eastAsia="Arial" w:hAnsi="Arial"/>
                <w:sz w:val="14"/>
                <w:szCs w:val="14"/>
                <w:b w:val="1"/>
                <w:bCs w:val="1"/>
                <w:color w:val="auto"/>
              </w:rPr>
              <w:t>2021 $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2020 $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2019 $</w:t>
            </w:r>
          </w:p>
        </w:tc>
        <w:tc>
          <w:tcPr>
            <w:tcW w:w="80" w:type="dxa"/>
            <w:vAlign w:val="bottom"/>
          </w:tcPr>
          <w:p>
            <w:pPr>
              <w:spacing w:after="0"/>
              <w:rPr>
                <w:sz w:val="19"/>
                <w:szCs w:val="19"/>
                <w:color w:val="auto"/>
              </w:rPr>
            </w:pPr>
          </w:p>
        </w:tc>
      </w:tr>
      <w:tr>
        <w:trPr>
          <w:trHeight w:val="53"/>
        </w:trPr>
        <w:tc>
          <w:tcPr>
            <w:tcW w:w="54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54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00" w:type="dxa"/>
            <w:vAlign w:val="bottom"/>
          </w:tcPr>
          <w:p>
            <w:pPr>
              <w:ind w:left="180"/>
              <w:spacing w:after="0"/>
              <w:rPr>
                <w:sz w:val="20"/>
                <w:szCs w:val="20"/>
                <w:color w:val="auto"/>
              </w:rPr>
            </w:pPr>
            <w:r>
              <w:rPr>
                <w:rFonts w:ascii="Arial" w:cs="Arial" w:eastAsia="Arial" w:hAnsi="Arial"/>
                <w:sz w:val="18"/>
                <w:szCs w:val="18"/>
                <w:color w:val="auto"/>
              </w:rPr>
              <w:t>(Increase)/decrease in other operating assets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(1,927,128)</w:t>
            </w:r>
          </w:p>
        </w:tc>
        <w:tc>
          <w:tcPr>
            <w:tcW w:w="2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(976,969)</w:t>
            </w:r>
          </w:p>
        </w:tc>
        <w:tc>
          <w:tcPr>
            <w:tcW w:w="2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(672,354)</w:t>
            </w:r>
          </w:p>
        </w:tc>
      </w:tr>
      <w:tr>
        <w:trPr>
          <w:trHeight w:val="54"/>
        </w:trPr>
        <w:tc>
          <w:tcPr>
            <w:tcW w:w="5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 (decrease) in trade creditors</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(145,616)</w:t>
            </w: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6"/>
              </w:rPr>
              <w:t>387,198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6"/>
              </w:rPr>
              <w:t>288,424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5400" w:type="dxa"/>
            <w:vAlign w:val="bottom"/>
          </w:tcPr>
          <w:p>
            <w:pPr>
              <w:ind w:left="180"/>
              <w:spacing w:after="0"/>
              <w:rPr>
                <w:sz w:val="20"/>
                <w:szCs w:val="20"/>
                <w:color w:val="auto"/>
              </w:rPr>
            </w:pPr>
            <w:r>
              <w:rPr>
                <w:rFonts w:ascii="Arial" w:cs="Arial" w:eastAsia="Arial" w:hAnsi="Arial"/>
                <w:sz w:val="18"/>
                <w:szCs w:val="18"/>
                <w:color w:val="auto"/>
              </w:rPr>
              <w:t>Increase in other operating liabilities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1,206,238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w w:val="86"/>
              </w:rPr>
              <w:t>388,474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w w:val="86"/>
              </w:rPr>
              <w:t>309,624</w:t>
            </w:r>
          </w:p>
        </w:tc>
        <w:tc>
          <w:tcPr>
            <w:tcW w:w="80" w:type="dxa"/>
            <w:vAlign w:val="bottom"/>
          </w:tcPr>
          <w:p>
            <w:pPr>
              <w:spacing w:after="0"/>
              <w:rPr>
                <w:sz w:val="22"/>
                <w:szCs w:val="22"/>
                <w:color w:val="auto"/>
              </w:rPr>
            </w:pPr>
          </w:p>
        </w:tc>
      </w:tr>
      <w:tr>
        <w:trPr>
          <w:trHeight w:val="61"/>
        </w:trPr>
        <w:tc>
          <w:tcPr>
            <w:tcW w:w="540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outflow from operating activities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(8,172,064)</w:t>
            </w:r>
          </w:p>
        </w:tc>
        <w:tc>
          <w:tcPr>
            <w:tcW w:w="220" w:type="dxa"/>
            <w:vAlign w:val="bottom"/>
            <w:tcBorders>
              <w:right w:val="single" w:sz="8" w:color="CCEEFF"/>
            </w:tcBorders>
            <w:shd w:val="clear" w:color="auto" w:fill="CCEEFF"/>
          </w:tcPr>
          <w:p>
            <w:pPr>
              <w:spacing w:after="0"/>
              <w:rPr>
                <w:sz w:val="24"/>
                <w:szCs w:val="2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(5,593,517)</w:t>
            </w:r>
          </w:p>
        </w:tc>
        <w:tc>
          <w:tcPr>
            <w:tcW w:w="220" w:type="dxa"/>
            <w:vAlign w:val="bottom"/>
            <w:tcBorders>
              <w:right w:val="single" w:sz="8" w:color="CCEEFF"/>
            </w:tcBorders>
            <w:shd w:val="clear" w:color="auto" w:fill="CCEEFF"/>
          </w:tcPr>
          <w:p>
            <w:pPr>
              <w:spacing w:after="0"/>
              <w:rPr>
                <w:sz w:val="24"/>
                <w:szCs w:val="2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(4,000,087)</w:t>
            </w:r>
          </w:p>
        </w:tc>
      </w:tr>
      <w:tr>
        <w:trPr>
          <w:trHeight w:val="27"/>
        </w:trPr>
        <w:tc>
          <w:tcPr>
            <w:tcW w:w="540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-1062355</wp:posOffset>
            </wp:positionV>
            <wp:extent cx="1200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-1062355</wp:posOffset>
            </wp:positionV>
            <wp:extent cx="12001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-1062355</wp:posOffset>
            </wp:positionV>
            <wp:extent cx="603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Net debt reconciliation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section sets out an analysis of net debt and the movements in net debt for each period presented.</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2021 $</w:t>
            </w:r>
          </w:p>
        </w:tc>
        <w:tc>
          <w:tcPr>
            <w:tcW w:w="80" w:type="dxa"/>
            <w:vAlign w:val="bottom"/>
          </w:tcPr>
          <w:p>
            <w:pPr>
              <w:spacing w:after="0"/>
              <w:rPr>
                <w:sz w:val="16"/>
                <w:szCs w:val="16"/>
                <w:color w:val="auto"/>
              </w:rPr>
            </w:pPr>
          </w:p>
        </w:tc>
        <w:tc>
          <w:tcPr>
            <w:tcW w:w="10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2020 $</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320"/>
              <w:spacing w:after="0"/>
              <w:rPr>
                <w:sz w:val="20"/>
                <w:szCs w:val="20"/>
                <w:color w:val="auto"/>
              </w:rPr>
            </w:pPr>
            <w:r>
              <w:rPr>
                <w:rFonts w:ascii="Arial" w:cs="Arial" w:eastAsia="Arial" w:hAnsi="Arial"/>
                <w:sz w:val="14"/>
                <w:szCs w:val="14"/>
                <w:b w:val="1"/>
                <w:bCs w:val="1"/>
                <w:color w:val="auto"/>
              </w:rPr>
              <w:t>2019 $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136,663,976</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38,807,662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6,054,664</w:t>
            </w: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Lease liability - repayable within one year</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(410,792)</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(141,124)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00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Borrowings – repayable within one year (including overdraft)</w:t>
            </w: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(277,060)</w:t>
            </w: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(274,917)</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(4,145,069)</w:t>
            </w: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Lease liability - repayable after one year</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(7,120,396)</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(2,778,979)</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Borrowings – repayable after one year</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(5,986,565)</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(1,937,095)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(13,016,841)</w:t>
            </w:r>
          </w:p>
        </w:tc>
        <w:tc>
          <w:tcPr>
            <w:tcW w:w="0" w:type="dxa"/>
            <w:vAlign w:val="bottom"/>
          </w:tcPr>
          <w:p>
            <w:pPr>
              <w:spacing w:after="0"/>
              <w:rPr>
                <w:sz w:val="1"/>
                <w:szCs w:val="1"/>
                <w:color w:val="auto"/>
              </w:rPr>
            </w:pPr>
          </w:p>
        </w:tc>
      </w:tr>
      <w:tr>
        <w:trPr>
          <w:trHeight w:val="61"/>
        </w:trPr>
        <w:tc>
          <w:tcPr>
            <w:tcW w:w="35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Net cash (debt)</w:t>
            </w: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122,869,163</w:t>
            </w:r>
          </w:p>
        </w:tc>
        <w:tc>
          <w:tcPr>
            <w:tcW w:w="8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33,675,547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(11,107,246)</w:t>
            </w: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136,663,976</w:t>
            </w:r>
          </w:p>
        </w:tc>
        <w:tc>
          <w:tcPr>
            <w:tcW w:w="8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38,807,662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6,054,664</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debt – fixed interest rates</w:t>
            </w:r>
          </w:p>
        </w:tc>
        <w:tc>
          <w:tcPr>
            <w:tcW w:w="4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(8,386,881)</w:t>
            </w: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(3,807,635)</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(15,808,268)</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Gross debt – variable interest rates</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(5,407,932)</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(1,324,480)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(1,353,642)</w:t>
            </w: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(debt)</w:t>
            </w:r>
          </w:p>
        </w:tc>
        <w:tc>
          <w:tcPr>
            <w:tcW w:w="4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122,869,163</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33,675,547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(11,107,246)</w:t>
            </w:r>
          </w:p>
        </w:tc>
        <w:tc>
          <w:tcPr>
            <w:tcW w:w="0" w:type="dxa"/>
            <w:vAlign w:val="bottom"/>
          </w:tcPr>
          <w:p>
            <w:pPr>
              <w:spacing w:after="0"/>
              <w:rPr>
                <w:sz w:val="1"/>
                <w:szCs w:val="1"/>
                <w:color w:val="auto"/>
              </w:rPr>
            </w:pPr>
          </w:p>
        </w:tc>
      </w:tr>
      <w:tr>
        <w:trPr>
          <w:trHeight w:val="339"/>
        </w:trPr>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9"/>
          </w:tcPr>
          <w:p>
            <w:pPr>
              <w:ind w:left="40"/>
              <w:spacing w:after="0"/>
              <w:rPr>
                <w:sz w:val="20"/>
                <w:szCs w:val="20"/>
                <w:color w:val="auto"/>
              </w:rPr>
            </w:pPr>
            <w:r>
              <w:rPr>
                <w:rFonts w:ascii="Arial" w:cs="Arial" w:eastAsia="Arial" w:hAnsi="Arial"/>
                <w:sz w:val="14"/>
                <w:szCs w:val="14"/>
                <w:b w:val="1"/>
                <w:bCs w:val="1"/>
                <w:color w:val="auto"/>
              </w:rPr>
              <w:t>Liabilities from financing activities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Cash</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Borrowings due</w:t>
            </w:r>
          </w:p>
        </w:tc>
        <w:tc>
          <w:tcPr>
            <w:tcW w:w="80" w:type="dxa"/>
            <w:vAlign w:val="bottom"/>
          </w:tcPr>
          <w:p>
            <w:pPr>
              <w:spacing w:after="0"/>
              <w:rPr>
                <w:sz w:val="16"/>
                <w:szCs w:val="16"/>
                <w:color w:val="auto"/>
              </w:rPr>
            </w:pPr>
          </w:p>
        </w:tc>
        <w:tc>
          <w:tcPr>
            <w:tcW w:w="1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Borrowings due</w:t>
            </w:r>
          </w:p>
        </w:tc>
        <w:tc>
          <w:tcPr>
            <w:tcW w:w="40" w:type="dxa"/>
            <w:vAlign w:val="bottom"/>
          </w:tcPr>
          <w:p>
            <w:pPr>
              <w:spacing w:after="0"/>
              <w:rPr>
                <w:sz w:val="16"/>
                <w:szCs w:val="16"/>
                <w:color w:val="auto"/>
              </w:rPr>
            </w:pPr>
          </w:p>
        </w:tc>
        <w:tc>
          <w:tcPr>
            <w:tcW w:w="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within 1 year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after 1 year</w:t>
            </w: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20" w:type="dxa"/>
            <w:vAlign w:val="bottom"/>
            <w:gridSpan w:val="3"/>
          </w:tcPr>
          <w:p>
            <w:pPr>
              <w:jc w:val="center"/>
              <w:ind w:left="71"/>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debt as at 1 July 2018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365,592</w:t>
            </w: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(56,254)</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(1,645,776)</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(1,336,438)</w:t>
            </w: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Cashflows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5,689,072</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(3,964,813)</w:t>
            </w:r>
          </w:p>
        </w:tc>
        <w:tc>
          <w:tcPr>
            <w:tcW w:w="80" w:type="dxa"/>
            <w:vAlign w:val="bottom"/>
          </w:tcPr>
          <w:p>
            <w:pPr>
              <w:spacing w:after="0"/>
              <w:rPr>
                <w:sz w:val="22"/>
                <w:szCs w:val="22"/>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(574,917)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1,149,342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Conversion/proceeds of loan notes</w:t>
            </w:r>
          </w:p>
        </w:tc>
        <w:tc>
          <w:tcPr>
            <w:tcW w:w="4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(10,905,530)</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(10,905,530)</w:t>
            </w: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Other non-cash movements</w:t>
            </w:r>
          </w:p>
        </w:tc>
        <w:tc>
          <w:tcPr>
            <w:tcW w:w="4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(124,002)</w:t>
            </w:r>
          </w:p>
        </w:tc>
        <w:tc>
          <w:tcPr>
            <w:tcW w:w="80" w:type="dxa"/>
            <w:vAlign w:val="bottom"/>
          </w:tcPr>
          <w:p>
            <w:pPr>
              <w:spacing w:after="0"/>
              <w:rPr>
                <w:sz w:val="22"/>
                <w:szCs w:val="22"/>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109,382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debt as at 30 June 2019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6,054,664</w:t>
            </w: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(4,145,069)</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(13,016,841)</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(11,107,246)</w:t>
            </w: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Cashflows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32,752,998</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(6,118,751)</w:t>
            </w:r>
          </w:p>
        </w:tc>
        <w:tc>
          <w:tcPr>
            <w:tcW w:w="80" w:type="dxa"/>
            <w:vAlign w:val="bottom"/>
          </w:tcPr>
          <w:p>
            <w:pPr>
              <w:spacing w:after="0"/>
              <w:rPr>
                <w:sz w:val="22"/>
                <w:szCs w:val="22"/>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6,508,544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33,142,791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short-term loan to loan notes</w:t>
            </w:r>
          </w:p>
        </w:tc>
        <w:tc>
          <w:tcPr>
            <w:tcW w:w="4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4,000,000</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Redemption of loan notes</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10,468,843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10,468,843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non-cash movements</w:t>
            </w:r>
          </w:p>
        </w:tc>
        <w:tc>
          <w:tcPr>
            <w:tcW w:w="4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5,847,779</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(4,676,620)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1,171,159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0"/>
                <w:szCs w:val="20"/>
                <w:color w:val="auto"/>
              </w:rPr>
            </w:pPr>
            <w:r>
              <w:rPr>
                <w:rFonts w:ascii="Arial" w:cs="Arial" w:eastAsia="Arial" w:hAnsi="Arial"/>
                <w:sz w:val="18"/>
                <w:szCs w:val="18"/>
                <w:b w:val="1"/>
                <w:bCs w:val="1"/>
                <w:color w:val="auto"/>
              </w:rPr>
              <w:t>Net cash as at 30 June 2020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38,807,662</w:t>
            </w: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(416,041)</w:t>
            </w:r>
          </w:p>
        </w:tc>
        <w:tc>
          <w:tcPr>
            <w:tcW w:w="80" w:type="dxa"/>
            <w:vAlign w:val="bottom"/>
          </w:tcPr>
          <w:p>
            <w:pPr>
              <w:spacing w:after="0"/>
              <w:rPr>
                <w:sz w:val="22"/>
                <w:szCs w:val="22"/>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(4,716,074)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33,675,547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Cashflows</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97,856,314</w:t>
            </w: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329,873</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(4,029,769)</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94,156,418</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0"/>
                <w:szCs w:val="20"/>
                <w:color w:val="auto"/>
              </w:rPr>
            </w:pPr>
            <w:r>
              <w:rPr>
                <w:rFonts w:ascii="Arial" w:cs="Arial" w:eastAsia="Arial" w:hAnsi="Arial"/>
                <w:sz w:val="18"/>
                <w:szCs w:val="18"/>
                <w:color w:val="auto"/>
              </w:rPr>
              <w:t>Other non-cash movements</w:t>
            </w:r>
          </w:p>
        </w:tc>
        <w:tc>
          <w:tcPr>
            <w:tcW w:w="4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(601,684)</w:t>
            </w:r>
          </w:p>
        </w:tc>
        <w:tc>
          <w:tcPr>
            <w:tcW w:w="80" w:type="dxa"/>
            <w:vAlign w:val="bottom"/>
          </w:tcPr>
          <w:p>
            <w:pPr>
              <w:spacing w:after="0"/>
              <w:rPr>
                <w:sz w:val="22"/>
                <w:szCs w:val="22"/>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(4,361,118)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(4,962,802)</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as at 30 June 2021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136,663,976</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(687,852)</w:t>
            </w:r>
          </w:p>
        </w:tc>
        <w:tc>
          <w:tcPr>
            <w:tcW w:w="80" w:type="dxa"/>
            <w:vAlign w:val="bottom"/>
            <w:shd w:val="clear" w:color="auto" w:fill="CCEEFF"/>
          </w:tcPr>
          <w:p>
            <w:pPr>
              <w:spacing w:after="0"/>
              <w:rPr>
                <w:sz w:val="22"/>
                <w:szCs w:val="22"/>
                <w:color w:val="auto"/>
              </w:rPr>
            </w:pP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(13,106,961)</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122,869,163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-5322570</wp:posOffset>
            </wp:positionV>
            <wp:extent cx="137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-5322570</wp:posOffset>
            </wp:positionV>
            <wp:extent cx="1371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-5322570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-2485390</wp:posOffset>
            </wp:positionV>
            <wp:extent cx="1028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-2485390</wp:posOffset>
            </wp:positionV>
            <wp:extent cx="1028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-2485390</wp:posOffset>
            </wp:positionV>
            <wp:extent cx="1028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-2485390</wp:posOffset>
            </wp:positionV>
            <wp:extent cx="51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640" w:hanging="348"/>
        <w:spacing w:after="0"/>
        <w:tabs>
          <w:tab w:leader="none" w:pos="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Non-cash investing and financing activities</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Non-cash investing and financing activities disclosed in other notes are:</w:t>
      </w:r>
    </w:p>
    <w:p>
      <w:pPr>
        <w:spacing w:after="0" w:line="117" w:lineRule="exact"/>
        <w:rPr>
          <w:rFonts w:ascii="Arial" w:cs="Arial" w:eastAsia="Arial" w:hAnsi="Arial"/>
          <w:sz w:val="18"/>
          <w:szCs w:val="18"/>
          <w:b w:val="1"/>
          <w:bCs w:val="1"/>
          <w:color w:val="auto"/>
        </w:rPr>
      </w:pPr>
    </w:p>
    <w:p>
      <w:pPr>
        <w:ind w:left="1000" w:hanging="348"/>
        <w:spacing w:after="0"/>
        <w:tabs>
          <w:tab w:leader="none" w:pos="10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Right of use assets – note 21</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Options and shares issued to employees – note 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27</w:t>
      </w:r>
      <w:r>
        <w:rPr>
          <w:sz w:val="20"/>
          <w:szCs w:val="20"/>
          <w:color w:val="auto"/>
        </w:rPr>
        <w:tab/>
      </w:r>
      <w:r>
        <w:rPr>
          <w:rFonts w:ascii="Arial" w:cs="Arial" w:eastAsia="Arial" w:hAnsi="Arial"/>
          <w:sz w:val="15"/>
          <w:szCs w:val="15"/>
          <w:b w:val="1"/>
          <w:bCs w:val="1"/>
          <w:color w:val="auto"/>
        </w:rPr>
        <w:t>Interests in subsidiaries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about Principal Subsidiaries</w:t>
      </w:r>
    </w:p>
    <w:p>
      <w:pPr>
        <w:spacing w:after="0" w:line="121" w:lineRule="exact"/>
        <w:rPr>
          <w:sz w:val="20"/>
          <w:szCs w:val="20"/>
          <w:color w:val="auto"/>
        </w:rPr>
      </w:pPr>
    </w:p>
    <w:p>
      <w:pPr>
        <w:ind w:left="300" w:right="539"/>
        <w:spacing w:after="0" w:line="259" w:lineRule="auto"/>
        <w:rPr>
          <w:sz w:val="20"/>
          <w:szCs w:val="20"/>
          <w:color w:val="auto"/>
        </w:rPr>
      </w:pPr>
      <w:r>
        <w:rPr>
          <w:rFonts w:ascii="Arial" w:cs="Arial" w:eastAsia="Arial" w:hAnsi="Arial"/>
          <w:sz w:val="18"/>
          <w:szCs w:val="18"/>
          <w:color w:val="auto"/>
        </w:rPr>
        <w:t>The Group’s material subsidiaries at 30 June 2021 are set out in the following table. Unless otherwise stated, each entity has share capital consisting solely of ordinary shares that are held by the Group, and the proportion of ownership interest held equals the voting rights held by the Group. The country of incorporation or registration is also their principal place of business.</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Ownership interest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w w:val="99"/>
              </w:rPr>
              <w:t>held of the group</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Place of business</w:t>
            </w: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3"/>
            <w:vMerge w:val="restart"/>
          </w:tcPr>
          <w:p>
            <w:pPr>
              <w:jc w:val="right"/>
              <w:ind w:right="773"/>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 country of</w:t>
            </w: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00" w:type="dxa"/>
            <w:vAlign w:val="bottom"/>
            <w:gridSpan w:val="2"/>
            <w:vMerge w:val="continue"/>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incorporation</w:t>
            </w: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753"/>
              <w:spacing w:after="0"/>
              <w:rPr>
                <w:sz w:val="20"/>
                <w:szCs w:val="20"/>
                <w:color w:val="auto"/>
              </w:rPr>
            </w:pPr>
            <w:r>
              <w:rPr>
                <w:rFonts w:ascii="Arial" w:cs="Arial" w:eastAsia="Arial" w:hAnsi="Arial"/>
                <w:sz w:val="14"/>
                <w:szCs w:val="14"/>
                <w:b w:val="1"/>
                <w:bCs w:val="1"/>
                <w:color w:val="auto"/>
              </w:rPr>
              <w:t>activities</w:t>
            </w:r>
          </w:p>
        </w:tc>
        <w:tc>
          <w:tcPr>
            <w:tcW w:w="0" w:type="dxa"/>
            <w:vAlign w:val="bottom"/>
          </w:tcPr>
          <w:p>
            <w:pPr>
              <w:spacing w:after="0"/>
              <w:rPr>
                <w:sz w:val="1"/>
                <w:szCs w:val="1"/>
                <w:color w:val="auto"/>
              </w:rPr>
            </w:pPr>
          </w:p>
        </w:tc>
      </w:tr>
      <w:tr>
        <w:trPr>
          <w:trHeight w:val="53"/>
        </w:trPr>
        <w:tc>
          <w:tcPr>
            <w:tcW w:w="34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MD South Tenements Pty Ltd</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Australia</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3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8"/>
                <w:szCs w:val="18"/>
                <w:color w:val="auto"/>
              </w:rPr>
              <w:t>Graphite exploration</w:t>
            </w: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Novonix Battery Testing Services Inc</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Canada</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360" w:type="dxa"/>
            <w:vAlign w:val="bottom"/>
            <w:gridSpan w:val="5"/>
          </w:tcPr>
          <w:p>
            <w:pPr>
              <w:ind w:left="120"/>
              <w:spacing w:after="0"/>
              <w:rPr>
                <w:sz w:val="20"/>
                <w:szCs w:val="20"/>
                <w:color w:val="auto"/>
              </w:rPr>
            </w:pPr>
            <w:r>
              <w:rPr>
                <w:rFonts w:ascii="Arial" w:cs="Arial" w:eastAsia="Arial" w:hAnsi="Arial"/>
                <w:sz w:val="18"/>
                <w:szCs w:val="18"/>
                <w:color w:val="auto"/>
                <w:w w:val="98"/>
              </w:rPr>
              <w:t>Battery technology services.</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Novonix Corp</w:t>
            </w:r>
          </w:p>
        </w:tc>
        <w:tc>
          <w:tcPr>
            <w:tcW w:w="1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7"/>
              </w:rPr>
              <w:t>USA</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Investment</w:t>
            </w: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NOVONIX Anode Materials</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USA</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360" w:type="dxa"/>
            <w:vAlign w:val="bottom"/>
            <w:gridSpan w:val="5"/>
          </w:tcPr>
          <w:p>
            <w:pPr>
              <w:ind w:left="120"/>
              <w:spacing w:after="0"/>
              <w:rPr>
                <w:sz w:val="20"/>
                <w:szCs w:val="20"/>
                <w:color w:val="auto"/>
              </w:rPr>
            </w:pPr>
            <w:r>
              <w:rPr>
                <w:rFonts w:ascii="Arial" w:cs="Arial" w:eastAsia="Arial" w:hAnsi="Arial"/>
                <w:sz w:val="18"/>
                <w:szCs w:val="18"/>
                <w:color w:val="auto"/>
                <w:w w:val="91"/>
              </w:rPr>
              <w:t>Battery materials development</w:t>
            </w:r>
          </w:p>
        </w:tc>
        <w:tc>
          <w:tcPr>
            <w:tcW w:w="0" w:type="dxa"/>
            <w:vAlign w:val="bottom"/>
          </w:tcPr>
          <w:p>
            <w:pPr>
              <w:spacing w:after="0"/>
              <w:rPr>
                <w:sz w:val="1"/>
                <w:szCs w:val="1"/>
                <w:color w:val="auto"/>
              </w:rPr>
            </w:pPr>
          </w:p>
        </w:tc>
      </w:tr>
      <w:tr>
        <w:trPr>
          <w:trHeight w:val="59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Note 28  Share-based payments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OPTIONS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80" w:type="dxa"/>
            <w:vAlign w:val="bottom"/>
            <w:gridSpan w:val="4"/>
          </w:tcPr>
          <w:p>
            <w:pPr>
              <w:spacing w:after="0"/>
              <w:rPr>
                <w:sz w:val="20"/>
                <w:szCs w:val="20"/>
                <w:color w:val="auto"/>
              </w:rPr>
            </w:pPr>
            <w:r>
              <w:rPr>
                <w:rFonts w:ascii="Arial" w:cs="Arial" w:eastAsia="Arial" w:hAnsi="Arial"/>
                <w:sz w:val="18"/>
                <w:szCs w:val="18"/>
                <w:color w:val="auto"/>
                <w:w w:val="99"/>
              </w:rPr>
              <w:t>A summary of movements of all options issued is as follows: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53"/>
        </w:trPr>
        <w:tc>
          <w:tcPr>
            <w:tcW w:w="3600" w:type="dxa"/>
            <w:vAlign w:val="bottom"/>
            <w:tcBorders>
              <w:bottom w:val="single" w:sz="8" w:color="CCEEFF"/>
            </w:tcBorders>
            <w:gridSpan w:val="2"/>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Options outstanding as at 1 July 2018</w:t>
            </w:r>
          </w:p>
        </w:tc>
        <w:tc>
          <w:tcPr>
            <w:tcW w:w="10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21,175,000</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$0.64</w:t>
            </w: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33,710,000</w:t>
            </w: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$0.69</w:t>
            </w:r>
          </w:p>
        </w:tc>
        <w:tc>
          <w:tcPr>
            <w:tcW w:w="0" w:type="dxa"/>
            <w:vAlign w:val="bottom"/>
          </w:tcPr>
          <w:p>
            <w:pPr>
              <w:spacing w:after="0"/>
              <w:rPr>
                <w:sz w:val="1"/>
                <w:szCs w:val="1"/>
                <w:color w:val="auto"/>
              </w:rPr>
            </w:pPr>
          </w:p>
        </w:tc>
      </w:tr>
      <w:tr>
        <w:trPr>
          <w:trHeight w:val="54"/>
        </w:trPr>
        <w:tc>
          <w:tcPr>
            <w:tcW w:w="360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Granted – Subject to shareholder approval</w:t>
            </w:r>
          </w:p>
        </w:tc>
        <w:tc>
          <w:tcPr>
            <w:tcW w:w="10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$0.50</w:t>
            </w: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(365,000)</w:t>
            </w: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$0.65</w:t>
            </w:r>
          </w:p>
        </w:tc>
        <w:tc>
          <w:tcPr>
            <w:tcW w:w="0" w:type="dxa"/>
            <w:vAlign w:val="bottom"/>
          </w:tcPr>
          <w:p>
            <w:pPr>
              <w:spacing w:after="0"/>
              <w:rPr>
                <w:sz w:val="1"/>
                <w:szCs w:val="1"/>
                <w:color w:val="auto"/>
              </w:rPr>
            </w:pPr>
          </w:p>
        </w:tc>
      </w:tr>
      <w:tr>
        <w:trPr>
          <w:trHeight w:val="54"/>
        </w:trPr>
        <w:tc>
          <w:tcPr>
            <w:tcW w:w="360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$0.30</w:t>
            </w: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as at 30 June 2019</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67,020,000</w:t>
            </w: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$0.65</w:t>
            </w:r>
          </w:p>
        </w:tc>
        <w:tc>
          <w:tcPr>
            <w:tcW w:w="0" w:type="dxa"/>
            <w:vAlign w:val="bottom"/>
          </w:tcPr>
          <w:p>
            <w:pPr>
              <w:spacing w:after="0"/>
              <w:rPr>
                <w:sz w:val="1"/>
                <w:szCs w:val="1"/>
                <w:color w:val="auto"/>
              </w:rPr>
            </w:pPr>
          </w:p>
        </w:tc>
      </w:tr>
      <w:tr>
        <w:trPr>
          <w:trHeight w:val="54"/>
        </w:trPr>
        <w:tc>
          <w:tcPr>
            <w:tcW w:w="360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Granted to employees</w:t>
            </w:r>
          </w:p>
        </w:tc>
        <w:tc>
          <w:tcPr>
            <w:tcW w:w="10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$0.50</w:t>
            </w: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Granted to loan note holders</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10,000,000</w:t>
            </w: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$0.80</w:t>
            </w:r>
          </w:p>
        </w:tc>
        <w:tc>
          <w:tcPr>
            <w:tcW w:w="0" w:type="dxa"/>
            <w:vAlign w:val="bottom"/>
          </w:tcPr>
          <w:p>
            <w:pPr>
              <w:spacing w:after="0"/>
              <w:rPr>
                <w:sz w:val="1"/>
                <w:szCs w:val="1"/>
                <w:color w:val="auto"/>
              </w:rPr>
            </w:pPr>
          </w:p>
        </w:tc>
      </w:tr>
      <w:tr>
        <w:trPr>
          <w:trHeight w:val="54"/>
        </w:trPr>
        <w:tc>
          <w:tcPr>
            <w:tcW w:w="360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0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(40,500,000)</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$0.77</w:t>
            </w: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(970,000)</w:t>
            </w: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$0.60</w:t>
            </w:r>
          </w:p>
        </w:tc>
        <w:tc>
          <w:tcPr>
            <w:tcW w:w="0" w:type="dxa"/>
            <w:vAlign w:val="bottom"/>
          </w:tcPr>
          <w:p>
            <w:pPr>
              <w:spacing w:after="0"/>
              <w:rPr>
                <w:sz w:val="1"/>
                <w:szCs w:val="1"/>
                <w:color w:val="auto"/>
              </w:rPr>
            </w:pPr>
          </w:p>
        </w:tc>
      </w:tr>
      <w:tr>
        <w:trPr>
          <w:trHeight w:val="54"/>
        </w:trPr>
        <w:tc>
          <w:tcPr>
            <w:tcW w:w="360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(183,333)</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$0.66</w:t>
            </w: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as at 30 June 2020</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39,866,667</w:t>
            </w: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$0.55</w:t>
            </w:r>
          </w:p>
        </w:tc>
        <w:tc>
          <w:tcPr>
            <w:tcW w:w="0" w:type="dxa"/>
            <w:vAlign w:val="bottom"/>
          </w:tcPr>
          <w:p>
            <w:pPr>
              <w:spacing w:after="0"/>
              <w:rPr>
                <w:sz w:val="1"/>
                <w:szCs w:val="1"/>
                <w:color w:val="auto"/>
              </w:rPr>
            </w:pPr>
          </w:p>
        </w:tc>
      </w:tr>
      <w:tr>
        <w:trPr>
          <w:trHeight w:val="54"/>
        </w:trPr>
        <w:tc>
          <w:tcPr>
            <w:tcW w:w="360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Granted to employees</w:t>
            </w:r>
          </w:p>
        </w:tc>
        <w:tc>
          <w:tcPr>
            <w:tcW w:w="10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$0.50</w:t>
            </w: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0" w:type="dxa"/>
            <w:vAlign w:val="bottom"/>
          </w:tcPr>
          <w:p>
            <w:pPr>
              <w:spacing w:after="0"/>
              <w:rPr>
                <w:sz w:val="1"/>
                <w:szCs w:val="1"/>
                <w:color w:val="auto"/>
              </w:rPr>
            </w:pPr>
          </w:p>
        </w:tc>
      </w:tr>
      <w:tr>
        <w:trPr>
          <w:trHeight w:val="54"/>
        </w:trPr>
        <w:tc>
          <w:tcPr>
            <w:tcW w:w="3600" w:type="dxa"/>
            <w:vAlign w:val="bottom"/>
            <w:gridSpan w:val="2"/>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(7,463,333)</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$0.70</w:t>
            </w: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as at 30 June 2021</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32,103,334</w:t>
            </w:r>
          </w:p>
        </w:tc>
        <w:tc>
          <w:tcPr>
            <w:tcW w:w="2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-5348605</wp:posOffset>
            </wp:positionV>
            <wp:extent cx="857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-5348605</wp:posOffset>
            </wp:positionV>
            <wp:extent cx="857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-5348605</wp:posOffset>
            </wp:positionV>
            <wp:extent cx="857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-5348605</wp:posOffset>
            </wp:positionV>
            <wp:extent cx="946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-3274060</wp:posOffset>
            </wp:positionV>
            <wp:extent cx="1200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-3274060</wp:posOffset>
            </wp:positionV>
            <wp:extent cx="603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weighted average remaining contractual life of options outstanding at year end was 5.8 years (2020: 5.8 years).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Details of options awarded during the financial year are as follows:</w:t>
      </w:r>
    </w:p>
    <w:p>
      <w:pPr>
        <w:spacing w:after="0" w:line="117" w:lineRule="exact"/>
        <w:rPr>
          <w:sz w:val="20"/>
          <w:szCs w:val="20"/>
          <w:color w:val="auto"/>
        </w:rPr>
      </w:pPr>
    </w:p>
    <w:p>
      <w:pPr>
        <w:ind w:left="640" w:right="499" w:hanging="348"/>
        <w:spacing w:after="0" w:line="257" w:lineRule="auto"/>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On 8 July 2019, 2,500,000 share options were awarded to an employee of the group (who is not KMP). The terms of the options are set out in the table below. The options hold no voting or dividend rights and are not transferable. The options vest in 10 tranches on achievement of progressive Novonix Anode Materials sales milestones. The vesting dates in the table below represent the current estimate of when the vesting conditions will be met.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b w:val="1"/>
          <w:bCs w:val="1"/>
          <w:color w:val="auto"/>
        </w:rPr>
        <w:t>Note 28</w:t>
      </w:r>
      <w:r>
        <w:rPr>
          <w:sz w:val="20"/>
          <w:szCs w:val="20"/>
          <w:color w:val="auto"/>
        </w:rPr>
        <w:tab/>
      </w:r>
      <w:r>
        <w:rPr>
          <w:rFonts w:ascii="Arial" w:cs="Arial" w:eastAsia="Arial" w:hAnsi="Arial"/>
          <w:sz w:val="16"/>
          <w:szCs w:val="16"/>
          <w:b w:val="1"/>
          <w:bCs w:val="1"/>
          <w:color w:val="auto"/>
        </w:rPr>
        <w:t>Share-based payments (continued)</w:t>
      </w:r>
    </w:p>
    <w:p>
      <w:pPr>
        <w:spacing w:after="0" w:line="148" w:lineRule="exact"/>
        <w:rPr>
          <w:sz w:val="20"/>
          <w:szCs w:val="20"/>
          <w:color w:val="auto"/>
        </w:rPr>
      </w:pPr>
    </w:p>
    <w:p>
      <w:pPr>
        <w:ind w:left="540" w:right="980"/>
        <w:spacing w:after="0" w:line="277" w:lineRule="auto"/>
        <w:rPr>
          <w:sz w:val="20"/>
          <w:szCs w:val="20"/>
          <w:color w:val="auto"/>
        </w:rPr>
      </w:pPr>
      <w:r>
        <w:rPr>
          <w:rFonts w:ascii="Arial" w:cs="Arial" w:eastAsia="Arial" w:hAnsi="Arial"/>
          <w:sz w:val="18"/>
          <w:szCs w:val="18"/>
          <w:color w:val="auto"/>
        </w:rPr>
        <w:t>The fair value of these options was $804,375. This value was calculated using a binomial option pricing model applying the following inputs: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2</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4</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6</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8</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b w:val="1"/>
                <w:bCs w:val="1"/>
                <w:color w:val="auto"/>
                <w:w w:val="93"/>
              </w:rPr>
              <w:t>Tranche 10</w:t>
            </w:r>
          </w:p>
        </w:tc>
      </w:tr>
      <w:tr>
        <w:trPr>
          <w:trHeight w:val="54"/>
        </w:trPr>
        <w:tc>
          <w:tcPr>
            <w:tcW w:w="10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5"/>
        </w:trPr>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Number of</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3"/>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250,000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250,000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250,000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250,000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250,000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250,000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250,000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250,000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250,000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250,000</w:t>
            </w:r>
          </w:p>
        </w:tc>
      </w:tr>
      <w:tr>
        <w:trPr>
          <w:trHeight w:val="216"/>
        </w:trPr>
        <w:tc>
          <w:tcPr>
            <w:tcW w:w="1040" w:type="dxa"/>
            <w:vAlign w:val="bottom"/>
          </w:tcPr>
          <w:p>
            <w:pPr>
              <w:spacing w:after="0"/>
              <w:rPr>
                <w:sz w:val="20"/>
                <w:szCs w:val="20"/>
                <w:color w:val="auto"/>
              </w:rPr>
            </w:pPr>
            <w:r>
              <w:rPr>
                <w:rFonts w:ascii="Arial" w:cs="Arial" w:eastAsia="Arial" w:hAnsi="Arial"/>
                <w:sz w:val="13"/>
                <w:szCs w:val="13"/>
                <w:color w:val="auto"/>
              </w:rPr>
              <w:t>Exercise price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Award date</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08/07/2019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08/07/2019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08/07/2019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08/07/2019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08/07/2019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08/07/2019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92"/>
              </w:rPr>
              <w:t>08/07/2019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08/07/2019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92"/>
              </w:rPr>
              <w:t>08/07/2019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08/07/2019</w:t>
            </w:r>
          </w:p>
        </w:tc>
      </w:tr>
      <w:tr>
        <w:trPr>
          <w:trHeight w:val="215"/>
        </w:trPr>
        <w:tc>
          <w:tcPr>
            <w:tcW w:w="1040" w:type="dxa"/>
            <w:vAlign w:val="bottom"/>
          </w:tcPr>
          <w:p>
            <w:pPr>
              <w:spacing w:after="0"/>
              <w:rPr>
                <w:sz w:val="20"/>
                <w:szCs w:val="20"/>
                <w:color w:val="auto"/>
              </w:rPr>
            </w:pPr>
            <w:r>
              <w:rPr>
                <w:rFonts w:ascii="Arial" w:cs="Arial" w:eastAsia="Arial" w:hAnsi="Arial"/>
                <w:sz w:val="13"/>
                <w:szCs w:val="13"/>
                <w:color w:val="auto"/>
              </w:rPr>
              <w:t>Expiry date</w:t>
            </w:r>
          </w:p>
        </w:tc>
        <w:tc>
          <w:tcPr>
            <w:tcW w:w="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w w:val="89"/>
              </w:rPr>
              <w:t>08/07/2029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w w:val="92"/>
              </w:rPr>
              <w:t>08/07/2029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w w:val="89"/>
              </w:rPr>
              <w:t>08/07/2029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w w:val="92"/>
              </w:rPr>
              <w:t>08/07/2029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w w:val="89"/>
              </w:rPr>
              <w:t>08/07/2029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w w:val="92"/>
              </w:rPr>
              <w:t>08/07/2029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w w:val="92"/>
              </w:rPr>
              <w:t>08/07/2029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w w:val="92"/>
              </w:rPr>
              <w:t>08/07/2029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w w:val="92"/>
              </w:rPr>
              <w:t>08/07/2029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w w:val="92"/>
              </w:rPr>
              <w:t>08/07/2029</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6"/>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Vesting date</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31/05/2022</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31/03/2023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30/06/2023</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30/11/2023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31/12/2023</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28/02/2024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92"/>
              </w:rPr>
              <w:t>31/03/2024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30/04/2024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92"/>
              </w:rPr>
              <w:t>31/05/2024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30/06/2024</w:t>
            </w:r>
          </w:p>
        </w:tc>
      </w:tr>
      <w:tr>
        <w:trPr>
          <w:trHeight w:val="216"/>
        </w:trPr>
        <w:tc>
          <w:tcPr>
            <w:tcW w:w="1040" w:type="dxa"/>
            <w:vAlign w:val="bottom"/>
          </w:tcPr>
          <w:p>
            <w:pPr>
              <w:spacing w:after="0"/>
              <w:rPr>
                <w:sz w:val="20"/>
                <w:szCs w:val="20"/>
                <w:color w:val="auto"/>
              </w:rPr>
            </w:pPr>
            <w:r>
              <w:rPr>
                <w:rFonts w:ascii="Arial" w:cs="Arial" w:eastAsia="Arial" w:hAnsi="Arial"/>
                <w:sz w:val="13"/>
                <w:szCs w:val="13"/>
                <w:color w:val="auto"/>
              </w:rPr>
              <w:t>Volatility</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85.08%</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92"/>
        </w:trPr>
        <w:tc>
          <w:tcPr>
            <w:tcW w:w="1040" w:type="dxa"/>
            <w:vAlign w:val="bottom"/>
          </w:tcPr>
          <w:p>
            <w:pPr>
              <w:spacing w:after="0"/>
              <w:rPr>
                <w:sz w:val="20"/>
                <w:szCs w:val="20"/>
                <w:color w:val="auto"/>
              </w:rPr>
            </w:pPr>
            <w:r>
              <w:rPr>
                <w:rFonts w:ascii="Arial" w:cs="Arial" w:eastAsia="Arial" w:hAnsi="Arial"/>
                <w:sz w:val="13"/>
                <w:szCs w:val="13"/>
                <w:color w:val="auto"/>
              </w:rPr>
              <w:t>Risk-free interest</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rate</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92"/>
        </w:trPr>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w w:val="97"/>
              </w:rPr>
              <w:t>Fair value at grant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72"/>
        </w:trPr>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date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0.3026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0.3115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0.3179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0.3201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0.3248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0.3255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0.3264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0.3270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0.3307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0.3310</w:t>
            </w:r>
          </w:p>
        </w:tc>
      </w:tr>
      <w:tr>
        <w:trPr>
          <w:trHeight w:val="41"/>
        </w:trPr>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-1757045</wp:posOffset>
            </wp:positionV>
            <wp:extent cx="342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-1757045</wp:posOffset>
            </wp:positionV>
            <wp:extent cx="342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-1757045</wp:posOffset>
            </wp:positionV>
            <wp:extent cx="342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-1757045</wp:posOffset>
            </wp:positionV>
            <wp:extent cx="342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-1757045</wp:posOffset>
            </wp:positionV>
            <wp:extent cx="342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-1757045</wp:posOffset>
            </wp:positionV>
            <wp:extent cx="342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-1757045</wp:posOffset>
            </wp:positionV>
            <wp:extent cx="342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-1757045</wp:posOffset>
            </wp:positionV>
            <wp:extent cx="342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-1757045</wp:posOffset>
            </wp:positionV>
            <wp:extent cx="342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-1757045</wp:posOffset>
            </wp:positionV>
            <wp:extent cx="1714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Details of options awarded during the financial year are as follows:</w:t>
      </w:r>
    </w:p>
    <w:p>
      <w:pPr>
        <w:spacing w:after="0" w:line="117" w:lineRule="exact"/>
        <w:rPr>
          <w:sz w:val="20"/>
          <w:szCs w:val="20"/>
          <w:color w:val="auto"/>
        </w:rPr>
      </w:pPr>
    </w:p>
    <w:p>
      <w:pPr>
        <w:ind w:left="880" w:right="540" w:hanging="348"/>
        <w:spacing w:after="0" w:line="257" w:lineRule="auto"/>
        <w:tabs>
          <w:tab w:leader="none" w:pos="8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 7 December 2019, 1,000,000 share options were awarded to an employee of the group (who is not KMP). The terms of the options are set out in the table below. The options hold no voting or dividend rights and are not transferable. The options vest in 10 tranches on achievement of progressive Novonix Anode Materials sales milestones. The vesting dates in the table below represent the current estimate of when the vesting conditions will be met.</w:t>
      </w:r>
    </w:p>
    <w:p>
      <w:pPr>
        <w:spacing w:after="0" w:line="80" w:lineRule="exact"/>
        <w:rPr>
          <w:sz w:val="20"/>
          <w:szCs w:val="20"/>
          <w:color w:val="auto"/>
        </w:rPr>
      </w:pPr>
    </w:p>
    <w:p>
      <w:pPr>
        <w:ind w:left="540" w:right="980"/>
        <w:spacing w:after="0" w:line="277" w:lineRule="auto"/>
        <w:rPr>
          <w:sz w:val="20"/>
          <w:szCs w:val="20"/>
          <w:color w:val="auto"/>
        </w:rPr>
      </w:pPr>
      <w:r>
        <w:rPr>
          <w:rFonts w:ascii="Arial" w:cs="Arial" w:eastAsia="Arial" w:hAnsi="Arial"/>
          <w:sz w:val="18"/>
          <w:szCs w:val="18"/>
          <w:color w:val="auto"/>
        </w:rPr>
        <w:t>The fair value of these options was $456,580. This value was calculated using a binomial option pricing model applying the following inputs: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2</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4</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6</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8</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b w:val="1"/>
                <w:bCs w:val="1"/>
                <w:color w:val="auto"/>
                <w:w w:val="93"/>
              </w:rPr>
              <w:t>Tranche 10</w:t>
            </w:r>
          </w:p>
        </w:tc>
      </w:tr>
      <w:tr>
        <w:trPr>
          <w:trHeight w:val="55"/>
        </w:trPr>
        <w:tc>
          <w:tcPr>
            <w:tcW w:w="10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5"/>
        </w:trPr>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Number of</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3"/>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rPr>
              <w:t>100,000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r>
      <w:tr>
        <w:trPr>
          <w:trHeight w:val="216"/>
        </w:trPr>
        <w:tc>
          <w:tcPr>
            <w:tcW w:w="1040" w:type="dxa"/>
            <w:vAlign w:val="bottom"/>
          </w:tcPr>
          <w:p>
            <w:pPr>
              <w:spacing w:after="0"/>
              <w:rPr>
                <w:sz w:val="20"/>
                <w:szCs w:val="20"/>
                <w:color w:val="auto"/>
              </w:rPr>
            </w:pPr>
            <w:r>
              <w:rPr>
                <w:rFonts w:ascii="Arial" w:cs="Arial" w:eastAsia="Arial" w:hAnsi="Arial"/>
                <w:sz w:val="13"/>
                <w:szCs w:val="13"/>
                <w:color w:val="auto"/>
              </w:rPr>
              <w:t>Exercise price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Award date</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7/12/2019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7/12/2019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7/12/2019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rPr>
              <w:t>7/12/2019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7/12/2019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7/12/2019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7/12/2019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7/12/2019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7/12/2019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7/12/2019</w:t>
            </w:r>
          </w:p>
        </w:tc>
      </w:tr>
      <w:tr>
        <w:trPr>
          <w:trHeight w:val="215"/>
        </w:trPr>
        <w:tc>
          <w:tcPr>
            <w:tcW w:w="1040" w:type="dxa"/>
            <w:vAlign w:val="bottom"/>
          </w:tcPr>
          <w:p>
            <w:pPr>
              <w:spacing w:after="0"/>
              <w:rPr>
                <w:sz w:val="20"/>
                <w:szCs w:val="20"/>
                <w:color w:val="auto"/>
              </w:rPr>
            </w:pPr>
            <w:r>
              <w:rPr>
                <w:rFonts w:ascii="Arial" w:cs="Arial" w:eastAsia="Arial" w:hAnsi="Arial"/>
                <w:sz w:val="13"/>
                <w:szCs w:val="13"/>
                <w:color w:val="auto"/>
              </w:rPr>
              <w:t>Expiry date</w:t>
            </w:r>
          </w:p>
        </w:tc>
        <w:tc>
          <w:tcPr>
            <w:tcW w:w="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7/12/2029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7/12/2029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7/12/2029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7/12/2029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7/12/2029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7/12/2029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7/12/2029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7/12/2029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7/12/2029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7/12/2029</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Vesting date</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31/05/2022</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31/03/2023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30/06/2023</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30/11/2023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31/12/2023</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28/02/2024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92"/>
              </w:rPr>
              <w:t>31/03/2024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30/04/2024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92"/>
              </w:rPr>
              <w:t>31/05/2024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30/06/2024</w:t>
            </w:r>
          </w:p>
        </w:tc>
      </w:tr>
      <w:tr>
        <w:trPr>
          <w:trHeight w:val="215"/>
        </w:trPr>
        <w:tc>
          <w:tcPr>
            <w:tcW w:w="1040" w:type="dxa"/>
            <w:vAlign w:val="bottom"/>
          </w:tcPr>
          <w:p>
            <w:pPr>
              <w:spacing w:after="0"/>
              <w:rPr>
                <w:sz w:val="20"/>
                <w:szCs w:val="20"/>
                <w:color w:val="auto"/>
              </w:rPr>
            </w:pPr>
            <w:r>
              <w:rPr>
                <w:rFonts w:ascii="Arial" w:cs="Arial" w:eastAsia="Arial" w:hAnsi="Arial"/>
                <w:sz w:val="13"/>
                <w:szCs w:val="13"/>
                <w:color w:val="auto"/>
              </w:rPr>
              <w:t>Volatility</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84.89%</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92"/>
        </w:trPr>
        <w:tc>
          <w:tcPr>
            <w:tcW w:w="1040" w:type="dxa"/>
            <w:vAlign w:val="bottom"/>
          </w:tcPr>
          <w:p>
            <w:pPr>
              <w:spacing w:after="0"/>
              <w:rPr>
                <w:sz w:val="20"/>
                <w:szCs w:val="20"/>
                <w:color w:val="auto"/>
              </w:rPr>
            </w:pPr>
            <w:r>
              <w:rPr>
                <w:rFonts w:ascii="Arial" w:cs="Arial" w:eastAsia="Arial" w:hAnsi="Arial"/>
                <w:sz w:val="13"/>
                <w:szCs w:val="13"/>
                <w:color w:val="auto"/>
              </w:rPr>
              <w:t>Risk-free interest</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rate</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1.14%</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92"/>
        </w:trPr>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w w:val="97"/>
              </w:rPr>
              <w:t>Fair value at grant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72"/>
        </w:trPr>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date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0.4274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0.4415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0.4513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0.4543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0.4611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0.4623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0.4636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0.4644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0.4696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0.4703</w:t>
            </w:r>
          </w:p>
        </w:tc>
      </w:tr>
      <w:tr>
        <w:trPr>
          <w:trHeight w:val="41"/>
        </w:trPr>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-1757045</wp:posOffset>
            </wp:positionV>
            <wp:extent cx="342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-1757045</wp:posOffset>
            </wp:positionV>
            <wp:extent cx="342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-1757045</wp:posOffset>
            </wp:positionV>
            <wp:extent cx="342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-1757045</wp:posOffset>
            </wp:positionV>
            <wp:extent cx="342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-1757045</wp:posOffset>
            </wp:positionV>
            <wp:extent cx="342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-1757045</wp:posOffset>
            </wp:positionV>
            <wp:extent cx="342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-1757045</wp:posOffset>
            </wp:positionV>
            <wp:extent cx="342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-1757045</wp:posOffset>
            </wp:positionV>
            <wp:extent cx="342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-1757045</wp:posOffset>
            </wp:positionV>
            <wp:extent cx="342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-1757045</wp:posOffset>
            </wp:positionV>
            <wp:extent cx="1714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Details of options awarded during the financial year are as follows:</w:t>
      </w:r>
    </w:p>
    <w:p>
      <w:pPr>
        <w:spacing w:after="0" w:line="117" w:lineRule="exact"/>
        <w:rPr>
          <w:sz w:val="20"/>
          <w:szCs w:val="20"/>
          <w:color w:val="auto"/>
        </w:rPr>
      </w:pPr>
    </w:p>
    <w:p>
      <w:pPr>
        <w:ind w:left="880" w:right="540" w:hanging="348"/>
        <w:spacing w:after="0" w:line="257" w:lineRule="auto"/>
        <w:tabs>
          <w:tab w:leader="none" w:pos="8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On 16 January 2020, 1,000,000 share options were awarded to an employee of the group (who is not KMP). The terms of the options are set out in the table below. The options hold no voting or dividend rights and are not transferable. The options vest in 10 tranches on achievement of progressive Novonix Anode Materials sales milestones. The vesting dates in the table below represent the current estimate of when the vesting conditions will be met.</w:t>
      </w:r>
    </w:p>
    <w:p>
      <w:pPr>
        <w:spacing w:after="0" w:line="80" w:lineRule="exact"/>
        <w:rPr>
          <w:sz w:val="20"/>
          <w:szCs w:val="20"/>
          <w:color w:val="auto"/>
        </w:rPr>
      </w:pPr>
    </w:p>
    <w:p>
      <w:pPr>
        <w:ind w:left="540" w:right="980"/>
        <w:spacing w:after="0" w:line="277" w:lineRule="auto"/>
        <w:rPr>
          <w:sz w:val="20"/>
          <w:szCs w:val="20"/>
          <w:color w:val="auto"/>
        </w:rPr>
      </w:pPr>
      <w:r>
        <w:rPr>
          <w:rFonts w:ascii="Arial" w:cs="Arial" w:eastAsia="Arial" w:hAnsi="Arial"/>
          <w:sz w:val="18"/>
          <w:szCs w:val="18"/>
          <w:color w:val="auto"/>
        </w:rPr>
        <w:t>The fair value of these options was $377,390. This value was calculated using a binomial option pricing model applying the following inputs: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2</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4</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6</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Tranche 8</w:t>
            </w:r>
          </w:p>
        </w:tc>
        <w:tc>
          <w:tcPr>
            <w:tcW w:w="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Tranche 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b w:val="1"/>
                <w:bCs w:val="1"/>
                <w:color w:val="auto"/>
                <w:w w:val="93"/>
              </w:rPr>
              <w:t>Tranche 10</w:t>
            </w:r>
          </w:p>
        </w:tc>
      </w:tr>
      <w:tr>
        <w:trPr>
          <w:trHeight w:val="55"/>
        </w:trPr>
        <w:tc>
          <w:tcPr>
            <w:tcW w:w="10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5"/>
        </w:trPr>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Number of</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93"/>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100,000</w:t>
            </w:r>
          </w:p>
        </w:tc>
      </w:tr>
      <w:tr>
        <w:trPr>
          <w:trHeight w:val="216"/>
        </w:trPr>
        <w:tc>
          <w:tcPr>
            <w:tcW w:w="1040" w:type="dxa"/>
            <w:vAlign w:val="bottom"/>
          </w:tcPr>
          <w:p>
            <w:pPr>
              <w:spacing w:after="0"/>
              <w:rPr>
                <w:sz w:val="20"/>
                <w:szCs w:val="20"/>
                <w:color w:val="auto"/>
              </w:rPr>
            </w:pPr>
            <w:r>
              <w:rPr>
                <w:rFonts w:ascii="Arial" w:cs="Arial" w:eastAsia="Arial" w:hAnsi="Arial"/>
                <w:sz w:val="13"/>
                <w:szCs w:val="13"/>
                <w:color w:val="auto"/>
              </w:rPr>
              <w:t>Exercise price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0.50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0.50</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6"/>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Award date</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16/01/2020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16/01/2020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16/01/2020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16/01/2020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16/01/2020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16/01/2020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92"/>
              </w:rPr>
              <w:t>16/01/2020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16/01/2020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92"/>
              </w:rPr>
              <w:t>16/01/2020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16/01/2020</w:t>
            </w:r>
          </w:p>
        </w:tc>
      </w:tr>
      <w:tr>
        <w:trPr>
          <w:trHeight w:val="215"/>
        </w:trPr>
        <w:tc>
          <w:tcPr>
            <w:tcW w:w="1040" w:type="dxa"/>
            <w:vAlign w:val="bottom"/>
          </w:tcPr>
          <w:p>
            <w:pPr>
              <w:spacing w:after="0"/>
              <w:rPr>
                <w:sz w:val="20"/>
                <w:szCs w:val="20"/>
                <w:color w:val="auto"/>
              </w:rPr>
            </w:pPr>
            <w:r>
              <w:rPr>
                <w:rFonts w:ascii="Arial" w:cs="Arial" w:eastAsia="Arial" w:hAnsi="Arial"/>
                <w:sz w:val="13"/>
                <w:szCs w:val="13"/>
                <w:color w:val="auto"/>
              </w:rPr>
              <w:t>Expiry date</w:t>
            </w:r>
          </w:p>
        </w:tc>
        <w:tc>
          <w:tcPr>
            <w:tcW w:w="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w w:val="89"/>
              </w:rPr>
              <w:t>16/01/2030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w w:val="92"/>
              </w:rPr>
              <w:t>16/01/2030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w w:val="89"/>
              </w:rPr>
              <w:t>16/01/2030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w w:val="92"/>
              </w:rPr>
              <w:t>16/01/2030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w w:val="89"/>
              </w:rPr>
              <w:t>16/01/2030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w w:val="92"/>
              </w:rPr>
              <w:t>16/01/2030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w w:val="92"/>
              </w:rPr>
              <w:t>16/01/2030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w w:val="92"/>
              </w:rPr>
              <w:t>16/01/2030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w w:val="92"/>
              </w:rPr>
              <w:t>16/01/2030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w w:val="92"/>
              </w:rPr>
              <w:t>16/01/2030</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6"/>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Vesting date</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31/05/2022</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31/03/2023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30/06/2023</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30/11/2023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89"/>
              </w:rPr>
              <w:t>31/12/2023</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28/02/2024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92"/>
              </w:rPr>
              <w:t>31/03/2024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30/04/2024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92"/>
              </w:rPr>
              <w:t>31/05/2024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w w:val="92"/>
              </w:rPr>
              <w:t>30/06/2024</w:t>
            </w:r>
          </w:p>
        </w:tc>
      </w:tr>
      <w:tr>
        <w:trPr>
          <w:trHeight w:val="215"/>
        </w:trPr>
        <w:tc>
          <w:tcPr>
            <w:tcW w:w="1040" w:type="dxa"/>
            <w:vAlign w:val="bottom"/>
          </w:tcPr>
          <w:p>
            <w:pPr>
              <w:spacing w:after="0"/>
              <w:rPr>
                <w:sz w:val="20"/>
                <w:szCs w:val="20"/>
                <w:color w:val="auto"/>
              </w:rPr>
            </w:pPr>
            <w:r>
              <w:rPr>
                <w:rFonts w:ascii="Arial" w:cs="Arial" w:eastAsia="Arial" w:hAnsi="Arial"/>
                <w:sz w:val="13"/>
                <w:szCs w:val="13"/>
                <w:color w:val="auto"/>
              </w:rPr>
              <w:t>Volatility</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82.80%</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6"/>
        </w:trPr>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92"/>
        </w:trPr>
        <w:tc>
          <w:tcPr>
            <w:tcW w:w="1040" w:type="dxa"/>
            <w:vAlign w:val="bottom"/>
          </w:tcPr>
          <w:p>
            <w:pPr>
              <w:spacing w:after="0"/>
              <w:rPr>
                <w:sz w:val="20"/>
                <w:szCs w:val="20"/>
                <w:color w:val="auto"/>
              </w:rPr>
            </w:pPr>
            <w:r>
              <w:rPr>
                <w:rFonts w:ascii="Arial" w:cs="Arial" w:eastAsia="Arial" w:hAnsi="Arial"/>
                <w:sz w:val="13"/>
                <w:szCs w:val="13"/>
                <w:color w:val="auto"/>
              </w:rPr>
              <w:t>Risk-free interest</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2"/>
        </w:trPr>
        <w:tc>
          <w:tcPr>
            <w:tcW w:w="1040" w:type="dxa"/>
            <w:vAlign w:val="bottom"/>
          </w:tcPr>
          <w:p>
            <w:pPr>
              <w:spacing w:after="0"/>
              <w:rPr>
                <w:sz w:val="20"/>
                <w:szCs w:val="20"/>
                <w:color w:val="auto"/>
              </w:rPr>
            </w:pPr>
            <w:r>
              <w:rPr>
                <w:rFonts w:ascii="Arial" w:cs="Arial" w:eastAsia="Arial" w:hAnsi="Arial"/>
                <w:sz w:val="13"/>
                <w:szCs w:val="13"/>
                <w:color w:val="auto"/>
              </w:rPr>
              <w:t>rate</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41"/>
        </w:trPr>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92"/>
        </w:trPr>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w w:val="97"/>
              </w:rPr>
              <w:t>Fair value at grant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72"/>
        </w:trPr>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date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0.3541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0.3648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0.3726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0.3753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0.3809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0.3819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0.3832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0.3839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0.3883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0.3889</w:t>
            </w:r>
          </w:p>
        </w:tc>
      </w:tr>
      <w:tr>
        <w:trPr>
          <w:trHeight w:val="41"/>
        </w:trPr>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-1756410</wp:posOffset>
            </wp:positionV>
            <wp:extent cx="342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-1756410</wp:posOffset>
            </wp:positionV>
            <wp:extent cx="342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-1756410</wp:posOffset>
            </wp:positionV>
            <wp:extent cx="342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-1756410</wp:posOffset>
            </wp:positionV>
            <wp:extent cx="342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-1756410</wp:posOffset>
            </wp:positionV>
            <wp:extent cx="342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-1756410</wp:posOffset>
            </wp:positionV>
            <wp:extent cx="342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-1756410</wp:posOffset>
            </wp:positionV>
            <wp:extent cx="342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-1756410</wp:posOffset>
            </wp:positionV>
            <wp:extent cx="342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-1756410</wp:posOffset>
            </wp:positionV>
            <wp:extent cx="342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-1756410</wp:posOffset>
            </wp:positionV>
            <wp:extent cx="1714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ectPr>
          <w:pgSz w:w="11900" w:h="16838" w:orient="portrait"/>
          <w:cols w:equalWidth="0" w:num="1">
            <w:col w:w="9500"/>
          </w:cols>
          <w:pgMar w:left="1200" w:top="265" w:right="1199" w:bottom="912"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140970</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5" w:right="1199" w:bottom="912" w:gutter="0" w:footer="0" w:header="0"/>
          <w:type w:val="continuous"/>
        </w:sectPr>
      </w:pPr>
    </w:p>
    <w:bookmarkStart w:id="170" w:name="page171"/>
    <w:bookmarkEnd w:id="170"/>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28</w:t>
      </w:r>
      <w:r>
        <w:rPr>
          <w:sz w:val="20"/>
          <w:szCs w:val="20"/>
          <w:color w:val="auto"/>
        </w:rPr>
        <w:tab/>
      </w:r>
      <w:r>
        <w:rPr>
          <w:rFonts w:ascii="Arial" w:cs="Arial" w:eastAsia="Arial" w:hAnsi="Arial"/>
          <w:sz w:val="16"/>
          <w:szCs w:val="16"/>
          <w:b w:val="1"/>
          <w:bCs w:val="1"/>
          <w:color w:val="auto"/>
        </w:rPr>
        <w:t>Share-based payments (continued)</w:t>
      </w:r>
    </w:p>
    <w:p>
      <w:pPr>
        <w:spacing w:after="0" w:line="27" w:lineRule="exact"/>
        <w:rPr>
          <w:sz w:val="20"/>
          <w:szCs w:val="20"/>
          <w:color w:val="auto"/>
        </w:rPr>
      </w:pPr>
    </w:p>
    <w:p>
      <w:pPr>
        <w:ind w:left="1640" w:right="1300" w:hanging="348"/>
        <w:spacing w:after="0" w:line="255" w:lineRule="auto"/>
        <w:tabs>
          <w:tab w:leader="none" w:pos="1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14 December 2020, 100,000 share options were awarded to an employee of the group (who is not KMP). The terms of the options are set out in the table below. The options hold no voting or dividend rights and are not transferable.</w:t>
      </w:r>
    </w:p>
    <w:p>
      <w:pPr>
        <w:spacing w:after="0" w:line="82" w:lineRule="exact"/>
        <w:rPr>
          <w:sz w:val="20"/>
          <w:szCs w:val="20"/>
          <w:color w:val="auto"/>
        </w:rPr>
      </w:pPr>
    </w:p>
    <w:p>
      <w:pPr>
        <w:ind w:left="1300" w:right="1840"/>
        <w:spacing w:after="0" w:line="277" w:lineRule="auto"/>
        <w:rPr>
          <w:sz w:val="20"/>
          <w:szCs w:val="20"/>
          <w:color w:val="auto"/>
        </w:rPr>
      </w:pPr>
      <w:r>
        <w:rPr>
          <w:rFonts w:ascii="Arial" w:cs="Arial" w:eastAsia="Arial" w:hAnsi="Arial"/>
          <w:sz w:val="18"/>
          <w:szCs w:val="18"/>
          <w:color w:val="auto"/>
        </w:rPr>
        <w:t>The fair value of these options was $83,444. This value was calculated using a binomial option pricing model applying the following inputs:</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Tranche 1</w:t>
            </w:r>
          </w:p>
        </w:tc>
        <w:tc>
          <w:tcPr>
            <w:tcW w:w="160" w:type="dxa"/>
            <w:vAlign w:val="bottom"/>
          </w:tcPr>
          <w:p>
            <w:pPr>
              <w:spacing w:after="0"/>
              <w:rPr>
                <w:sz w:val="16"/>
                <w:szCs w:val="16"/>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Tranche 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Tranche 3</w:t>
            </w:r>
          </w:p>
        </w:tc>
      </w:tr>
      <w:tr>
        <w:trPr>
          <w:trHeight w:val="53"/>
        </w:trPr>
        <w:tc>
          <w:tcPr>
            <w:tcW w:w="328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311"/>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options</w:t>
            </w:r>
          </w:p>
        </w:tc>
        <w:tc>
          <w:tcPr>
            <w:tcW w:w="16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33,333</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33,333</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33,334</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Exercise price</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0.50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0.50</w:t>
            </w:r>
          </w:p>
        </w:tc>
      </w:tr>
      <w:tr>
        <w:trPr>
          <w:trHeight w:val="54"/>
        </w:trPr>
        <w:tc>
          <w:tcPr>
            <w:tcW w:w="3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 date</w:t>
            </w:r>
          </w:p>
        </w:tc>
        <w:tc>
          <w:tcPr>
            <w:tcW w:w="268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14/12/2020</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w w:val="97"/>
              </w:rPr>
              <w:t>14/12/2020</w:t>
            </w:r>
          </w:p>
        </w:tc>
        <w:tc>
          <w:tcPr>
            <w:tcW w:w="124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14/12/2020</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Expiry date</w:t>
            </w:r>
          </w:p>
        </w:tc>
        <w:tc>
          <w:tcPr>
            <w:tcW w:w="2680" w:type="dxa"/>
            <w:vAlign w:val="bottom"/>
            <w:gridSpan w:val="3"/>
          </w:tcPr>
          <w:p>
            <w:pPr>
              <w:jc w:val="right"/>
              <w:ind w:right="73"/>
              <w:spacing w:after="0"/>
              <w:rPr>
                <w:sz w:val="20"/>
                <w:szCs w:val="20"/>
                <w:color w:val="auto"/>
              </w:rPr>
            </w:pPr>
            <w:r>
              <w:rPr>
                <w:rFonts w:ascii="Arial" w:cs="Arial" w:eastAsia="Arial" w:hAnsi="Arial"/>
                <w:sz w:val="18"/>
                <w:szCs w:val="18"/>
                <w:color w:val="auto"/>
              </w:rPr>
              <w:t>14/12/2030</w:t>
            </w:r>
          </w:p>
        </w:tc>
        <w:tc>
          <w:tcPr>
            <w:tcW w:w="160" w:type="dxa"/>
            <w:vAlign w:val="bottom"/>
          </w:tcPr>
          <w:p>
            <w:pPr>
              <w:spacing w:after="0"/>
              <w:rPr>
                <w:sz w:val="23"/>
                <w:szCs w:val="23"/>
                <w:color w:val="auto"/>
              </w:rPr>
            </w:pPr>
          </w:p>
        </w:tc>
        <w:tc>
          <w:tcPr>
            <w:tcW w:w="1060" w:type="dxa"/>
            <w:vAlign w:val="bottom"/>
            <w:gridSpan w:val="2"/>
          </w:tcPr>
          <w:p>
            <w:pPr>
              <w:jc w:val="right"/>
              <w:ind w:right="73"/>
              <w:spacing w:after="0"/>
              <w:rPr>
                <w:sz w:val="20"/>
                <w:szCs w:val="20"/>
                <w:color w:val="auto"/>
              </w:rPr>
            </w:pPr>
            <w:r>
              <w:rPr>
                <w:rFonts w:ascii="Arial" w:cs="Arial" w:eastAsia="Arial" w:hAnsi="Arial"/>
                <w:sz w:val="18"/>
                <w:szCs w:val="18"/>
                <w:color w:val="auto"/>
                <w:w w:val="97"/>
              </w:rPr>
              <w:t>14/12/2030</w:t>
            </w:r>
          </w:p>
        </w:tc>
        <w:tc>
          <w:tcPr>
            <w:tcW w:w="1240" w:type="dxa"/>
            <w:vAlign w:val="bottom"/>
            <w:gridSpan w:val="3"/>
          </w:tcPr>
          <w:p>
            <w:pPr>
              <w:jc w:val="right"/>
              <w:ind w:right="73"/>
              <w:spacing w:after="0"/>
              <w:rPr>
                <w:sz w:val="20"/>
                <w:szCs w:val="20"/>
                <w:color w:val="auto"/>
              </w:rPr>
            </w:pPr>
            <w:r>
              <w:rPr>
                <w:rFonts w:ascii="Arial" w:cs="Arial" w:eastAsia="Arial" w:hAnsi="Arial"/>
                <w:sz w:val="18"/>
                <w:szCs w:val="18"/>
                <w:color w:val="auto"/>
              </w:rPr>
              <w:t>14/12/2030</w:t>
            </w:r>
          </w:p>
        </w:tc>
      </w:tr>
      <w:tr>
        <w:trPr>
          <w:trHeight w:val="54"/>
        </w:trPr>
        <w:tc>
          <w:tcPr>
            <w:tcW w:w="3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Vesting date</w:t>
            </w:r>
          </w:p>
        </w:tc>
        <w:tc>
          <w:tcPr>
            <w:tcW w:w="268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24/02/2021</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w w:val="97"/>
              </w:rPr>
              <w:t>24/02/2022</w:t>
            </w:r>
          </w:p>
        </w:tc>
        <w:tc>
          <w:tcPr>
            <w:tcW w:w="124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24/02/2023</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Volatility</w:t>
            </w:r>
          </w:p>
        </w:tc>
        <w:tc>
          <w:tcPr>
            <w:tcW w:w="1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54"/>
        </w:trPr>
        <w:tc>
          <w:tcPr>
            <w:tcW w:w="3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304"/>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54"/>
        </w:trPr>
        <w:tc>
          <w:tcPr>
            <w:tcW w:w="3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0.7878</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0.8394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0.8758</w:t>
            </w:r>
          </w:p>
        </w:tc>
      </w:tr>
      <w:tr>
        <w:trPr>
          <w:trHeight w:val="54"/>
        </w:trPr>
        <w:tc>
          <w:tcPr>
            <w:tcW w:w="32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-1868170</wp:posOffset>
            </wp:positionV>
            <wp:extent cx="1028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-1868170</wp:posOffset>
            </wp:positionV>
            <wp:extent cx="1028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-1868170</wp:posOffset>
            </wp:positionV>
            <wp:extent cx="514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1640" w:right="1500" w:hanging="348"/>
        <w:spacing w:after="0" w:line="263" w:lineRule="auto"/>
        <w:tabs>
          <w:tab w:leader="none" w:pos="1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On 14 March 2021, 100,000 share options were awarded to an employee of the group (who is not KMP). The terms of the options are set out in the table below. The options hold no voting or dividend rights and are not transferable.</w:t>
      </w:r>
    </w:p>
    <w:p>
      <w:pPr>
        <w:spacing w:after="0" w:line="76" w:lineRule="exact"/>
        <w:rPr>
          <w:sz w:val="20"/>
          <w:szCs w:val="20"/>
          <w:color w:val="auto"/>
        </w:rPr>
      </w:pPr>
    </w:p>
    <w:p>
      <w:pPr>
        <w:ind w:left="1300" w:right="1740"/>
        <w:spacing w:after="0" w:line="277" w:lineRule="auto"/>
        <w:rPr>
          <w:sz w:val="20"/>
          <w:szCs w:val="20"/>
          <w:color w:val="auto"/>
        </w:rPr>
      </w:pPr>
      <w:r>
        <w:rPr>
          <w:rFonts w:ascii="Arial" w:cs="Arial" w:eastAsia="Arial" w:hAnsi="Arial"/>
          <w:sz w:val="18"/>
          <w:szCs w:val="18"/>
          <w:color w:val="auto"/>
        </w:rPr>
        <w:t>The fair value of these options was $247,297. This value was calculated using a binomial option pricing model applying the following inputs: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Tranche 1</w:t>
            </w:r>
          </w:p>
        </w:tc>
        <w:tc>
          <w:tcPr>
            <w:tcW w:w="160" w:type="dxa"/>
            <w:vAlign w:val="bottom"/>
          </w:tcPr>
          <w:p>
            <w:pPr>
              <w:spacing w:after="0"/>
              <w:rPr>
                <w:sz w:val="16"/>
                <w:szCs w:val="16"/>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Tranche 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Tranche 3</w:t>
            </w:r>
          </w:p>
        </w:tc>
      </w:tr>
      <w:tr>
        <w:trPr>
          <w:trHeight w:val="52"/>
        </w:trPr>
        <w:tc>
          <w:tcPr>
            <w:tcW w:w="1300" w:type="dxa"/>
            <w:vAlign w:val="bottom"/>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options</w:t>
            </w:r>
          </w:p>
        </w:tc>
        <w:tc>
          <w:tcPr>
            <w:tcW w:w="20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33,333</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33,333</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33,334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Exercise price</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0.50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0.50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 date</w:t>
            </w:r>
          </w:p>
        </w:tc>
        <w:tc>
          <w:tcPr>
            <w:tcW w:w="312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14/03/2021</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w w:val="97"/>
              </w:rPr>
              <w:t>14/03/2021</w:t>
            </w:r>
          </w:p>
        </w:tc>
        <w:tc>
          <w:tcPr>
            <w:tcW w:w="124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14/03/2021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Expiry date</w:t>
            </w:r>
          </w:p>
        </w:tc>
        <w:tc>
          <w:tcPr>
            <w:tcW w:w="3120" w:type="dxa"/>
            <w:vAlign w:val="bottom"/>
            <w:gridSpan w:val="3"/>
          </w:tcPr>
          <w:p>
            <w:pPr>
              <w:jc w:val="right"/>
              <w:ind w:right="73"/>
              <w:spacing w:after="0"/>
              <w:rPr>
                <w:sz w:val="20"/>
                <w:szCs w:val="20"/>
                <w:color w:val="auto"/>
              </w:rPr>
            </w:pPr>
            <w:r>
              <w:rPr>
                <w:rFonts w:ascii="Arial" w:cs="Arial" w:eastAsia="Arial" w:hAnsi="Arial"/>
                <w:sz w:val="18"/>
                <w:szCs w:val="18"/>
                <w:color w:val="auto"/>
              </w:rPr>
              <w:t>14/03/2031</w:t>
            </w:r>
          </w:p>
        </w:tc>
        <w:tc>
          <w:tcPr>
            <w:tcW w:w="160" w:type="dxa"/>
            <w:vAlign w:val="bottom"/>
          </w:tcPr>
          <w:p>
            <w:pPr>
              <w:spacing w:after="0"/>
              <w:rPr>
                <w:sz w:val="23"/>
                <w:szCs w:val="23"/>
                <w:color w:val="auto"/>
              </w:rPr>
            </w:pPr>
          </w:p>
        </w:tc>
        <w:tc>
          <w:tcPr>
            <w:tcW w:w="1060" w:type="dxa"/>
            <w:vAlign w:val="bottom"/>
            <w:gridSpan w:val="2"/>
          </w:tcPr>
          <w:p>
            <w:pPr>
              <w:jc w:val="right"/>
              <w:ind w:right="73"/>
              <w:spacing w:after="0"/>
              <w:rPr>
                <w:sz w:val="20"/>
                <w:szCs w:val="20"/>
                <w:color w:val="auto"/>
              </w:rPr>
            </w:pPr>
            <w:r>
              <w:rPr>
                <w:rFonts w:ascii="Arial" w:cs="Arial" w:eastAsia="Arial" w:hAnsi="Arial"/>
                <w:sz w:val="18"/>
                <w:szCs w:val="18"/>
                <w:color w:val="auto"/>
                <w:w w:val="97"/>
              </w:rPr>
              <w:t>14/03/2031</w:t>
            </w:r>
          </w:p>
        </w:tc>
        <w:tc>
          <w:tcPr>
            <w:tcW w:w="1240" w:type="dxa"/>
            <w:vAlign w:val="bottom"/>
            <w:gridSpan w:val="3"/>
          </w:tcPr>
          <w:p>
            <w:pPr>
              <w:jc w:val="right"/>
              <w:ind w:right="73"/>
              <w:spacing w:after="0"/>
              <w:rPr>
                <w:sz w:val="20"/>
                <w:szCs w:val="20"/>
                <w:color w:val="auto"/>
              </w:rPr>
            </w:pPr>
            <w:r>
              <w:rPr>
                <w:rFonts w:ascii="Arial" w:cs="Arial" w:eastAsia="Arial" w:hAnsi="Arial"/>
                <w:sz w:val="18"/>
                <w:szCs w:val="18"/>
                <w:color w:val="auto"/>
              </w:rPr>
              <w:t>14/03/2031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Vesting date</w:t>
            </w:r>
          </w:p>
        </w:tc>
        <w:tc>
          <w:tcPr>
            <w:tcW w:w="312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24/02/2022</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w w:val="97"/>
              </w:rPr>
              <w:t>24/02/2023</w:t>
            </w:r>
          </w:p>
        </w:tc>
        <w:tc>
          <w:tcPr>
            <w:tcW w:w="1240" w:type="dxa"/>
            <w:vAlign w:val="bottom"/>
            <w:tcBorders>
              <w:bottom w:val="single" w:sz="8" w:color="CCEEFF"/>
            </w:tcBorders>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24/02/2024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Volatility</w:t>
            </w:r>
          </w:p>
        </w:tc>
        <w:tc>
          <w:tcPr>
            <w:tcW w:w="2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96.28%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0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2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2.4101</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2.4811</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2.5277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0" w:type="dxa"/>
            <w:vAlign w:val="bottom"/>
            <w:gridSpan w:val="2"/>
          </w:tcPr>
          <w:p>
            <w:pPr>
              <w:jc w:val="right"/>
              <w:ind w:right="660"/>
              <w:spacing w:after="0"/>
              <w:rPr>
                <w:sz w:val="20"/>
                <w:szCs w:val="20"/>
                <w:color w:val="auto"/>
              </w:rPr>
            </w:pPr>
            <w:r>
              <w:rPr>
                <w:rFonts w:ascii="Arial" w:cs="Arial" w:eastAsia="Arial" w:hAnsi="Arial"/>
                <w:sz w:val="18"/>
                <w:szCs w:val="18"/>
                <w:color w:val="auto"/>
              </w:rPr>
              <w:t>F-40</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-2271395</wp:posOffset>
            </wp:positionV>
            <wp:extent cx="10287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-2271395</wp:posOffset>
            </wp:positionV>
            <wp:extent cx="10287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-2271395</wp:posOffset>
            </wp:positionV>
            <wp:extent cx="514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71" w:name="page172"/>
    <w:bookmarkEnd w:id="17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28</w:t>
      </w:r>
      <w:r>
        <w:rPr>
          <w:sz w:val="20"/>
          <w:szCs w:val="20"/>
          <w:color w:val="auto"/>
        </w:rPr>
        <w:tab/>
      </w:r>
      <w:r>
        <w:rPr>
          <w:rFonts w:ascii="Arial" w:cs="Arial" w:eastAsia="Arial" w:hAnsi="Arial"/>
          <w:sz w:val="16"/>
          <w:szCs w:val="16"/>
          <w:b w:val="1"/>
          <w:bCs w:val="1"/>
          <w:color w:val="auto"/>
        </w:rPr>
        <w:t>Share-based payments (continued)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PERFORMANCE RIGHTS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summary of movements of all performance rights issued is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on issue</w:t>
            </w: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940" w:type="dxa"/>
            <w:vAlign w:val="bottom"/>
          </w:tcPr>
          <w:p>
            <w:pPr>
              <w:jc w:val="right"/>
              <w:ind w:right="193"/>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53"/>
        </w:trPr>
        <w:tc>
          <w:tcPr>
            <w:tcW w:w="6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Performance rights outstanding as at 1 July 2018</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1,645,833</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895,833</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1,750,000</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Expired</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Performance rights outstanding as at 30 June 2019</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3,395,833</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895,833</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Vested</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1,500,000</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Performance rights outstanding as at 30 June 2020</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3,395,833</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2,395,833</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3,500,000</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(1,000,000)</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(3,558,865)</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(3,558,865)</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Settled</w:t>
            </w:r>
          </w:p>
        </w:tc>
        <w:tc>
          <w:tcPr>
            <w:tcW w:w="1060" w:type="dxa"/>
            <w:vAlign w:val="bottom"/>
          </w:tcPr>
          <w:p>
            <w:pPr>
              <w:jc w:val="right"/>
              <w:spacing w:after="0"/>
              <w:rPr>
                <w:sz w:val="20"/>
                <w:szCs w:val="20"/>
                <w:color w:val="auto"/>
              </w:rPr>
            </w:pPr>
            <w:r>
              <w:rPr>
                <w:rFonts w:ascii="Arial" w:cs="Arial" w:eastAsia="Arial" w:hAnsi="Arial"/>
                <w:sz w:val="18"/>
                <w:szCs w:val="18"/>
                <w:color w:val="auto"/>
              </w:rPr>
              <w:t>(736,968)</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(736,968)</w:t>
            </w: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rights outstanding as at 30 June 2021</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1,600,000</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1,600,000</w:t>
            </w:r>
          </w:p>
        </w:tc>
        <w:tc>
          <w:tcPr>
            <w:tcW w:w="0" w:type="dxa"/>
            <w:vAlign w:val="bottom"/>
          </w:tcPr>
          <w:p>
            <w:pPr>
              <w:spacing w:after="0"/>
              <w:rPr>
                <w:sz w:val="1"/>
                <w:szCs w:val="1"/>
                <w:color w:val="auto"/>
              </w:rPr>
            </w:pPr>
          </w:p>
        </w:tc>
      </w:tr>
      <w:tr>
        <w:trPr>
          <w:trHeight w:val="54"/>
        </w:trPr>
        <w:tc>
          <w:tcPr>
            <w:tcW w:w="61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-2691130</wp:posOffset>
            </wp:positionV>
            <wp:extent cx="18034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-2691130</wp:posOffset>
            </wp:positionV>
            <wp:extent cx="939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4"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During the financial year 3,500,000 performance rights (convertible to ordinary shares on a 1:1 basis) were granted to Chris Burns, CEO (1,500,000), Nick Liveris, CFO (750,000) and other employees (1,250,000). The value of each performance right was determined with reference to the market value of the underlying securities on grant date of $1.06. An expense of $2,952,676 has been recognised in the year ended 30 June 2021. Further details of the performance rights are set out in the table below:</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Vesting date</w:t>
            </w:r>
          </w:p>
        </w:tc>
        <w:tc>
          <w:tcPr>
            <w:tcW w:w="1400" w:type="dxa"/>
            <w:vAlign w:val="bottom"/>
          </w:tcPr>
          <w:p>
            <w:pPr>
              <w:jc w:val="right"/>
              <w:ind w:right="393"/>
              <w:spacing w:after="0"/>
              <w:rPr>
                <w:sz w:val="20"/>
                <w:szCs w:val="20"/>
                <w:color w:val="auto"/>
              </w:rPr>
            </w:pPr>
            <w:r>
              <w:rPr>
                <w:rFonts w:ascii="Arial" w:cs="Arial" w:eastAsia="Arial" w:hAnsi="Arial"/>
                <w:sz w:val="14"/>
                <w:szCs w:val="14"/>
                <w:b w:val="1"/>
                <w:bCs w:val="1"/>
                <w:color w:val="auto"/>
              </w:rPr>
              <w:t>Expiry</w:t>
            </w:r>
          </w:p>
        </w:tc>
      </w:tr>
      <w:tr>
        <w:trPr>
          <w:trHeight w:val="53"/>
        </w:trPr>
        <w:tc>
          <w:tcPr>
            <w:tcW w:w="38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311"/>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14 December 2020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2,250,000</w:t>
            </w:r>
          </w:p>
        </w:tc>
        <w:tc>
          <w:tcPr>
            <w:tcW w:w="34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 January 2021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June 2022</w:t>
            </w:r>
          </w:p>
        </w:tc>
      </w:tr>
      <w:tr>
        <w:trPr>
          <w:trHeight w:val="270"/>
        </w:trPr>
        <w:tc>
          <w:tcPr>
            <w:tcW w:w="4240" w:type="dxa"/>
            <w:vAlign w:val="bottom"/>
            <w:gridSpan w:val="2"/>
          </w:tcPr>
          <w:p>
            <w:pPr>
              <w:spacing w:after="0"/>
              <w:rPr>
                <w:sz w:val="20"/>
                <w:szCs w:val="20"/>
                <w:color w:val="auto"/>
              </w:rPr>
            </w:pPr>
            <w:r>
              <w:rPr>
                <w:rFonts w:ascii="Arial" w:cs="Arial" w:eastAsia="Arial" w:hAnsi="Arial"/>
                <w:sz w:val="18"/>
                <w:szCs w:val="18"/>
                <w:color w:val="auto"/>
              </w:rPr>
              <w:t>14 December 2020</w:t>
            </w:r>
          </w:p>
        </w:tc>
        <w:tc>
          <w:tcPr>
            <w:tcW w:w="74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23"/>
                <w:szCs w:val="23"/>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 December 2021</w:t>
            </w:r>
          </w:p>
        </w:tc>
        <w:tc>
          <w:tcPr>
            <w:tcW w:w="1400" w:type="dxa"/>
            <w:vAlign w:val="bottom"/>
          </w:tcPr>
          <w:p>
            <w:pPr>
              <w:jc w:val="right"/>
              <w:spacing w:after="0"/>
              <w:rPr>
                <w:sz w:val="20"/>
                <w:szCs w:val="20"/>
                <w:color w:val="auto"/>
              </w:rPr>
            </w:pPr>
            <w:r>
              <w:rPr>
                <w:rFonts w:ascii="Arial" w:cs="Arial" w:eastAsia="Arial" w:hAnsi="Arial"/>
                <w:sz w:val="18"/>
                <w:szCs w:val="18"/>
                <w:color w:val="auto"/>
                <w:w w:val="90"/>
              </w:rPr>
              <w:t>11 December 2025</w:t>
            </w:r>
          </w:p>
        </w:tc>
      </w:tr>
      <w:tr>
        <w:trPr>
          <w:trHeight w:val="54"/>
        </w:trPr>
        <w:tc>
          <w:tcPr>
            <w:tcW w:w="3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304"/>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14 December 2020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11 December 2022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 December 2025</w:t>
            </w:r>
          </w:p>
        </w:tc>
      </w:tr>
      <w:tr>
        <w:trPr>
          <w:trHeight w:val="270"/>
        </w:trPr>
        <w:tc>
          <w:tcPr>
            <w:tcW w:w="4240" w:type="dxa"/>
            <w:vAlign w:val="bottom"/>
            <w:gridSpan w:val="2"/>
          </w:tcPr>
          <w:p>
            <w:pPr>
              <w:spacing w:after="0"/>
              <w:rPr>
                <w:sz w:val="20"/>
                <w:szCs w:val="20"/>
                <w:color w:val="auto"/>
              </w:rPr>
            </w:pPr>
            <w:r>
              <w:rPr>
                <w:rFonts w:ascii="Arial" w:cs="Arial" w:eastAsia="Arial" w:hAnsi="Arial"/>
                <w:sz w:val="18"/>
                <w:szCs w:val="18"/>
                <w:color w:val="auto"/>
              </w:rPr>
              <w:t>14 December 2020</w:t>
            </w:r>
          </w:p>
        </w:tc>
        <w:tc>
          <w:tcPr>
            <w:tcW w:w="74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23"/>
                <w:szCs w:val="23"/>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 December 2023</w:t>
            </w:r>
          </w:p>
        </w:tc>
        <w:tc>
          <w:tcPr>
            <w:tcW w:w="1400" w:type="dxa"/>
            <w:vAlign w:val="bottom"/>
          </w:tcPr>
          <w:p>
            <w:pPr>
              <w:jc w:val="right"/>
              <w:spacing w:after="0"/>
              <w:rPr>
                <w:sz w:val="20"/>
                <w:szCs w:val="20"/>
                <w:color w:val="auto"/>
              </w:rPr>
            </w:pPr>
            <w:r>
              <w:rPr>
                <w:rFonts w:ascii="Arial" w:cs="Arial" w:eastAsia="Arial" w:hAnsi="Arial"/>
                <w:sz w:val="18"/>
                <w:szCs w:val="18"/>
                <w:color w:val="auto"/>
                <w:w w:val="90"/>
              </w:rPr>
              <w:t>11 December 2025</w:t>
            </w:r>
          </w:p>
        </w:tc>
      </w:tr>
      <w:tr>
        <w:trPr>
          <w:trHeight w:val="54"/>
        </w:trPr>
        <w:tc>
          <w:tcPr>
            <w:tcW w:w="3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304"/>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14 December 2020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11 December 2024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 December 2025</w:t>
            </w:r>
          </w:p>
        </w:tc>
      </w:tr>
      <w:tr>
        <w:trPr>
          <w:trHeight w:val="270"/>
        </w:trPr>
        <w:tc>
          <w:tcPr>
            <w:tcW w:w="4240" w:type="dxa"/>
            <w:vAlign w:val="bottom"/>
            <w:gridSpan w:val="2"/>
          </w:tcPr>
          <w:p>
            <w:pPr>
              <w:spacing w:after="0"/>
              <w:rPr>
                <w:sz w:val="20"/>
                <w:szCs w:val="20"/>
                <w:color w:val="auto"/>
              </w:rPr>
            </w:pPr>
            <w:r>
              <w:rPr>
                <w:rFonts w:ascii="Arial" w:cs="Arial" w:eastAsia="Arial" w:hAnsi="Arial"/>
                <w:sz w:val="18"/>
                <w:szCs w:val="18"/>
                <w:color w:val="auto"/>
              </w:rPr>
              <w:t>14 December 2020</w:t>
            </w:r>
          </w:p>
        </w:tc>
        <w:tc>
          <w:tcPr>
            <w:tcW w:w="74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23"/>
                <w:szCs w:val="23"/>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14 December 2020</w:t>
            </w:r>
          </w:p>
        </w:tc>
        <w:tc>
          <w:tcPr>
            <w:tcW w:w="1400" w:type="dxa"/>
            <w:vAlign w:val="bottom"/>
          </w:tcPr>
          <w:p>
            <w:pPr>
              <w:jc w:val="right"/>
              <w:spacing w:after="0"/>
              <w:rPr>
                <w:sz w:val="20"/>
                <w:szCs w:val="20"/>
                <w:color w:val="auto"/>
              </w:rPr>
            </w:pPr>
            <w:r>
              <w:rPr>
                <w:rFonts w:ascii="Arial" w:cs="Arial" w:eastAsia="Arial" w:hAnsi="Arial"/>
                <w:sz w:val="18"/>
                <w:szCs w:val="18"/>
                <w:color w:val="auto"/>
              </w:rPr>
              <w:t>30 June 2022</w:t>
            </w:r>
          </w:p>
        </w:tc>
      </w:tr>
      <w:tr>
        <w:trPr>
          <w:trHeight w:val="54"/>
        </w:trPr>
        <w:tc>
          <w:tcPr>
            <w:tcW w:w="3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7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3,500,000</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54"/>
        </w:trPr>
        <w:tc>
          <w:tcPr>
            <w:tcW w:w="38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-1456690</wp:posOffset>
            </wp:positionV>
            <wp:extent cx="20574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-1456690</wp:posOffset>
            </wp:positionV>
            <wp:extent cx="21463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-1456690</wp:posOffset>
            </wp:positionV>
            <wp:extent cx="22288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1,000,000 performance rights were forfeited during the year as not all vesting conditions were met.</w:t>
      </w:r>
    </w:p>
    <w:p>
      <w:pPr>
        <w:spacing w:after="0" w:line="117" w:lineRule="exact"/>
        <w:rPr>
          <w:sz w:val="20"/>
          <w:szCs w:val="20"/>
          <w:color w:val="auto"/>
        </w:rPr>
      </w:pPr>
    </w:p>
    <w:p>
      <w:pPr>
        <w:ind w:left="300" w:right="719"/>
        <w:spacing w:after="0" w:line="263" w:lineRule="auto"/>
        <w:rPr>
          <w:sz w:val="20"/>
          <w:szCs w:val="20"/>
          <w:color w:val="auto"/>
        </w:rPr>
      </w:pPr>
      <w:r>
        <w:rPr>
          <w:rFonts w:ascii="Arial" w:cs="Arial" w:eastAsia="Arial" w:hAnsi="Arial"/>
          <w:sz w:val="18"/>
          <w:szCs w:val="18"/>
          <w:color w:val="auto"/>
        </w:rPr>
        <w:t>The Group entered into a separation agreement with Philip St Baker following his resignation on 23 September 2020, which included the offset of 736,968 performance rights against the settlement of a $1,500,000 limited resource loan (refer note 23(f)).</w:t>
      </w:r>
    </w:p>
    <w:p>
      <w:pPr>
        <w:spacing w:after="0" w:line="20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29</w:t>
      </w:r>
      <w:r>
        <w:rPr>
          <w:sz w:val="20"/>
          <w:szCs w:val="20"/>
          <w:color w:val="auto"/>
        </w:rPr>
        <w:tab/>
      </w:r>
      <w:r>
        <w:rPr>
          <w:rFonts w:ascii="Arial" w:cs="Arial" w:eastAsia="Arial" w:hAnsi="Arial"/>
          <w:sz w:val="16"/>
          <w:szCs w:val="16"/>
          <w:b w:val="1"/>
          <w:bCs w:val="1"/>
          <w:color w:val="auto"/>
        </w:rPr>
        <w:t>Events after the reporting date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Since the end of the financial year:</w:t>
      </w:r>
    </w:p>
    <w:p>
      <w:pPr>
        <w:spacing w:after="0" w:line="117" w:lineRule="exact"/>
        <w:rPr>
          <w:sz w:val="20"/>
          <w:szCs w:val="20"/>
          <w:color w:val="auto"/>
        </w:rPr>
      </w:pPr>
    </w:p>
    <w:p>
      <w:pPr>
        <w:ind w:left="640" w:right="379" w:hanging="348"/>
        <w:spacing w:after="0" w:line="263" w:lineRule="auto"/>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July 2021, NOVONIX has closed on the purchase of the previously mentioned 400,000+ square-foot facility in Chattanooga, Tennessee known locally as “Big Blue”, announced initially on 23 June 2021, for USD$41.5 million.</w:t>
      </w:r>
    </w:p>
    <w:p>
      <w:pPr>
        <w:spacing w:after="0" w:line="75" w:lineRule="exact"/>
        <w:rPr>
          <w:rFonts w:ascii="Arial" w:cs="Arial" w:eastAsia="Arial" w:hAnsi="Arial"/>
          <w:sz w:val="18"/>
          <w:szCs w:val="18"/>
          <w:color w:val="auto"/>
        </w:rPr>
      </w:pPr>
    </w:p>
    <w:p>
      <w:pPr>
        <w:ind w:left="640" w:right="359" w:hanging="348"/>
        <w:spacing w:after="0" w:line="270" w:lineRule="auto"/>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Phillips 66 announced a US$150 million strategic investment in NOVONIX for approximately 16% of the Company, advancing NOVONIX’s production of synthetic graphite for high-performance lithium-ion batteries. Phillips 66 will subscribe for 77,962,578 ordinary shares of NOVONIX for a purchase price of US$150 million (approx. AUD$203 million). This investment expands on a previous relationship with NOVONIX to develop state of the art technology under a DOE project awarded in 2021. The investment in NOVONIX will support scale up of its anode production facility and additional growth of the Anode Materials division as the Company looks to bring 40,000 MT of synthetic graphite anode material into service by 2025. Phillips 66 is a global producer of petroleum needle coke, and is a supplier to NOVONIX. The transaction was approved by NOVONIX shareholders on 24 September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024" w:gutter="0" w:footer="0" w:header="0"/>
        </w:sectPr>
      </w:pPr>
    </w:p>
    <w:bookmarkStart w:id="172" w:name="page173"/>
    <w:bookmarkEnd w:id="172"/>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29</w:t>
      </w:r>
      <w:r>
        <w:rPr>
          <w:sz w:val="20"/>
          <w:szCs w:val="20"/>
          <w:color w:val="auto"/>
        </w:rPr>
        <w:tab/>
      </w:r>
      <w:r>
        <w:rPr>
          <w:rFonts w:ascii="Arial" w:cs="Arial" w:eastAsia="Arial" w:hAnsi="Arial"/>
          <w:sz w:val="16"/>
          <w:szCs w:val="16"/>
          <w:b w:val="1"/>
          <w:bCs w:val="1"/>
          <w:color w:val="auto"/>
        </w:rPr>
        <w:t>Events after the reporting date (continued)</w:t>
      </w:r>
    </w:p>
    <w:p>
      <w:pPr>
        <w:spacing w:after="0" w:line="27" w:lineRule="exact"/>
        <w:rPr>
          <w:sz w:val="20"/>
          <w:szCs w:val="20"/>
          <w:color w:val="auto"/>
        </w:rPr>
      </w:pPr>
    </w:p>
    <w:p>
      <w:pPr>
        <w:ind w:left="1640" w:right="1720" w:hanging="348"/>
        <w:spacing w:after="0" w:line="260" w:lineRule="auto"/>
        <w:tabs>
          <w:tab w:leader="none" w:pos="1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NOVONIX continued work towards an initial public offering in the United States of American Depositary Shares (“ADS”), and concurrent listing of the ADSs on Nasdaq.</w:t>
      </w:r>
    </w:p>
    <w:p>
      <w:pPr>
        <w:spacing w:after="0" w:line="77" w:lineRule="exact"/>
        <w:rPr>
          <w:sz w:val="20"/>
          <w:szCs w:val="20"/>
          <w:color w:val="auto"/>
        </w:rPr>
      </w:pPr>
    </w:p>
    <w:p>
      <w:pPr>
        <w:ind w:left="1300" w:right="1660"/>
        <w:spacing w:after="0" w:line="263" w:lineRule="auto"/>
        <w:rPr>
          <w:sz w:val="20"/>
          <w:szCs w:val="20"/>
          <w:color w:val="auto"/>
        </w:rPr>
      </w:pPr>
      <w:r>
        <w:rPr>
          <w:rFonts w:ascii="Arial" w:cs="Arial" w:eastAsia="Arial" w:hAnsi="Arial"/>
          <w:sz w:val="18"/>
          <w:szCs w:val="18"/>
          <w:color w:val="auto"/>
        </w:rPr>
        <w:t>No matters or circumstances have arisen since the end of the financial year which significantly affected or could significantly affect the operations of the Company, the results of those operations or the state of affairs of the Company in future financial years.</w:t>
      </w:r>
    </w:p>
    <w:p>
      <w:pPr>
        <w:spacing w:after="0" w:line="22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30</w:t>
      </w:r>
      <w:r>
        <w:rPr>
          <w:sz w:val="20"/>
          <w:szCs w:val="20"/>
          <w:color w:val="auto"/>
        </w:rPr>
        <w:tab/>
      </w:r>
      <w:r>
        <w:rPr>
          <w:rFonts w:ascii="Arial" w:cs="Arial" w:eastAsia="Arial" w:hAnsi="Arial"/>
          <w:sz w:val="16"/>
          <w:szCs w:val="16"/>
          <w:b w:val="1"/>
          <w:bCs w:val="1"/>
          <w:color w:val="auto"/>
        </w:rPr>
        <w:t>Related party transactions</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During the financial year:</w:t>
      </w:r>
    </w:p>
    <w:p>
      <w:pPr>
        <w:spacing w:after="0" w:line="117" w:lineRule="exact"/>
        <w:rPr>
          <w:sz w:val="20"/>
          <w:szCs w:val="20"/>
          <w:color w:val="auto"/>
        </w:rPr>
      </w:pPr>
    </w:p>
    <w:p>
      <w:pPr>
        <w:ind w:left="1640" w:right="1580" w:hanging="348"/>
        <w:spacing w:after="0" w:line="275" w:lineRule="auto"/>
        <w:tabs>
          <w:tab w:leader="none" w:pos="16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On 14 December 2020, 2,250,000 performance rights (convertible to ordinary shares on a 1:1 basis) were granted to Chris Burns, CEO (1,500,000) and Nick Liveris, CFO (750,000). The performance rights were formally approved by shareholders at the AGM on 17 November 2020. The value of each performance right was determined to be $1.06, with a vesting date of 4 January 2021 and an expiry date of 30 June 2022. An expense of $2,044,286 has been recognised in the year ended 30 June 2021.</w:t>
      </w:r>
    </w:p>
    <w:p>
      <w:pPr>
        <w:spacing w:after="0" w:line="68" w:lineRule="exact"/>
        <w:rPr>
          <w:rFonts w:ascii="Arial" w:cs="Arial" w:eastAsia="Arial" w:hAnsi="Arial"/>
          <w:sz w:val="17"/>
          <w:szCs w:val="17"/>
          <w:color w:val="auto"/>
        </w:rPr>
      </w:pPr>
    </w:p>
    <w:p>
      <w:pPr>
        <w:ind w:left="1640" w:right="1380" w:hanging="348"/>
        <w:spacing w:after="0" w:line="308" w:lineRule="auto"/>
        <w:tabs>
          <w:tab w:leader="none" w:pos="16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Group entered into a separation agreement with Philip St Baker following his resignation on 23 September 2020, which included the settlement of a $1,500,000 limited resource loan. Refer note 22(f).</w:t>
      </w:r>
    </w:p>
    <w:p>
      <w:pPr>
        <w:spacing w:after="0" w:line="38" w:lineRule="exact"/>
        <w:rPr>
          <w:rFonts w:ascii="Arial" w:cs="Arial" w:eastAsia="Arial" w:hAnsi="Arial"/>
          <w:sz w:val="17"/>
          <w:szCs w:val="17"/>
          <w:color w:val="auto"/>
        </w:rPr>
      </w:pPr>
    </w:p>
    <w:p>
      <w:pPr>
        <w:ind w:left="1640" w:right="1700" w:hanging="348"/>
        <w:spacing w:after="0" w:line="277" w:lineRule="auto"/>
        <w:tabs>
          <w:tab w:leader="none" w:pos="16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On 16 March 2021 the following performance rights were exercised and converted into fully paid ordinary shares:</w:t>
      </w:r>
    </w:p>
    <w:p>
      <w:pPr>
        <w:spacing w:after="0" w:line="62" w:lineRule="exact"/>
        <w:rPr>
          <w:rFonts w:ascii="Arial" w:cs="Arial" w:eastAsia="Arial" w:hAnsi="Arial"/>
          <w:sz w:val="18"/>
          <w:szCs w:val="18"/>
          <w:color w:val="auto"/>
        </w:rPr>
      </w:pPr>
    </w:p>
    <w:p>
      <w:pPr>
        <w:ind w:left="2360" w:hanging="348"/>
        <w:spacing w:after="0"/>
        <w:tabs>
          <w:tab w:leader="none" w:pos="23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Greg Baynton (Director) – 300,000 performance rights</w:t>
      </w:r>
    </w:p>
    <w:p>
      <w:pPr>
        <w:spacing w:after="0" w:line="117" w:lineRule="exact"/>
        <w:rPr>
          <w:rFonts w:ascii="Arial" w:cs="Arial" w:eastAsia="Arial" w:hAnsi="Arial"/>
          <w:sz w:val="18"/>
          <w:szCs w:val="18"/>
          <w:color w:val="auto"/>
        </w:rPr>
      </w:pPr>
    </w:p>
    <w:p>
      <w:pPr>
        <w:ind w:left="2360" w:hanging="348"/>
        <w:spacing w:after="0"/>
        <w:tabs>
          <w:tab w:leader="none" w:pos="23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Chris Burns (CEO) – 1,800,000 performance rights</w:t>
      </w:r>
    </w:p>
    <w:p>
      <w:pPr>
        <w:spacing w:after="0" w:line="117" w:lineRule="exact"/>
        <w:rPr>
          <w:rFonts w:ascii="Arial" w:cs="Arial" w:eastAsia="Arial" w:hAnsi="Arial"/>
          <w:sz w:val="18"/>
          <w:szCs w:val="18"/>
          <w:color w:val="auto"/>
        </w:rPr>
      </w:pPr>
    </w:p>
    <w:p>
      <w:pPr>
        <w:ind w:left="2360" w:hanging="348"/>
        <w:spacing w:after="0"/>
        <w:tabs>
          <w:tab w:leader="none" w:pos="23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Nicholas Liveris (CFO) – 900,000 performance rights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There were no other related party transactions during the financial year.</w:t>
      </w:r>
    </w:p>
    <w:p>
      <w:pPr>
        <w:spacing w:after="0" w:line="262"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31</w:t>
      </w:r>
      <w:r>
        <w:rPr>
          <w:sz w:val="20"/>
          <w:szCs w:val="20"/>
          <w:color w:val="auto"/>
        </w:rPr>
        <w:tab/>
      </w:r>
      <w:r>
        <w:rPr>
          <w:rFonts w:ascii="Arial" w:cs="Arial" w:eastAsia="Arial" w:hAnsi="Arial"/>
          <w:sz w:val="16"/>
          <w:szCs w:val="16"/>
          <w:b w:val="1"/>
          <w:bCs w:val="1"/>
          <w:color w:val="auto"/>
        </w:rPr>
        <w:t>Commitments</w:t>
      </w:r>
    </w:p>
    <w:p>
      <w:pPr>
        <w:spacing w:after="0" w:line="117"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Exploration commitments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gridSpan w:val="3"/>
          </w:tcPr>
          <w:p>
            <w:pPr>
              <w:jc w:val="right"/>
              <w:ind w:right="282"/>
              <w:spacing w:after="0"/>
              <w:rPr>
                <w:sz w:val="20"/>
                <w:szCs w:val="20"/>
                <w:color w:val="auto"/>
              </w:rPr>
            </w:pPr>
            <w:r>
              <w:rPr>
                <w:rFonts w:ascii="Arial" w:cs="Arial" w:eastAsia="Arial" w:hAnsi="Arial"/>
                <w:sz w:val="14"/>
                <w:szCs w:val="14"/>
                <w:b w:val="1"/>
                <w:bCs w:val="1"/>
                <w:color w:val="auto"/>
              </w:rPr>
              <w:t>Consolidated</w:t>
            </w:r>
          </w:p>
        </w:tc>
      </w:tr>
      <w:tr>
        <w:trPr>
          <w:trHeight w:val="53"/>
        </w:trPr>
        <w:tc>
          <w:tcPr>
            <w:tcW w:w="6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187"/>
        </w:trPr>
        <w:tc>
          <w:tcPr>
            <w:tcW w:w="6420" w:type="dxa"/>
            <w:vAlign w:val="bottom"/>
          </w:tcPr>
          <w:p>
            <w:pPr>
              <w:spacing w:after="0"/>
              <w:rPr>
                <w:sz w:val="16"/>
                <w:szCs w:val="16"/>
                <w:color w:val="auto"/>
              </w:rPr>
            </w:pPr>
          </w:p>
        </w:tc>
        <w:tc>
          <w:tcPr>
            <w:tcW w:w="960" w:type="dxa"/>
            <w:vAlign w:val="bottom"/>
            <w:gridSpan w:val="2"/>
          </w:tcPr>
          <w:p>
            <w:pPr>
              <w:jc w:val="center"/>
              <w:ind w:left="362"/>
              <w:spacing w:after="0"/>
              <w:rPr>
                <w:sz w:val="20"/>
                <w:szCs w:val="20"/>
                <w:color w:val="auto"/>
              </w:rPr>
            </w:pPr>
            <w:r>
              <w:rPr>
                <w:rFonts w:ascii="Arial" w:cs="Arial" w:eastAsia="Arial" w:hAnsi="Arial"/>
                <w:sz w:val="14"/>
                <w:szCs w:val="14"/>
                <w:b w:val="1"/>
                <w:bCs w:val="1"/>
                <w:color w:val="auto"/>
                <w:w w:val="89"/>
              </w:rPr>
              <w:t>2021</w:t>
            </w:r>
          </w:p>
        </w:tc>
        <w:tc>
          <w:tcPr>
            <w:tcW w:w="640" w:type="dxa"/>
            <w:vAlign w:val="bottom"/>
          </w:tcPr>
          <w:p>
            <w:pPr>
              <w:spacing w:after="0"/>
              <w:rPr>
                <w:sz w:val="16"/>
                <w:szCs w:val="16"/>
                <w:color w:val="auto"/>
              </w:rPr>
            </w:pPr>
          </w:p>
        </w:tc>
        <w:tc>
          <w:tcPr>
            <w:tcW w:w="400" w:type="dxa"/>
            <w:vAlign w:val="bottom"/>
          </w:tcPr>
          <w:p>
            <w:pPr>
              <w:jc w:val="right"/>
              <w:ind w:right="2"/>
              <w:spacing w:after="0"/>
              <w:rPr>
                <w:sz w:val="20"/>
                <w:szCs w:val="20"/>
                <w:color w:val="auto"/>
              </w:rPr>
            </w:pPr>
            <w:r>
              <w:rPr>
                <w:rFonts w:ascii="Arial" w:cs="Arial" w:eastAsia="Arial" w:hAnsi="Arial"/>
                <w:sz w:val="14"/>
                <w:szCs w:val="14"/>
                <w:color w:val="auto"/>
                <w:w w:val="96"/>
              </w:rPr>
              <w:t>2020</w:t>
            </w:r>
          </w:p>
        </w:tc>
      </w:tr>
      <w:tr>
        <w:trPr>
          <w:trHeight w:val="186"/>
        </w:trPr>
        <w:tc>
          <w:tcPr>
            <w:tcW w:w="6420" w:type="dxa"/>
            <w:vAlign w:val="bottom"/>
          </w:tcPr>
          <w:p>
            <w:pPr>
              <w:spacing w:after="0"/>
              <w:rPr>
                <w:sz w:val="16"/>
                <w:szCs w:val="16"/>
                <w:color w:val="auto"/>
              </w:rPr>
            </w:pPr>
          </w:p>
        </w:tc>
        <w:tc>
          <w:tcPr>
            <w:tcW w:w="96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6"/>
                <w:szCs w:val="16"/>
                <w:color w:val="auto"/>
              </w:rPr>
            </w:pPr>
          </w:p>
        </w:tc>
        <w:tc>
          <w:tcPr>
            <w:tcW w:w="400" w:type="dxa"/>
            <w:vAlign w:val="bottom"/>
          </w:tcPr>
          <w:p>
            <w:pPr>
              <w:jc w:val="right"/>
              <w:ind w:right="102"/>
              <w:spacing w:after="0"/>
              <w:rPr>
                <w:sz w:val="20"/>
                <w:szCs w:val="20"/>
                <w:color w:val="auto"/>
              </w:rPr>
            </w:pPr>
            <w:r>
              <w:rPr>
                <w:rFonts w:ascii="Arial" w:cs="Arial" w:eastAsia="Arial" w:hAnsi="Arial"/>
                <w:sz w:val="14"/>
                <w:szCs w:val="14"/>
                <w:color w:val="auto"/>
              </w:rPr>
              <w:t>$</w:t>
            </w:r>
          </w:p>
        </w:tc>
      </w:tr>
      <w:tr>
        <w:trPr>
          <w:trHeight w:val="52"/>
        </w:trPr>
        <w:tc>
          <w:tcPr>
            <w:tcW w:w="64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4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w w:val="97"/>
              </w:rPr>
              <w:t>Commitments for payments under exploration permits in existence at the reporting</w:t>
            </w:r>
          </w:p>
        </w:tc>
        <w:tc>
          <w:tcPr>
            <w:tcW w:w="4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37"/>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date but not recognised as liabilities payable</w:t>
            </w:r>
          </w:p>
        </w:tc>
        <w:tc>
          <w:tcPr>
            <w:tcW w:w="960" w:type="dxa"/>
            <w:vAlign w:val="bottom"/>
            <w:gridSpan w:val="2"/>
            <w:shd w:val="clear" w:color="auto" w:fill="CCEEFF"/>
          </w:tcPr>
          <w:p>
            <w:pPr>
              <w:jc w:val="center"/>
              <w:ind w:left="402"/>
              <w:spacing w:after="0"/>
              <w:rPr>
                <w:sz w:val="20"/>
                <w:szCs w:val="20"/>
                <w:color w:val="auto"/>
              </w:rPr>
            </w:pPr>
            <w:r>
              <w:rPr>
                <w:rFonts w:ascii="Arial" w:cs="Arial" w:eastAsia="Arial" w:hAnsi="Arial"/>
                <w:sz w:val="18"/>
                <w:szCs w:val="18"/>
                <w:color w:val="auto"/>
                <w:w w:val="87"/>
              </w:rPr>
              <w:t>13,000</w:t>
            </w: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6,000</w:t>
            </w:r>
          </w:p>
        </w:tc>
      </w:tr>
      <w:tr>
        <w:trPr>
          <w:trHeight w:val="27"/>
        </w:trPr>
        <w:tc>
          <w:tcPr>
            <w:tcW w:w="64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-351155</wp:posOffset>
            </wp:positionV>
            <wp:extent cx="39433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-351155</wp:posOffset>
            </wp:positionV>
            <wp:extent cx="19748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74" w:lineRule="exact"/>
        <w:rPr>
          <w:sz w:val="20"/>
          <w:szCs w:val="20"/>
          <w:color w:val="auto"/>
        </w:rPr>
      </w:pPr>
    </w:p>
    <w:p>
      <w:pPr>
        <w:ind w:left="1300" w:right="1380"/>
        <w:spacing w:after="0" w:line="259" w:lineRule="auto"/>
        <w:rPr>
          <w:sz w:val="20"/>
          <w:szCs w:val="20"/>
          <w:color w:val="auto"/>
        </w:rPr>
      </w:pPr>
      <w:r>
        <w:rPr>
          <w:rFonts w:ascii="Arial" w:cs="Arial" w:eastAsia="Arial" w:hAnsi="Arial"/>
          <w:sz w:val="18"/>
          <w:szCs w:val="18"/>
          <w:color w:val="auto"/>
        </w:rPr>
        <w:t>So as to maintain current rights to tenure of various exploration tenements, the Group will be required to outlay amounts in respect of tenement exploration expenditure commitments. These outlays, which arise in relation to granted tenements are noted above. The outlays may be varied from time to time, subject to approval of the relevant government departments, and may be relieved if a tenement is relinquished.</w:t>
      </w:r>
    </w:p>
    <w:p>
      <w:pPr>
        <w:spacing w:after="0" w:line="79" w:lineRule="exact"/>
        <w:rPr>
          <w:sz w:val="20"/>
          <w:szCs w:val="20"/>
          <w:color w:val="auto"/>
        </w:rPr>
      </w:pPr>
    </w:p>
    <w:p>
      <w:pPr>
        <w:ind w:left="1300" w:right="1300"/>
        <w:spacing w:after="0" w:line="259" w:lineRule="auto"/>
        <w:rPr>
          <w:sz w:val="20"/>
          <w:szCs w:val="20"/>
          <w:color w:val="auto"/>
        </w:rPr>
      </w:pPr>
      <w:r>
        <w:rPr>
          <w:rFonts w:ascii="Arial" w:cs="Arial" w:eastAsia="Arial" w:hAnsi="Arial"/>
          <w:sz w:val="18"/>
          <w:szCs w:val="18"/>
          <w:color w:val="auto"/>
        </w:rPr>
        <w:t>Exploration commitments are calculated on the assumption that each of these tenements will be held for its full term. But, in fact, commitments will decrease materially as exploration advances and ground that is shown to be unprospective is progressively surrendered. Expenditure commitments on prospective ground will be met out of existing funds, farm-outs, and new capital raisings.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  Capital commitments</w:t>
      </w:r>
    </w:p>
    <w:p>
      <w:pPr>
        <w:spacing w:after="0" w:line="121" w:lineRule="exact"/>
        <w:rPr>
          <w:sz w:val="20"/>
          <w:szCs w:val="20"/>
          <w:color w:val="auto"/>
        </w:rPr>
      </w:pPr>
    </w:p>
    <w:p>
      <w:pPr>
        <w:ind w:left="1300" w:right="1420"/>
        <w:spacing w:after="0" w:line="277" w:lineRule="auto"/>
        <w:rPr>
          <w:sz w:val="20"/>
          <w:szCs w:val="20"/>
          <w:color w:val="auto"/>
        </w:rPr>
      </w:pPr>
      <w:r>
        <w:rPr>
          <w:rFonts w:ascii="Arial" w:cs="Arial" w:eastAsia="Arial" w:hAnsi="Arial"/>
          <w:sz w:val="18"/>
          <w:szCs w:val="18"/>
          <w:color w:val="auto"/>
        </w:rPr>
        <w:t>Significant capital expenditure contracted for at the end of the reporting period but not recognised as liabilities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w w:val="87"/>
              </w:rPr>
              <w:t>Consolidated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2"/>
        </w:trPr>
        <w:tc>
          <w:tcPr>
            <w:tcW w:w="1300" w:type="dxa"/>
            <w:vAlign w:val="bottom"/>
          </w:tcPr>
          <w:p>
            <w:pPr>
              <w:spacing w:after="0"/>
              <w:rPr>
                <w:sz w:val="4"/>
                <w:szCs w:val="4"/>
                <w:color w:val="auto"/>
              </w:rPr>
            </w:pPr>
          </w:p>
        </w:tc>
        <w:tc>
          <w:tcPr>
            <w:tcW w:w="31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187"/>
        </w:trPr>
        <w:tc>
          <w:tcPr>
            <w:tcW w:w="1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7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300" w:type="dxa"/>
            <w:vAlign w:val="bottom"/>
            <w:gridSpan w:val="3"/>
          </w:tcPr>
          <w:p>
            <w:pPr>
              <w:jc w:val="center"/>
              <w:spacing w:after="0"/>
              <w:rPr>
                <w:sz w:val="20"/>
                <w:szCs w:val="20"/>
                <w:color w:val="auto"/>
              </w:rPr>
            </w:pPr>
            <w:r>
              <w:rPr>
                <w:rFonts w:ascii="Arial" w:cs="Arial" w:eastAsia="Arial" w:hAnsi="Arial"/>
                <w:sz w:val="14"/>
                <w:szCs w:val="14"/>
                <w:color w:val="auto"/>
                <w:w w:val="96"/>
              </w:rPr>
              <w:t>2020</w:t>
            </w:r>
          </w:p>
        </w:tc>
        <w:tc>
          <w:tcPr>
            <w:tcW w:w="1300" w:type="dxa"/>
            <w:vAlign w:val="bottom"/>
          </w:tcPr>
          <w:p>
            <w:pPr>
              <w:spacing w:after="0"/>
              <w:rPr>
                <w:sz w:val="16"/>
                <w:szCs w:val="16"/>
                <w:color w:val="auto"/>
              </w:rPr>
            </w:pPr>
          </w:p>
        </w:tc>
      </w:tr>
      <w:tr>
        <w:trPr>
          <w:trHeight w:val="186"/>
        </w:trPr>
        <w:tc>
          <w:tcPr>
            <w:tcW w:w="1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72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220" w:type="dxa"/>
            <w:vAlign w:val="bottom"/>
            <w:gridSpan w:val="2"/>
          </w:tcPr>
          <w:p>
            <w:pPr>
              <w:jc w:val="center"/>
              <w:ind w:left="8"/>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2"/>
        </w:trPr>
        <w:tc>
          <w:tcPr>
            <w:tcW w:w="1300" w:type="dxa"/>
            <w:vAlign w:val="bottom"/>
          </w:tcPr>
          <w:p>
            <w:pPr>
              <w:spacing w:after="0"/>
              <w:rPr>
                <w:sz w:val="4"/>
                <w:szCs w:val="4"/>
                <w:color w:val="auto"/>
              </w:rPr>
            </w:pPr>
          </w:p>
        </w:tc>
        <w:tc>
          <w:tcPr>
            <w:tcW w:w="3100" w:type="dxa"/>
            <w:vAlign w:val="bottom"/>
            <w:tcBorders>
              <w:bottom w:val="single" w:sz="8" w:color="CCEEFF"/>
            </w:tcBorders>
          </w:tcPr>
          <w:p>
            <w:pPr>
              <w:spacing w:after="0"/>
              <w:rPr>
                <w:sz w:val="4"/>
                <w:szCs w:val="4"/>
                <w:color w:val="auto"/>
              </w:rPr>
            </w:pPr>
          </w:p>
        </w:tc>
        <w:tc>
          <w:tcPr>
            <w:tcW w:w="39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10,182,218</w:t>
            </w: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3920" w:type="dxa"/>
            <w:vAlign w:val="bottom"/>
            <w:tcBorders>
              <w:top w:val="single" w:sz="8" w:color="CCEEFF"/>
            </w:tcBorders>
          </w:tcPr>
          <w:p>
            <w:pPr>
              <w:ind w:left="940"/>
              <w:spacing w:after="0"/>
              <w:rPr>
                <w:sz w:val="20"/>
                <w:szCs w:val="20"/>
                <w:color w:val="auto"/>
              </w:rPr>
            </w:pPr>
            <w:r>
              <w:rPr>
                <w:rFonts w:ascii="Arial" w:cs="Arial" w:eastAsia="Arial" w:hAnsi="Arial"/>
                <w:sz w:val="18"/>
                <w:szCs w:val="18"/>
                <w:color w:val="auto"/>
              </w:rPr>
              <w:t>F-42</w:t>
            </w:r>
          </w:p>
        </w:tc>
        <w:tc>
          <w:tcPr>
            <w:tcW w:w="80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5792470</wp:posOffset>
            </wp:positionH>
            <wp:positionV relativeFrom="paragraph">
              <wp:posOffset>-633730</wp:posOffset>
            </wp:positionV>
            <wp:extent cx="18859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-633730</wp:posOffset>
            </wp:positionV>
            <wp:extent cx="939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73" w:name="page174"/>
    <w:bookmarkEnd w:id="173"/>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32</w:t>
      </w:r>
      <w:r>
        <w:rPr>
          <w:sz w:val="20"/>
          <w:szCs w:val="20"/>
          <w:color w:val="auto"/>
        </w:rPr>
        <w:tab/>
      </w:r>
      <w:r>
        <w:rPr>
          <w:rFonts w:ascii="Arial" w:cs="Arial" w:eastAsia="Arial" w:hAnsi="Arial"/>
          <w:sz w:val="16"/>
          <w:szCs w:val="16"/>
          <w:b w:val="1"/>
          <w:bCs w:val="1"/>
          <w:color w:val="auto"/>
        </w:rPr>
        <w:t>Financial risk management</w:t>
      </w:r>
    </w:p>
    <w:p>
      <w:pPr>
        <w:spacing w:after="0" w:line="121" w:lineRule="exact"/>
        <w:rPr>
          <w:sz w:val="20"/>
          <w:szCs w:val="20"/>
          <w:color w:val="auto"/>
        </w:rPr>
      </w:pPr>
    </w:p>
    <w:p>
      <w:pPr>
        <w:ind w:left="1300" w:right="1720"/>
        <w:spacing w:after="0" w:line="263" w:lineRule="auto"/>
        <w:rPr>
          <w:sz w:val="20"/>
          <w:szCs w:val="20"/>
          <w:color w:val="auto"/>
        </w:rPr>
      </w:pPr>
      <w:r>
        <w:rPr>
          <w:rFonts w:ascii="Arial" w:cs="Arial" w:eastAsia="Arial" w:hAnsi="Arial"/>
          <w:sz w:val="18"/>
          <w:szCs w:val="18"/>
          <w:color w:val="auto"/>
        </w:rPr>
        <w:t>This note explains the group’s exposure to financial risks and how these risks could affect the group’s future financial performance. Current year profit and loss information has been included where relevant to add further context.</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Group’s financial instruments consist mainly of deposits with banks and accounts receivable and payable.</w:t>
      </w:r>
    </w:p>
    <w:p>
      <w:pPr>
        <w:spacing w:after="0" w:line="117" w:lineRule="exact"/>
        <w:rPr>
          <w:sz w:val="20"/>
          <w:szCs w:val="20"/>
          <w:color w:val="auto"/>
        </w:rPr>
      </w:pPr>
    </w:p>
    <w:p>
      <w:pPr>
        <w:ind w:left="1300" w:right="1480"/>
        <w:spacing w:after="0" w:line="263" w:lineRule="auto"/>
        <w:rPr>
          <w:sz w:val="20"/>
          <w:szCs w:val="20"/>
          <w:color w:val="auto"/>
        </w:rPr>
      </w:pPr>
      <w:r>
        <w:rPr>
          <w:rFonts w:ascii="Arial" w:cs="Arial" w:eastAsia="Arial" w:hAnsi="Arial"/>
          <w:sz w:val="18"/>
          <w:szCs w:val="18"/>
          <w:color w:val="auto"/>
        </w:rPr>
        <w:t xml:space="preserve">The totals for each category of financial instruments, measured in accordance with AASB 139: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Recognition and Measurement </w:t>
      </w:r>
      <w:r>
        <w:rPr>
          <w:rFonts w:ascii="Arial" w:cs="Arial" w:eastAsia="Arial" w:hAnsi="Arial"/>
          <w:sz w:val="18"/>
          <w:szCs w:val="18"/>
          <w:color w:val="auto"/>
        </w:rPr>
        <w:t>as detailed in the accounting policies to these financial statements,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ind w:left="220"/>
              <w:spacing w:after="0"/>
              <w:rPr>
                <w:sz w:val="20"/>
                <w:szCs w:val="20"/>
                <w:color w:val="auto"/>
              </w:rPr>
            </w:pPr>
            <w:r>
              <w:rPr>
                <w:rFonts w:ascii="Arial" w:cs="Arial" w:eastAsia="Arial" w:hAnsi="Arial"/>
                <w:sz w:val="14"/>
                <w:szCs w:val="14"/>
                <w:b w:val="1"/>
                <w:bCs w:val="1"/>
                <w:color w:val="auto"/>
              </w:rPr>
              <w:t>Consolidated</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55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87"/>
        </w:trPr>
        <w:tc>
          <w:tcPr>
            <w:tcW w:w="5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186"/>
        </w:trPr>
        <w:tc>
          <w:tcPr>
            <w:tcW w:w="5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0" w:type="dxa"/>
            <w:vAlign w:val="bottom"/>
          </w:tcPr>
          <w:p>
            <w:pPr>
              <w:spacing w:after="0"/>
              <w:rPr>
                <w:sz w:val="16"/>
                <w:szCs w:val="16"/>
                <w:color w:val="auto"/>
              </w:rPr>
            </w:pPr>
          </w:p>
        </w:tc>
      </w:tr>
      <w:tr>
        <w:trPr>
          <w:trHeight w:val="53"/>
        </w:trPr>
        <w:tc>
          <w:tcPr>
            <w:tcW w:w="55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Notes</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89"/>
              </w:rPr>
              <w:t>12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136,663,976</w:t>
            </w:r>
          </w:p>
        </w:tc>
        <w:tc>
          <w:tcPr>
            <w:tcW w:w="34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0"/>
              </w:rPr>
              <w:t>38,807,662</w:t>
            </w:r>
          </w:p>
        </w:tc>
      </w:tr>
      <w:tr>
        <w:trPr>
          <w:trHeight w:val="54"/>
        </w:trPr>
        <w:tc>
          <w:tcPr>
            <w:tcW w:w="5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13</w:t>
            </w: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2,042,963</w:t>
            </w:r>
          </w:p>
        </w:tc>
        <w:tc>
          <w:tcPr>
            <w:tcW w:w="3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1,075,357</w:t>
            </w:r>
          </w:p>
        </w:tc>
      </w:tr>
      <w:tr>
        <w:trPr>
          <w:trHeight w:val="48"/>
        </w:trPr>
        <w:tc>
          <w:tcPr>
            <w:tcW w:w="55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83"/>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6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138,706,939</w:t>
            </w:r>
          </w:p>
        </w:tc>
        <w:tc>
          <w:tcPr>
            <w:tcW w:w="34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0"/>
              </w:rPr>
              <w:t>39,883,019</w:t>
            </w:r>
          </w:p>
        </w:tc>
      </w:tr>
      <w:tr>
        <w:trPr>
          <w:trHeight w:val="48"/>
        </w:trPr>
        <w:tc>
          <w:tcPr>
            <w:tcW w:w="5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318"/>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6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Trade payables</w:t>
            </w: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89"/>
              </w:rPr>
              <w:t>19</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1,823,898</w:t>
            </w:r>
          </w:p>
        </w:tc>
        <w:tc>
          <w:tcPr>
            <w:tcW w:w="34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847,724</w:t>
            </w:r>
          </w:p>
        </w:tc>
      </w:tr>
      <w:tr>
        <w:trPr>
          <w:trHeight w:val="54"/>
        </w:trPr>
        <w:tc>
          <w:tcPr>
            <w:tcW w:w="5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21</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7,531,188</w:t>
            </w:r>
          </w:p>
        </w:tc>
        <w:tc>
          <w:tcPr>
            <w:tcW w:w="3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2,920,103</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Borrowings</w:t>
            </w: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89"/>
              </w:rPr>
              <w:t>22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6,263,625</w:t>
            </w:r>
          </w:p>
        </w:tc>
        <w:tc>
          <w:tcPr>
            <w:tcW w:w="34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2,212,012</w:t>
            </w:r>
          </w:p>
        </w:tc>
      </w:tr>
      <w:tr>
        <w:trPr>
          <w:trHeight w:val="48"/>
        </w:trPr>
        <w:tc>
          <w:tcPr>
            <w:tcW w:w="5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83"/>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62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15,618,711</w:t>
            </w:r>
          </w:p>
        </w:tc>
        <w:tc>
          <w:tcPr>
            <w:tcW w:w="3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5,979,839</w:t>
            </w:r>
          </w:p>
        </w:tc>
      </w:tr>
      <w:tr>
        <w:trPr>
          <w:trHeight w:val="34"/>
        </w:trPr>
        <w:tc>
          <w:tcPr>
            <w:tcW w:w="55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-1919605</wp:posOffset>
            </wp:positionV>
            <wp:extent cx="22288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-1919605</wp:posOffset>
            </wp:positionV>
            <wp:extent cx="1111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left="1300" w:right="1460"/>
        <w:spacing w:after="0" w:line="263" w:lineRule="auto"/>
        <w:rPr>
          <w:sz w:val="20"/>
          <w:szCs w:val="20"/>
          <w:color w:val="auto"/>
        </w:rPr>
      </w:pPr>
      <w:r>
        <w:rPr>
          <w:rFonts w:ascii="Arial" w:cs="Arial" w:eastAsia="Arial" w:hAnsi="Arial"/>
          <w:sz w:val="18"/>
          <w:szCs w:val="18"/>
          <w:color w:val="auto"/>
        </w:rPr>
        <w:t>The Board has overall responsibility for the determination of the Group’s risk management objectives and policies. The overall objective of the Board is to set policies that seek to reduce risk as far as possible without unduly affecting the Group’s competitiveness and flexibility.</w:t>
      </w:r>
    </w:p>
    <w:p>
      <w:pPr>
        <w:spacing w:after="0" w:line="31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left="1300" w:right="1720"/>
        <w:spacing w:after="0" w:line="308" w:lineRule="auto"/>
        <w:rPr>
          <w:sz w:val="20"/>
          <w:szCs w:val="20"/>
          <w:color w:val="auto"/>
        </w:rPr>
      </w:pPr>
      <w:r>
        <w:rPr>
          <w:rFonts w:ascii="Arial" w:cs="Arial" w:eastAsia="Arial" w:hAnsi="Arial"/>
          <w:sz w:val="17"/>
          <w:szCs w:val="17"/>
          <w:color w:val="auto"/>
        </w:rPr>
        <w:t>Market risk is the risk that the change in market prices, such as foreign exchange rates, interest rates and equity prices will affect the Group’s income or the value of its holdings of financial instruments.</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Group is not exposed to market risks other than interest rate risk.</w:t>
      </w:r>
    </w:p>
    <w:p>
      <w:pPr>
        <w:spacing w:after="0" w:line="35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1300" w:right="1380"/>
        <w:spacing w:after="0" w:line="263" w:lineRule="auto"/>
        <w:rPr>
          <w:sz w:val="20"/>
          <w:szCs w:val="20"/>
          <w:color w:val="auto"/>
        </w:rPr>
      </w:pPr>
      <w:r>
        <w:rPr>
          <w:rFonts w:ascii="Arial" w:cs="Arial" w:eastAsia="Arial" w:hAnsi="Arial"/>
          <w:sz w:val="18"/>
          <w:szCs w:val="18"/>
          <w:color w:val="auto"/>
        </w:rPr>
        <w:t>Exposure to foreign currency risk may result in the fair value or future cash flows of a financial instrument fluctuating due to movement in foreign exchange rates of currencies in which the Group holds financial instruments which are other than the AUD functional currency of the Group.</w:t>
      </w:r>
    </w:p>
    <w:p>
      <w:pPr>
        <w:spacing w:after="0" w:line="76" w:lineRule="exact"/>
        <w:rPr>
          <w:sz w:val="20"/>
          <w:szCs w:val="20"/>
          <w:color w:val="auto"/>
        </w:rPr>
      </w:pPr>
    </w:p>
    <w:p>
      <w:pPr>
        <w:ind w:left="1300" w:right="1760"/>
        <w:spacing w:after="0" w:line="277" w:lineRule="auto"/>
        <w:rPr>
          <w:sz w:val="20"/>
          <w:szCs w:val="20"/>
          <w:color w:val="auto"/>
        </w:rPr>
      </w:pPr>
      <w:r>
        <w:rPr>
          <w:rFonts w:ascii="Arial" w:cs="Arial" w:eastAsia="Arial" w:hAnsi="Arial"/>
          <w:sz w:val="18"/>
          <w:szCs w:val="18"/>
          <w:color w:val="auto"/>
        </w:rPr>
        <w:t>With instruments being held by overseas operations, fluctuations in the US dollar and the Canadian dollar may impact on the Group’s financial results.</w:t>
      </w:r>
    </w:p>
    <w:p>
      <w:pPr>
        <w:spacing w:after="0" w:line="62" w:lineRule="exact"/>
        <w:rPr>
          <w:sz w:val="20"/>
          <w:szCs w:val="20"/>
          <w:color w:val="auto"/>
        </w:rPr>
      </w:pPr>
    </w:p>
    <w:p>
      <w:pPr>
        <w:ind w:left="1300" w:right="2060"/>
        <w:spacing w:after="0" w:line="308" w:lineRule="auto"/>
        <w:rPr>
          <w:sz w:val="20"/>
          <w:szCs w:val="20"/>
          <w:color w:val="auto"/>
        </w:rPr>
      </w:pPr>
      <w:r>
        <w:rPr>
          <w:rFonts w:ascii="Arial" w:cs="Arial" w:eastAsia="Arial" w:hAnsi="Arial"/>
          <w:sz w:val="17"/>
          <w:szCs w:val="17"/>
          <w:color w:val="auto"/>
        </w:rPr>
        <w:t>The following table shows the foreign currency risk as on the financial assets and liabilities of the Group’s operations denominated in currencies other than the functional currency of the operations.</w:t>
      </w:r>
    </w:p>
    <w:p>
      <w:pPr>
        <w:spacing w:after="0" w:line="38" w:lineRule="exact"/>
        <w:rPr>
          <w:sz w:val="20"/>
          <w:szCs w:val="20"/>
          <w:color w:val="auto"/>
        </w:rPr>
      </w:pPr>
    </w:p>
    <w:p>
      <w:pPr>
        <w:ind w:left="1300" w:right="1340"/>
        <w:spacing w:after="0" w:line="277" w:lineRule="auto"/>
        <w:rPr>
          <w:sz w:val="20"/>
          <w:szCs w:val="20"/>
          <w:color w:val="auto"/>
        </w:rPr>
      </w:pPr>
      <w:r>
        <w:rPr>
          <w:rFonts w:ascii="Arial" w:cs="Arial" w:eastAsia="Arial" w:hAnsi="Arial"/>
          <w:sz w:val="18"/>
          <w:szCs w:val="18"/>
          <w:color w:val="auto"/>
        </w:rPr>
        <w:t>The group’s exposure to foreign currency risk at the end of the reporting period, expressed in Australian dollars,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0" w:type="dxa"/>
            <w:vAlign w:val="bottom"/>
            <w:gridSpan w:val="2"/>
          </w:tcPr>
          <w:p>
            <w:pPr>
              <w:jc w:val="center"/>
              <w:ind w:left="2155"/>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300" w:type="dxa"/>
            <w:vAlign w:val="bottom"/>
          </w:tcPr>
          <w:p>
            <w:pPr>
              <w:spacing w:after="0"/>
              <w:rPr>
                <w:sz w:val="14"/>
                <w:szCs w:val="14"/>
                <w:color w:val="auto"/>
              </w:rPr>
            </w:pPr>
          </w:p>
        </w:tc>
      </w:tr>
      <w:tr>
        <w:trPr>
          <w:trHeight w:val="149"/>
        </w:trPr>
        <w:tc>
          <w:tcPr>
            <w:tcW w:w="1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CAD</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CAD</w:t>
            </w:r>
          </w:p>
        </w:tc>
        <w:tc>
          <w:tcPr>
            <w:tcW w:w="9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USD</w:t>
            </w:r>
          </w:p>
        </w:tc>
        <w:tc>
          <w:tcPr>
            <w:tcW w:w="2120" w:type="dxa"/>
            <w:vAlign w:val="bottom"/>
            <w:gridSpan w:val="2"/>
          </w:tcPr>
          <w:p>
            <w:pPr>
              <w:jc w:val="center"/>
              <w:ind w:right="1340"/>
              <w:spacing w:after="0" w:line="149" w:lineRule="exact"/>
              <w:rPr>
                <w:sz w:val="20"/>
                <w:szCs w:val="20"/>
                <w:color w:val="auto"/>
              </w:rPr>
            </w:pPr>
            <w:r>
              <w:rPr>
                <w:rFonts w:ascii="Arial" w:cs="Arial" w:eastAsia="Arial" w:hAnsi="Arial"/>
                <w:sz w:val="14"/>
                <w:szCs w:val="14"/>
                <w:color w:val="auto"/>
              </w:rPr>
              <w:t>USD</w:t>
            </w:r>
          </w:p>
        </w:tc>
      </w:tr>
      <w:tr>
        <w:trPr>
          <w:trHeight w:val="186"/>
        </w:trPr>
        <w:tc>
          <w:tcPr>
            <w:tcW w:w="13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000" w:type="dxa"/>
            <w:vAlign w:val="bottom"/>
            <w:gridSpan w:val="2"/>
          </w:tcPr>
          <w:p>
            <w:pPr>
              <w:jc w:val="center"/>
              <w:ind w:left="21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2640" w:type="dxa"/>
            <w:vAlign w:val="bottom"/>
            <w:tcBorders>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bank</w:t>
            </w:r>
          </w:p>
        </w:tc>
        <w:tc>
          <w:tcPr>
            <w:tcW w:w="3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246,055</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377,909</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70,491,449</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16,591,686</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Trade receivables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227,925</w:t>
            </w:r>
          </w:p>
        </w:tc>
        <w:tc>
          <w:tcPr>
            <w:tcW w:w="160" w:type="dxa"/>
            <w:vAlign w:val="bottom"/>
          </w:tcPr>
          <w:p>
            <w:pPr>
              <w:spacing w:after="0"/>
              <w:rPr>
                <w:sz w:val="23"/>
                <w:szCs w:val="23"/>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w w:val="87"/>
              </w:rPr>
              <w:t>50,321</w:t>
            </w: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1,305,421</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616,494</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3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322,387</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154,305</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803,545</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349,475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Borrowings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6,263,625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2,025,562</w:t>
            </w:r>
          </w:p>
        </w:tc>
        <w:tc>
          <w:tcPr>
            <w:tcW w:w="14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36,706</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7,531,188</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2,920,103</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160" w:type="dxa"/>
            <w:vAlign w:val="bottom"/>
            <w:gridSpan w:val="3"/>
          </w:tcPr>
          <w:p>
            <w:pPr>
              <w:ind w:left="1400"/>
              <w:spacing w:after="0"/>
              <w:rPr>
                <w:sz w:val="20"/>
                <w:szCs w:val="20"/>
                <w:color w:val="auto"/>
              </w:rPr>
            </w:pPr>
            <w:r>
              <w:rPr>
                <w:rFonts w:ascii="Arial" w:cs="Arial" w:eastAsia="Arial" w:hAnsi="Arial"/>
                <w:sz w:val="18"/>
                <w:szCs w:val="18"/>
                <w:color w:val="auto"/>
              </w:rPr>
              <w:t>F-43</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-1447800</wp:posOffset>
            </wp:positionV>
            <wp:extent cx="857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-1447800</wp:posOffset>
            </wp:positionV>
            <wp:extent cx="8572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-1447800</wp:posOffset>
            </wp:positionV>
            <wp:extent cx="939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-1447800</wp:posOffset>
            </wp:positionV>
            <wp:extent cx="514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74" w:name="page175"/>
    <w:bookmarkEnd w:id="174"/>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b w:val="1"/>
          <w:bCs w:val="1"/>
          <w:color w:val="auto"/>
        </w:rPr>
        <w:t>Note 32</w:t>
      </w:r>
      <w:r>
        <w:rPr>
          <w:sz w:val="20"/>
          <w:szCs w:val="20"/>
          <w:color w:val="auto"/>
        </w:rPr>
        <w:tab/>
      </w:r>
      <w:r>
        <w:rPr>
          <w:rFonts w:ascii="Arial" w:cs="Arial" w:eastAsia="Arial" w:hAnsi="Arial"/>
          <w:sz w:val="16"/>
          <w:szCs w:val="16"/>
          <w:b w:val="1"/>
          <w:bCs w:val="1"/>
          <w:color w:val="auto"/>
        </w:rPr>
        <w:t>Financial risk management (continued)</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Cash flow and fair value interest rate risk</w:t>
      </w:r>
    </w:p>
    <w:p>
      <w:pPr>
        <w:spacing w:after="0" w:line="121" w:lineRule="exact"/>
        <w:rPr>
          <w:sz w:val="20"/>
          <w:szCs w:val="20"/>
          <w:color w:val="auto"/>
        </w:rPr>
      </w:pPr>
    </w:p>
    <w:p>
      <w:pPr>
        <w:ind w:left="1300" w:right="1420"/>
        <w:spacing w:after="0" w:line="263" w:lineRule="auto"/>
        <w:rPr>
          <w:sz w:val="20"/>
          <w:szCs w:val="20"/>
          <w:color w:val="auto"/>
        </w:rPr>
      </w:pPr>
      <w:r>
        <w:rPr>
          <w:rFonts w:ascii="Arial" w:cs="Arial" w:eastAsia="Arial" w:hAnsi="Arial"/>
          <w:sz w:val="18"/>
          <w:szCs w:val="18"/>
          <w:color w:val="auto"/>
        </w:rPr>
        <w:t>The group’s main interest rate risk arises from long-term borrowings with variable rates, which expose the group to cash flow interest rate risk. During 2021, the group’s borrowings at variable rates were denominated in Canadian dollars.</w:t>
      </w:r>
    </w:p>
    <w:p>
      <w:pPr>
        <w:spacing w:after="0" w:line="76" w:lineRule="exact"/>
        <w:rPr>
          <w:sz w:val="20"/>
          <w:szCs w:val="20"/>
          <w:color w:val="auto"/>
        </w:rPr>
      </w:pPr>
    </w:p>
    <w:p>
      <w:pPr>
        <w:ind w:left="1300" w:right="1360"/>
        <w:spacing w:after="0" w:line="263" w:lineRule="auto"/>
        <w:rPr>
          <w:sz w:val="20"/>
          <w:szCs w:val="20"/>
          <w:color w:val="auto"/>
        </w:rPr>
      </w:pPr>
      <w:r>
        <w:rPr>
          <w:rFonts w:ascii="Arial" w:cs="Arial" w:eastAsia="Arial" w:hAnsi="Arial"/>
          <w:sz w:val="18"/>
          <w:szCs w:val="18"/>
          <w:color w:val="auto"/>
        </w:rPr>
        <w:t>As the Group has interest-bearing cash assets, the Company’s income and operating cash flows are exposed to changes in market interest rates. The Company manages its exposure to changes in interest rates by using fixed term deposits.</w:t>
      </w:r>
    </w:p>
    <w:p>
      <w:pPr>
        <w:spacing w:after="0" w:line="76" w:lineRule="exact"/>
        <w:rPr>
          <w:sz w:val="20"/>
          <w:szCs w:val="20"/>
          <w:color w:val="auto"/>
        </w:rPr>
      </w:pPr>
    </w:p>
    <w:p>
      <w:pPr>
        <w:ind w:left="1300" w:right="1340"/>
        <w:spacing w:after="0" w:line="286" w:lineRule="auto"/>
        <w:rPr>
          <w:sz w:val="20"/>
          <w:szCs w:val="20"/>
          <w:color w:val="auto"/>
        </w:rPr>
      </w:pPr>
      <w:r>
        <w:rPr>
          <w:rFonts w:ascii="Arial" w:cs="Arial" w:eastAsia="Arial" w:hAnsi="Arial"/>
          <w:sz w:val="17"/>
          <w:szCs w:val="17"/>
          <w:color w:val="auto"/>
        </w:rPr>
        <w:t>At 30 June 2021, if interest rates had changed by -/+ 100 basis points from the year-end rates with all other variables held constant, post-tax profit / (loss) for the year would have been $1,237,193 (30 June 2020: $397,091) lower/higher, as a result of higher/lower interest income from cash and cash equivalents.</w:t>
      </w:r>
    </w:p>
    <w:p>
      <w:pPr>
        <w:spacing w:after="0" w:line="31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jc w:val="both"/>
        <w:ind w:left="1300" w:right="1580"/>
        <w:spacing w:after="0" w:line="263" w:lineRule="auto"/>
        <w:rPr>
          <w:sz w:val="20"/>
          <w:szCs w:val="20"/>
          <w:color w:val="auto"/>
        </w:rPr>
      </w:pPr>
      <w:r>
        <w:rPr>
          <w:rFonts w:ascii="Arial" w:cs="Arial" w:eastAsia="Arial" w:hAnsi="Arial"/>
          <w:sz w:val="18"/>
          <w:szCs w:val="18"/>
          <w:color w:val="auto"/>
        </w:rPr>
        <w:t>Credit risk is managed on a Group basis. Credit risk arises primarily from cash and cash equivalents and deposits with banks and financial institutions. For bank and financial institutions, only independently rated parties with a minimum rating of ‘AAA’ are accepted.</w:t>
      </w:r>
    </w:p>
    <w:p>
      <w:pPr>
        <w:spacing w:after="0" w:line="76" w:lineRule="exact"/>
        <w:rPr>
          <w:sz w:val="20"/>
          <w:szCs w:val="20"/>
          <w:color w:val="auto"/>
        </w:rPr>
      </w:pPr>
    </w:p>
    <w:p>
      <w:pPr>
        <w:ind w:left="1300" w:right="1460"/>
        <w:spacing w:after="0" w:line="277" w:lineRule="auto"/>
        <w:rPr>
          <w:sz w:val="20"/>
          <w:szCs w:val="20"/>
          <w:color w:val="auto"/>
        </w:rPr>
      </w:pPr>
      <w:r>
        <w:rPr>
          <w:rFonts w:ascii="Arial" w:cs="Arial" w:eastAsia="Arial" w:hAnsi="Arial"/>
          <w:sz w:val="18"/>
          <w:szCs w:val="18"/>
          <w:color w:val="auto"/>
        </w:rPr>
        <w:t>The credit quality of financial assets that are neither past due nor impaired can be assessed by reference to external credit ratings (if available).</w:t>
      </w:r>
    </w:p>
    <w:p>
      <w:pPr>
        <w:spacing w:after="0" w:line="31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left="1300" w:right="1380"/>
        <w:spacing w:after="0" w:line="277" w:lineRule="auto"/>
        <w:rPr>
          <w:sz w:val="20"/>
          <w:szCs w:val="20"/>
          <w:color w:val="auto"/>
        </w:rPr>
      </w:pPr>
      <w:r>
        <w:rPr>
          <w:rFonts w:ascii="Arial" w:cs="Arial" w:eastAsia="Arial" w:hAnsi="Arial"/>
          <w:sz w:val="18"/>
          <w:szCs w:val="18"/>
          <w:color w:val="auto"/>
        </w:rPr>
        <w:t>Prudent liquidity risk management implies maintaining sufficient cash and marketable securities to meet obligations when due.</w:t>
      </w:r>
    </w:p>
    <w:p>
      <w:pPr>
        <w:spacing w:after="0" w:line="62" w:lineRule="exact"/>
        <w:rPr>
          <w:sz w:val="20"/>
          <w:szCs w:val="20"/>
          <w:color w:val="auto"/>
        </w:rPr>
      </w:pPr>
    </w:p>
    <w:p>
      <w:pPr>
        <w:ind w:left="1300" w:right="1500"/>
        <w:spacing w:after="0" w:line="277" w:lineRule="auto"/>
        <w:rPr>
          <w:sz w:val="20"/>
          <w:szCs w:val="20"/>
          <w:color w:val="auto"/>
        </w:rPr>
      </w:pPr>
      <w:r>
        <w:rPr>
          <w:rFonts w:ascii="Arial" w:cs="Arial" w:eastAsia="Arial" w:hAnsi="Arial"/>
          <w:sz w:val="18"/>
          <w:szCs w:val="18"/>
          <w:color w:val="auto"/>
        </w:rPr>
        <w:t>The Group manages liquidity risk by continuously monitoring forecast and actual cash flows. No finance facilities were available to the Group at the end of the reporting period.</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financial assets mature within one year. The maturity of all financial liabilities is set out in the table below.</w:t>
      </w:r>
    </w:p>
    <w:p>
      <w:pPr>
        <w:spacing w:after="0" w:line="37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ind w:left="1300" w:right="1480"/>
        <w:spacing w:after="0" w:line="277" w:lineRule="auto"/>
        <w:rPr>
          <w:sz w:val="20"/>
          <w:szCs w:val="20"/>
          <w:color w:val="auto"/>
        </w:rPr>
      </w:pPr>
      <w:r>
        <w:rPr>
          <w:rFonts w:ascii="Arial" w:cs="Arial" w:eastAsia="Arial" w:hAnsi="Arial"/>
          <w:sz w:val="18"/>
          <w:szCs w:val="18"/>
          <w:color w:val="auto"/>
        </w:rPr>
        <w:t>The group’s undrawn borrowing facilities as at 30 June 2021 totals $1,974,931 (CAD $1,838,087) which relates to the loan facilities secured over commercial land and buildings (refer note 22).</w:t>
      </w:r>
    </w:p>
    <w:p>
      <w:pPr>
        <w:spacing w:after="0" w:line="31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Maturities of financial liabilities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at 30 June 2021, the contractual maturities of the group’s non-derivative financial liabilities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Contractual</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Between</w:t>
            </w: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Between</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maturities of</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Less than</w:t>
            </w:r>
          </w:p>
        </w:tc>
        <w:tc>
          <w:tcPr>
            <w:tcW w:w="74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6 - 12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Over 5</w:t>
            </w:r>
          </w:p>
        </w:tc>
        <w:tc>
          <w:tcPr>
            <w:tcW w:w="940" w:type="dxa"/>
            <w:vAlign w:val="bottom"/>
            <w:gridSpan w:val="3"/>
            <w:vMerge w:val="continue"/>
          </w:tcPr>
          <w:p>
            <w:pPr>
              <w:spacing w:after="0"/>
              <w:rPr>
                <w:sz w:val="12"/>
                <w:szCs w:val="12"/>
                <w:color w:val="auto"/>
              </w:rPr>
            </w:pPr>
          </w:p>
        </w:tc>
        <w:tc>
          <w:tcPr>
            <w:tcW w:w="2120" w:type="dxa"/>
            <w:vAlign w:val="bottom"/>
            <w:gridSpan w:val="2"/>
            <w:vMerge w:val="restart"/>
          </w:tcPr>
          <w:p>
            <w:pPr>
              <w:jc w:val="center"/>
              <w:ind w:right="13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financial</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1 and 2</w:t>
            </w: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2 and 5</w:t>
            </w:r>
          </w:p>
        </w:tc>
        <w:tc>
          <w:tcPr>
            <w:tcW w:w="940" w:type="dxa"/>
            <w:vAlign w:val="bottom"/>
            <w:gridSpan w:val="2"/>
            <w:vMerge w:val="continue"/>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6 months</w:t>
            </w:r>
          </w:p>
        </w:tc>
        <w:tc>
          <w:tcPr>
            <w:tcW w:w="160" w:type="dxa"/>
            <w:vAlign w:val="bottom"/>
          </w:tcPr>
          <w:p>
            <w:pPr>
              <w:spacing w:after="0"/>
              <w:rPr>
                <w:sz w:val="16"/>
                <w:szCs w:val="16"/>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months</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years</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years</w:t>
            </w: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cash flows</w:t>
            </w:r>
          </w:p>
        </w:tc>
        <w:tc>
          <w:tcPr>
            <w:tcW w:w="21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30 June 2021</w:t>
            </w:r>
          </w:p>
        </w:tc>
        <w:tc>
          <w:tcPr>
            <w:tcW w:w="7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Trade payables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4,356,556</w:t>
            </w:r>
          </w:p>
        </w:tc>
        <w:tc>
          <w:tcPr>
            <w:tcW w:w="160" w:type="dxa"/>
            <w:vAlign w:val="bottom"/>
          </w:tcPr>
          <w:p>
            <w:pPr>
              <w:spacing w:after="0"/>
              <w:rPr>
                <w:sz w:val="21"/>
                <w:szCs w:val="21"/>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4,356,556</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4,356,556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360,437</w:t>
            </w: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361,014</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742,275</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2,292,090</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6,048,571</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9,804,386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7,531,188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185,059</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212,961</w:t>
            </w: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649,094</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1,929,055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5,307,377</w:t>
            </w: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8,283,546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6,263,625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non-derivatives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4,902,051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573,975</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1,391,369</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4,221,145</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11,355,948</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22,444,488</w:t>
            </w:r>
          </w:p>
        </w:tc>
        <w:tc>
          <w:tcPr>
            <w:tcW w:w="12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18,151,369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F-44</w:t>
            </w:r>
          </w:p>
        </w:tc>
        <w:tc>
          <w:tcPr>
            <w:tcW w:w="160" w:type="dxa"/>
            <w:vAlign w:val="bottom"/>
            <w:tcBorders>
              <w:top w:val="single" w:sz="8" w:color="CCEEFF"/>
            </w:tcBorders>
            <w:gridSpan w:val="2"/>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-1336675</wp:posOffset>
            </wp:positionV>
            <wp:extent cx="857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-1336675</wp:posOffset>
            </wp:positionV>
            <wp:extent cx="857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-1336675</wp:posOffset>
            </wp:positionV>
            <wp:extent cx="857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-1336675</wp:posOffset>
            </wp:positionV>
            <wp:extent cx="857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-1336675</wp:posOffset>
            </wp:positionV>
            <wp:extent cx="1028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-1336675</wp:posOffset>
            </wp:positionV>
            <wp:extent cx="1028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-1336675</wp:posOffset>
            </wp:positionV>
            <wp:extent cx="1028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33</w:t>
      </w:r>
      <w:r>
        <w:rPr>
          <w:sz w:val="20"/>
          <w:szCs w:val="20"/>
          <w:color w:val="auto"/>
        </w:rPr>
        <w:tab/>
      </w:r>
      <w:r>
        <w:rPr>
          <w:rFonts w:ascii="Arial" w:cs="Arial" w:eastAsia="Arial" w:hAnsi="Arial"/>
          <w:sz w:val="15"/>
          <w:szCs w:val="15"/>
          <w:b w:val="1"/>
          <w:bCs w:val="1"/>
          <w:color w:val="auto"/>
        </w:rPr>
        <w:t>Business Combination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2 February 2017, Novonix Limited entered into a binding term sheet with Coulometrics LLC (“Coulometrics”)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form an incorporated joint venture (Novonix Anode Materials) to develop and commercialise high purity battery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grade graphite material for the electric vehicle and other energy storage markets. Novonix contributed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USD$10million for a 50% interest while Coulometrics contributed the equivalent in “Intellectual Property” which is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recognised as the rights and exclusivity to the technical process and knowledge of Edward Buiel, founder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Coulometrics, relating to the unique development and commercialisation of high purity battery grade graphite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material.</w:t>
      </w:r>
    </w:p>
    <w:p>
      <w:pPr>
        <w:spacing w:after="0" w:line="103" w:lineRule="exact"/>
        <w:rPr>
          <w:sz w:val="20"/>
          <w:szCs w:val="20"/>
          <w:color w:val="auto"/>
        </w:rPr>
      </w:pPr>
    </w:p>
    <w:p>
      <w:pPr>
        <w:ind w:left="300" w:right="479"/>
        <w:spacing w:after="0" w:line="299" w:lineRule="auto"/>
        <w:rPr>
          <w:sz w:val="20"/>
          <w:szCs w:val="20"/>
          <w:color w:val="auto"/>
        </w:rPr>
      </w:pPr>
      <w:r>
        <w:rPr>
          <w:rFonts w:ascii="Arial" w:cs="Arial" w:eastAsia="Arial" w:hAnsi="Arial"/>
          <w:sz w:val="16"/>
          <w:szCs w:val="16"/>
          <w:color w:val="auto"/>
        </w:rPr>
        <w:t>In the binding term sheet between Novonix and Coulometrics, Novonix had a call option which gave them the option to acquire an additional 25% of Novonix Anode Materials for USD$5million exercisable at any time within two years. This option was exercised on 31 January 2019 and a further USD$5million was paid to Coulometrics.</w:t>
      </w:r>
    </w:p>
    <w:p>
      <w:pPr>
        <w:spacing w:after="0" w:line="1" w:lineRule="exact"/>
        <w:rPr>
          <w:sz w:val="20"/>
          <w:szCs w:val="20"/>
          <w:color w:val="auto"/>
        </w:rPr>
      </w:pPr>
    </w:p>
    <w:p>
      <w:pPr>
        <w:ind w:left="300" w:right="339"/>
        <w:spacing w:after="0" w:line="273" w:lineRule="auto"/>
        <w:rPr>
          <w:sz w:val="20"/>
          <w:szCs w:val="20"/>
          <w:color w:val="auto"/>
        </w:rPr>
      </w:pPr>
      <w:r>
        <w:rPr>
          <w:rFonts w:ascii="Arial" w:cs="Arial" w:eastAsia="Arial" w:hAnsi="Arial"/>
          <w:sz w:val="17"/>
          <w:szCs w:val="17"/>
          <w:color w:val="auto"/>
        </w:rPr>
        <w:t>On 30 May 2019, Coulometrics conceded its remaining 25% interest in Novonix Anode Materials to Novonix for no consideration. The reason was that it was not commercially viable for Coulometrics to contribute further funds to Novonix Anode Materials, due to the terms of the agreement allowing Novonix to profit from all revenue generated by the company in excess of 1,000 tonnes per annum. The result of this ownership transfer has had no bearing or implications on the exclusivity of Coulometrics technology and know-how in relation to the development and commercialisation of high purity battery grade graphite material.</w:t>
      </w:r>
    </w:p>
    <w:p>
      <w:pPr>
        <w:spacing w:after="0" w:line="2"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The transaction has been accounted for as a step-up acquisition, being a disposal of the Group’s existing 50% equity accounted investment in Novonix Anode Materials at its fair value in exchange for the acquisition of 100% interest in Novonix Anode Materials. As a result, a gain of $2,576,131 was recognised at the time of the business combination which represented the difference between the fair value of the 50% equity interest and the carrying value of the equity accounted investment.</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details of the business combination are as follows:</w:t>
      </w:r>
    </w:p>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75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8"/>
                <w:szCs w:val="18"/>
                <w:color w:val="auto"/>
              </w:rPr>
              <w:t>Fair value previously held equity interest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13,291,330</w:t>
            </w:r>
          </w:p>
        </w:tc>
        <w:tc>
          <w:tcPr>
            <w:tcW w:w="20" w:type="dxa"/>
            <w:vAlign w:val="bottom"/>
          </w:tcPr>
          <w:p>
            <w:pPr>
              <w:spacing w:after="0"/>
              <w:rPr>
                <w:sz w:val="21"/>
                <w:szCs w:val="21"/>
                <w:color w:val="auto"/>
              </w:rPr>
            </w:pPr>
          </w:p>
        </w:tc>
      </w:tr>
      <w:tr>
        <w:trPr>
          <w:trHeight w:val="27"/>
        </w:trPr>
        <w:tc>
          <w:tcPr>
            <w:tcW w:w="7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7"/>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7,075,279</w:t>
            </w:r>
          </w:p>
        </w:tc>
      </w:tr>
      <w:tr>
        <w:trPr>
          <w:trHeight w:val="256"/>
        </w:trPr>
        <w:tc>
          <w:tcPr>
            <w:tcW w:w="75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20,366,609</w:t>
            </w:r>
          </w:p>
        </w:tc>
        <w:tc>
          <w:tcPr>
            <w:tcW w:w="20" w:type="dxa"/>
            <w:vAlign w:val="bottom"/>
            <w:tcBorders>
              <w:top w:val="single" w:sz="8" w:color="CCEEFF"/>
            </w:tcBorders>
          </w:tcPr>
          <w:p>
            <w:pPr>
              <w:spacing w:after="0"/>
              <w:rPr>
                <w:sz w:val="22"/>
                <w:szCs w:val="22"/>
                <w:color w:val="auto"/>
              </w:rPr>
            </w:pPr>
          </w:p>
        </w:tc>
      </w:tr>
      <w:tr>
        <w:trPr>
          <w:trHeight w:val="115"/>
        </w:trPr>
        <w:tc>
          <w:tcPr>
            <w:tcW w:w="7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29"/>
        </w:trPr>
        <w:tc>
          <w:tcPr>
            <w:tcW w:w="7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8"/>
              </w:rPr>
              <w:t>The fair values of the assets and liabilities of the Novonix Anode Materials LLC, acquired as at</w:t>
            </w:r>
          </w:p>
        </w:tc>
        <w:tc>
          <w:tcPr>
            <w:tcW w:w="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31"/>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the date of acquisition, are as follows:</w:t>
            </w:r>
          </w:p>
        </w:tc>
        <w:tc>
          <w:tcPr>
            <w:tcW w:w="84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1,880,108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
        </w:trPr>
        <w:tc>
          <w:tcPr>
            <w:tcW w:w="7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Inventories</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1,649</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7"/>
                <w:szCs w:val="17"/>
                <w:color w:val="auto"/>
              </w:rPr>
              <w:t>Plant and equipment</w:t>
            </w: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913,821</w:t>
            </w:r>
          </w:p>
        </w:tc>
        <w:tc>
          <w:tcPr>
            <w:tcW w:w="20" w:type="dxa"/>
            <w:vAlign w:val="bottom"/>
          </w:tcPr>
          <w:p>
            <w:pPr>
              <w:spacing w:after="0"/>
              <w:rPr>
                <w:sz w:val="19"/>
                <w:szCs w:val="19"/>
                <w:color w:val="auto"/>
              </w:rPr>
            </w:pPr>
          </w:p>
        </w:tc>
      </w:tr>
      <w:tr>
        <w:trPr>
          <w:trHeight w:val="31"/>
        </w:trPr>
        <w:tc>
          <w:tcPr>
            <w:tcW w:w="7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Intangible assets: Technology</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1,268,785</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(266,445)</w:t>
            </w:r>
          </w:p>
        </w:tc>
        <w:tc>
          <w:tcPr>
            <w:tcW w:w="2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Identifiable net assets acquired</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3,797,918</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7"/>
                <w:szCs w:val="17"/>
                <w:color w:val="auto"/>
              </w:rPr>
              <w:t>Goodwill on acquisition</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6"/>
              </w:rPr>
              <w:t>16,568,691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assets acquired</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6"/>
              </w:rPr>
              <w:t>20,366,609</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consideration payable for the combination effectively included a premium for the right of exclusive use of any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excess capacity of the company to the production of graphite anode material greater than 1,000 tonnes per annum</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 to exploit the company’s intellectual property and know-how in so doing which has resulted in goodwill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$16,568,691. The full value of goodwill and client intangibles is not expected to be tax deductible for tax purposes.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040" w:val="left"/>
        </w:tabs>
        <w:rPr>
          <w:sz w:val="20"/>
          <w:szCs w:val="20"/>
          <w:color w:val="auto"/>
        </w:rPr>
      </w:pPr>
      <w:r>
        <w:rPr>
          <w:rFonts w:ascii="Arial" w:cs="Arial" w:eastAsia="Arial" w:hAnsi="Arial"/>
          <w:sz w:val="18"/>
          <w:szCs w:val="18"/>
          <w:b w:val="1"/>
          <w:bCs w:val="1"/>
          <w:color w:val="auto"/>
        </w:rPr>
        <w:t>Note 33</w:t>
      </w:r>
      <w:r>
        <w:rPr>
          <w:sz w:val="20"/>
          <w:szCs w:val="20"/>
          <w:color w:val="auto"/>
        </w:rPr>
        <w:tab/>
      </w:r>
      <w:r>
        <w:rPr>
          <w:rFonts w:ascii="Arial" w:cs="Arial" w:eastAsia="Arial" w:hAnsi="Arial"/>
          <w:sz w:val="16"/>
          <w:szCs w:val="16"/>
          <w:b w:val="1"/>
          <w:bCs w:val="1"/>
          <w:color w:val="auto"/>
        </w:rPr>
        <w:t>Business Combination (continued)</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color w:val="auto"/>
        </w:rPr>
        <w:t>Acquisition-related costs amounting to $129,345 are not included as part of consideration transferred and have been recognised as an expense in the consolidated statement of profit or loss and other comprehensive income, as part of administrative and other expenses.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Revenue and profit / (loss) contribution</w:t>
      </w:r>
    </w:p>
    <w:p>
      <w:pPr>
        <w:spacing w:after="0" w:line="117" w:lineRule="exact"/>
        <w:rPr>
          <w:sz w:val="20"/>
          <w:szCs w:val="20"/>
          <w:color w:val="auto"/>
        </w:rPr>
      </w:pPr>
    </w:p>
    <w:p>
      <w:pPr>
        <w:ind w:left="300" w:right="479"/>
        <w:spacing w:after="0" w:line="311" w:lineRule="auto"/>
        <w:rPr>
          <w:sz w:val="20"/>
          <w:szCs w:val="20"/>
          <w:color w:val="auto"/>
        </w:rPr>
      </w:pPr>
      <w:r>
        <w:rPr>
          <w:rFonts w:ascii="Arial" w:cs="Arial" w:eastAsia="Arial" w:hAnsi="Arial"/>
          <w:sz w:val="16"/>
          <w:szCs w:val="16"/>
          <w:color w:val="auto"/>
        </w:rPr>
        <w:t>The acquired business contributed net loss after tax of $1,541,643 (USD $1,085,511) to the Group for the period 1 February 2019 to 30 June 2019. If the acquisition had occurred on 1 July 2018, Novonix Anode Materials’ contribution to consolidated loss for the year ended 30 June 2019 would have been $3,318,584 (USD $2,336,700).</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Purchase consideration – cash outflow:</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Outflow of cash to acquire subsidiary, net of cash acquired:</w:t>
      </w:r>
    </w:p>
    <w:p>
      <w:pPr>
        <w:spacing w:after="0" w:line="91"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Purchase consideration</w:t>
            </w:r>
          </w:p>
        </w:tc>
        <w:tc>
          <w:tcPr>
            <w:tcW w:w="284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Cash consideration</w:t>
            </w:r>
          </w:p>
        </w:tc>
        <w:tc>
          <w:tcPr>
            <w:tcW w:w="2860" w:type="dxa"/>
            <w:vAlign w:val="bottom"/>
            <w:gridSpan w:val="3"/>
          </w:tcPr>
          <w:p>
            <w:pPr>
              <w:jc w:val="center"/>
              <w:ind w:left="2050"/>
              <w:spacing w:after="0"/>
              <w:rPr>
                <w:sz w:val="20"/>
                <w:szCs w:val="20"/>
                <w:color w:val="auto"/>
              </w:rPr>
            </w:pPr>
            <w:r>
              <w:rPr>
                <w:rFonts w:ascii="Arial" w:cs="Arial" w:eastAsia="Arial" w:hAnsi="Arial"/>
                <w:sz w:val="18"/>
                <w:szCs w:val="18"/>
                <w:color w:val="auto"/>
                <w:w w:val="89"/>
              </w:rPr>
              <w:t>7,075,279</w:t>
            </w:r>
          </w:p>
        </w:tc>
        <w:tc>
          <w:tcPr>
            <w:tcW w:w="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cash balances acquired</w:t>
            </w:r>
          </w:p>
        </w:tc>
        <w:tc>
          <w:tcPr>
            <w:tcW w:w="19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(1,880,108)</w:t>
            </w:r>
          </w:p>
        </w:tc>
      </w:tr>
      <w:tr>
        <w:trPr>
          <w:trHeight w:val="48"/>
        </w:trPr>
        <w:tc>
          <w:tcPr>
            <w:tcW w:w="550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Outflow of cash in FY2019 – investing activities</w:t>
            </w:r>
          </w:p>
        </w:tc>
        <w:tc>
          <w:tcPr>
            <w:tcW w:w="1980" w:type="dxa"/>
            <w:vAlign w:val="bottom"/>
          </w:tcPr>
          <w:p>
            <w:pPr>
              <w:spacing w:after="0"/>
              <w:rPr>
                <w:sz w:val="22"/>
                <w:szCs w:val="22"/>
                <w:color w:val="auto"/>
              </w:rPr>
            </w:pPr>
          </w:p>
        </w:tc>
        <w:tc>
          <w:tcPr>
            <w:tcW w:w="8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9"/>
              </w:rPr>
              <w:t>5,195,171</w:t>
            </w:r>
          </w:p>
        </w:tc>
        <w:tc>
          <w:tcPr>
            <w:tcW w:w="60" w:type="dxa"/>
            <w:vAlign w:val="bottom"/>
          </w:tcPr>
          <w:p>
            <w:pPr>
              <w:spacing w:after="0"/>
              <w:rPr>
                <w:sz w:val="22"/>
                <w:szCs w:val="22"/>
                <w:color w:val="auto"/>
              </w:rPr>
            </w:pPr>
          </w:p>
        </w:tc>
      </w:tr>
      <w:tr>
        <w:trPr>
          <w:trHeight w:val="21"/>
        </w:trPr>
        <w:tc>
          <w:tcPr>
            <w:tcW w:w="5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ANNUAL FINANCIAL REPORT – 30 JUNE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2259" w:firstLine="1960"/>
        <w:spacing w:after="0" w:line="47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and Shareholders of NOVONIX Limited</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300" w:right="359"/>
        <w:spacing w:after="0" w:line="271" w:lineRule="auto"/>
        <w:rPr>
          <w:sz w:val="20"/>
          <w:szCs w:val="20"/>
          <w:color w:val="auto"/>
        </w:rPr>
      </w:pPr>
      <w:r>
        <w:rPr>
          <w:rFonts w:ascii="Arial" w:cs="Arial" w:eastAsia="Arial" w:hAnsi="Arial"/>
          <w:sz w:val="17"/>
          <w:szCs w:val="17"/>
          <w:color w:val="auto"/>
        </w:rPr>
        <w:t>We have audited the accompanying consolidated balance sheet of NOVONIX Limited and its subsidiaries (the “Company”) as of June 30, 2021 and 2020, and the related consolidated statements of profit or loss and other comprehensive income, of changes in equity and of cash flows for each of the three years in the period ended June 30, 2021, including the related notes (collectively referred to as the “consolidated financial statements”). In our opinion, the consolidated financial statements present fairly, in all material respects, the financial position of the Company as of June 30, 2021 and 2020, and the results of its operations and its cash flows for each of the three years in the period ended June 30, 2021 in conformity with International Financial Reporting Standards as issued by the International Accounting Standards Board.</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incurred cash outflows from operating activities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300" w:right="839"/>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from July 1, 2019.</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300" w:right="359"/>
        <w:spacing w:after="0" w:line="296"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ind w:left="300" w:right="359"/>
        <w:spacing w:after="0" w:line="28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57" w:lineRule="exact"/>
        <w:rPr>
          <w:sz w:val="20"/>
          <w:szCs w:val="20"/>
          <w:color w:val="auto"/>
        </w:rPr>
      </w:pPr>
    </w:p>
    <w:p>
      <w:pPr>
        <w:ind w:left="300" w:right="379"/>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Brisbane, Australia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September 17, 2021</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9019"/>
          </w:cols>
          <w:pgMar w:left="1440" w:top="265"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946150</wp:posOffset>
            </wp:positionV>
            <wp:extent cx="7132320"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140335</wp:posOffset>
            </wp:positionV>
            <wp:extent cx="3857625" cy="677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5762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Deed of access, insurance and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132320" cy="260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NOVONIX Limited ACN 157 690 830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Trevor St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426085</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98"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5163185</wp:posOffset>
            </wp:positionH>
            <wp:positionV relativeFrom="page">
              <wp:posOffset>217805</wp:posOffset>
            </wp:positionV>
            <wp:extent cx="2143125" cy="3429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Parties</w:t>
            </w:r>
          </w:p>
        </w:tc>
        <w:tc>
          <w:tcPr>
            <w:tcW w:w="6600" w:type="dxa"/>
            <w:vAlign w:val="bottom"/>
          </w:tcPr>
          <w:p>
            <w:pPr>
              <w:spacing w:after="0"/>
              <w:rPr>
                <w:sz w:val="20"/>
                <w:szCs w:val="20"/>
                <w:color w:val="auto"/>
              </w:rPr>
            </w:pP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05"/>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Background</w:t>
            </w:r>
          </w:p>
        </w:tc>
        <w:tc>
          <w:tcPr>
            <w:tcW w:w="660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05"/>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Agreed terms</w:t>
            </w: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91"/>
        </w:trPr>
        <w:tc>
          <w:tcPr>
            <w:tcW w:w="180" w:type="dxa"/>
            <w:vAlign w:val="bottom"/>
          </w:tcPr>
          <w:p>
            <w:pPr>
              <w:spacing w:after="0"/>
              <w:rPr>
                <w:sz w:val="20"/>
                <w:szCs w:val="20"/>
                <w:color w:val="auto"/>
              </w:rPr>
            </w:pPr>
            <w:r>
              <w:rPr>
                <w:rFonts w:ascii="Arial" w:cs="Arial" w:eastAsia="Arial" w:hAnsi="Arial"/>
                <w:sz w:val="18"/>
                <w:szCs w:val="18"/>
                <w:b w:val="1"/>
                <w:bCs w:val="1"/>
                <w:color w:val="auto"/>
              </w:rPr>
              <w:t>1</w:t>
            </w:r>
          </w:p>
        </w:tc>
        <w:tc>
          <w:tcPr>
            <w:tcW w:w="7520" w:type="dxa"/>
            <w:vAlign w:val="bottom"/>
            <w:gridSpan w:val="2"/>
          </w:tcPr>
          <w:p>
            <w:pPr>
              <w:ind w:left="400"/>
              <w:spacing w:after="0"/>
              <w:rPr>
                <w:sz w:val="20"/>
                <w:szCs w:val="20"/>
                <w:color w:val="auto"/>
              </w:rPr>
            </w:pPr>
            <w:r>
              <w:rPr>
                <w:rFonts w:ascii="Arial" w:cs="Arial" w:eastAsia="Arial" w:hAnsi="Arial"/>
                <w:sz w:val="18"/>
                <w:szCs w:val="18"/>
                <w:b w:val="1"/>
                <w:bCs w:val="1"/>
                <w:color w:val="auto"/>
              </w:rPr>
              <w:t>Definitions and interpretation</w:t>
            </w: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1.1</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Definitions</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17"/>
        </w:trPr>
        <w:tc>
          <w:tcPr>
            <w:tcW w:w="180" w:type="dxa"/>
            <w:vAlign w:val="bottom"/>
          </w:tcPr>
          <w:p>
            <w:pPr>
              <w:spacing w:after="0"/>
              <w:rPr>
                <w:sz w:val="18"/>
                <w:szCs w:val="18"/>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1.2</w:t>
            </w:r>
          </w:p>
        </w:tc>
        <w:tc>
          <w:tcPr>
            <w:tcW w:w="660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3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91"/>
        </w:trPr>
        <w:tc>
          <w:tcPr>
            <w:tcW w:w="180" w:type="dxa"/>
            <w:vAlign w:val="bottom"/>
          </w:tcPr>
          <w:p>
            <w:pPr>
              <w:spacing w:after="0"/>
              <w:rPr>
                <w:sz w:val="20"/>
                <w:szCs w:val="20"/>
                <w:color w:val="auto"/>
              </w:rPr>
            </w:pPr>
            <w:r>
              <w:rPr>
                <w:rFonts w:ascii="Arial" w:cs="Arial" w:eastAsia="Arial" w:hAnsi="Arial"/>
                <w:sz w:val="18"/>
                <w:szCs w:val="18"/>
                <w:b w:val="1"/>
                <w:bCs w:val="1"/>
                <w:color w:val="auto"/>
              </w:rPr>
              <w:t>2</w:t>
            </w:r>
          </w:p>
        </w:tc>
        <w:tc>
          <w:tcPr>
            <w:tcW w:w="7520" w:type="dxa"/>
            <w:vAlign w:val="bottom"/>
            <w:gridSpan w:val="2"/>
          </w:tcPr>
          <w:p>
            <w:pPr>
              <w:ind w:left="400"/>
              <w:spacing w:after="0"/>
              <w:rPr>
                <w:sz w:val="20"/>
                <w:szCs w:val="20"/>
                <w:color w:val="auto"/>
              </w:rPr>
            </w:pPr>
            <w:r>
              <w:rPr>
                <w:rFonts w:ascii="Arial" w:cs="Arial" w:eastAsia="Arial" w:hAnsi="Arial"/>
                <w:sz w:val="18"/>
                <w:szCs w:val="18"/>
                <w:b w:val="1"/>
                <w:bCs w:val="1"/>
                <w:color w:val="auto"/>
              </w:rPr>
              <w:t>Indemnity</w:t>
            </w: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2.1</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General indemnity</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2.2</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Costs indemnity</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2.3</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Indemnity irrevocable</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2.4</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Extent of indemnity</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2.5</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Future Liability</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17"/>
        </w:trPr>
        <w:tc>
          <w:tcPr>
            <w:tcW w:w="180" w:type="dxa"/>
            <w:vAlign w:val="bottom"/>
          </w:tcPr>
          <w:p>
            <w:pPr>
              <w:spacing w:after="0"/>
              <w:rPr>
                <w:sz w:val="18"/>
                <w:szCs w:val="18"/>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2.6</w:t>
            </w:r>
          </w:p>
        </w:tc>
        <w:tc>
          <w:tcPr>
            <w:tcW w:w="6600" w:type="dxa"/>
            <w:vAlign w:val="bottom"/>
          </w:tcPr>
          <w:p>
            <w:pPr>
              <w:ind w:left="40"/>
              <w:spacing w:after="0"/>
              <w:rPr>
                <w:sz w:val="20"/>
                <w:szCs w:val="20"/>
                <w:color w:val="auto"/>
              </w:rPr>
            </w:pPr>
            <w:r>
              <w:rPr>
                <w:rFonts w:ascii="Arial" w:cs="Arial" w:eastAsia="Arial" w:hAnsi="Arial"/>
                <w:sz w:val="18"/>
                <w:szCs w:val="18"/>
                <w:color w:val="auto"/>
              </w:rPr>
              <w:t>Recovery under other insurance policies</w:t>
            </w:r>
          </w:p>
        </w:tc>
        <w:tc>
          <w:tcPr>
            <w:tcW w:w="3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91"/>
        </w:trPr>
        <w:tc>
          <w:tcPr>
            <w:tcW w:w="180" w:type="dxa"/>
            <w:vAlign w:val="bottom"/>
          </w:tcPr>
          <w:p>
            <w:pPr>
              <w:spacing w:after="0"/>
              <w:rPr>
                <w:sz w:val="20"/>
                <w:szCs w:val="20"/>
                <w:color w:val="auto"/>
              </w:rPr>
            </w:pPr>
            <w:r>
              <w:rPr>
                <w:rFonts w:ascii="Arial" w:cs="Arial" w:eastAsia="Arial" w:hAnsi="Arial"/>
                <w:sz w:val="18"/>
                <w:szCs w:val="18"/>
                <w:b w:val="1"/>
                <w:bCs w:val="1"/>
                <w:color w:val="auto"/>
              </w:rPr>
              <w:t>3</w:t>
            </w:r>
          </w:p>
        </w:tc>
        <w:tc>
          <w:tcPr>
            <w:tcW w:w="7520" w:type="dxa"/>
            <w:vAlign w:val="bottom"/>
            <w:gridSpan w:val="2"/>
          </w:tcPr>
          <w:p>
            <w:pPr>
              <w:ind w:left="400"/>
              <w:spacing w:after="0"/>
              <w:rPr>
                <w:sz w:val="20"/>
                <w:szCs w:val="20"/>
                <w:color w:val="auto"/>
              </w:rPr>
            </w:pPr>
            <w:r>
              <w:rPr>
                <w:rFonts w:ascii="Arial" w:cs="Arial" w:eastAsia="Arial" w:hAnsi="Arial"/>
                <w:sz w:val="18"/>
                <w:szCs w:val="18"/>
                <w:b w:val="1"/>
                <w:bCs w:val="1"/>
                <w:color w:val="auto"/>
              </w:rPr>
              <w:t>Claim by Director</w:t>
            </w: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3.1</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Notified Claims</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3.2</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Defence of legal action</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3.3</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Obligations of the Company</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3.4</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Obligations of the Director</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3.5</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Reimbursement</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3.6</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Settlement of Claims</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3.7</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Failure to comply</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3.8</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Legal representation</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17"/>
        </w:trPr>
        <w:tc>
          <w:tcPr>
            <w:tcW w:w="180" w:type="dxa"/>
            <w:vAlign w:val="bottom"/>
          </w:tcPr>
          <w:p>
            <w:pPr>
              <w:spacing w:after="0"/>
              <w:rPr>
                <w:sz w:val="18"/>
                <w:szCs w:val="18"/>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3.9</w:t>
            </w:r>
          </w:p>
        </w:tc>
        <w:tc>
          <w:tcPr>
            <w:tcW w:w="6600" w:type="dxa"/>
            <w:vAlign w:val="bottom"/>
          </w:tcPr>
          <w:p>
            <w:pPr>
              <w:ind w:left="40"/>
              <w:spacing w:after="0"/>
              <w:rPr>
                <w:sz w:val="20"/>
                <w:szCs w:val="20"/>
                <w:color w:val="auto"/>
              </w:rPr>
            </w:pPr>
            <w:r>
              <w:rPr>
                <w:rFonts w:ascii="Arial" w:cs="Arial" w:eastAsia="Arial" w:hAnsi="Arial"/>
                <w:sz w:val="18"/>
                <w:szCs w:val="18"/>
                <w:color w:val="auto"/>
              </w:rPr>
              <w:t>Application of clauses 3.3 and 3.5</w:t>
            </w:r>
          </w:p>
        </w:tc>
        <w:tc>
          <w:tcPr>
            <w:tcW w:w="3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91"/>
        </w:trPr>
        <w:tc>
          <w:tcPr>
            <w:tcW w:w="180" w:type="dxa"/>
            <w:vAlign w:val="bottom"/>
          </w:tcPr>
          <w:p>
            <w:pPr>
              <w:spacing w:after="0"/>
              <w:rPr>
                <w:sz w:val="20"/>
                <w:szCs w:val="20"/>
                <w:color w:val="auto"/>
              </w:rPr>
            </w:pPr>
            <w:r>
              <w:rPr>
                <w:rFonts w:ascii="Arial" w:cs="Arial" w:eastAsia="Arial" w:hAnsi="Arial"/>
                <w:sz w:val="18"/>
                <w:szCs w:val="18"/>
                <w:b w:val="1"/>
                <w:bCs w:val="1"/>
                <w:color w:val="auto"/>
              </w:rPr>
              <w:t>4</w:t>
            </w:r>
          </w:p>
        </w:tc>
        <w:tc>
          <w:tcPr>
            <w:tcW w:w="7520" w:type="dxa"/>
            <w:vAlign w:val="bottom"/>
            <w:gridSpan w:val="2"/>
          </w:tcPr>
          <w:p>
            <w:pPr>
              <w:ind w:left="400"/>
              <w:spacing w:after="0"/>
              <w:rPr>
                <w:sz w:val="20"/>
                <w:szCs w:val="20"/>
                <w:color w:val="auto"/>
              </w:rPr>
            </w:pPr>
            <w:r>
              <w:rPr>
                <w:rFonts w:ascii="Arial" w:cs="Arial" w:eastAsia="Arial" w:hAnsi="Arial"/>
                <w:sz w:val="18"/>
                <w:szCs w:val="18"/>
                <w:b w:val="1"/>
                <w:bCs w:val="1"/>
                <w:color w:val="auto"/>
              </w:rPr>
              <w:t>Advances and payments</w:t>
            </w: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4.1</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Payment when Director becomes liable</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4.2</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Indemnity before expense incurred</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4.3</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Advance defence costs</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4.4</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Taxation</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17"/>
        </w:trPr>
        <w:tc>
          <w:tcPr>
            <w:tcW w:w="180" w:type="dxa"/>
            <w:vAlign w:val="bottom"/>
          </w:tcPr>
          <w:p>
            <w:pPr>
              <w:spacing w:after="0"/>
              <w:rPr>
                <w:sz w:val="18"/>
                <w:szCs w:val="18"/>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4.5</w:t>
            </w:r>
          </w:p>
        </w:tc>
        <w:tc>
          <w:tcPr>
            <w:tcW w:w="6600" w:type="dxa"/>
            <w:vAlign w:val="bottom"/>
          </w:tcPr>
          <w:p>
            <w:pPr>
              <w:ind w:left="40"/>
              <w:spacing w:after="0"/>
              <w:rPr>
                <w:sz w:val="20"/>
                <w:szCs w:val="20"/>
                <w:color w:val="auto"/>
              </w:rPr>
            </w:pPr>
            <w:r>
              <w:rPr>
                <w:rFonts w:ascii="Arial" w:cs="Arial" w:eastAsia="Arial" w:hAnsi="Arial"/>
                <w:sz w:val="18"/>
                <w:szCs w:val="18"/>
                <w:color w:val="auto"/>
              </w:rPr>
              <w:t>Repayment</w:t>
            </w:r>
          </w:p>
        </w:tc>
        <w:tc>
          <w:tcPr>
            <w:tcW w:w="3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91"/>
        </w:trPr>
        <w:tc>
          <w:tcPr>
            <w:tcW w:w="1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520" w:type="dxa"/>
            <w:vAlign w:val="bottom"/>
            <w:gridSpan w:val="2"/>
          </w:tcPr>
          <w:p>
            <w:pPr>
              <w:ind w:left="400"/>
              <w:spacing w:after="0"/>
              <w:rPr>
                <w:sz w:val="20"/>
                <w:szCs w:val="20"/>
                <w:color w:val="auto"/>
              </w:rPr>
            </w:pPr>
            <w:r>
              <w:rPr>
                <w:rFonts w:ascii="Arial" w:cs="Arial" w:eastAsia="Arial" w:hAnsi="Arial"/>
                <w:sz w:val="18"/>
                <w:szCs w:val="18"/>
                <w:b w:val="1"/>
                <w:bCs w:val="1"/>
                <w:color w:val="auto"/>
              </w:rPr>
              <w:t>Insurance</w:t>
            </w:r>
          </w:p>
        </w:tc>
        <w:tc>
          <w:tcPr>
            <w:tcW w:w="35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5.1</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Obligation to insure</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5.2</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Terms of the D&amp;O Policy</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5.3</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Notice to Director</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5.4</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Extension of insurance</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180" w:type="dxa"/>
            <w:vAlign w:val="bottom"/>
          </w:tcPr>
          <w:p>
            <w:pPr>
              <w:spacing w:after="0"/>
              <w:rPr>
                <w:sz w:val="17"/>
                <w:szCs w:val="17"/>
                <w:color w:val="auto"/>
              </w:rPr>
            </w:pPr>
          </w:p>
        </w:tc>
        <w:tc>
          <w:tcPr>
            <w:tcW w:w="920" w:type="dxa"/>
            <w:vAlign w:val="bottom"/>
          </w:tcPr>
          <w:p>
            <w:pPr>
              <w:ind w:left="400"/>
              <w:spacing w:after="0" w:line="202" w:lineRule="exact"/>
              <w:rPr>
                <w:sz w:val="20"/>
                <w:szCs w:val="20"/>
                <w:color w:val="auto"/>
              </w:rPr>
            </w:pPr>
            <w:r>
              <w:rPr>
                <w:rFonts w:ascii="Arial" w:cs="Arial" w:eastAsia="Arial" w:hAnsi="Arial"/>
                <w:sz w:val="18"/>
                <w:szCs w:val="18"/>
                <w:color w:val="auto"/>
              </w:rPr>
              <w:t>5.5</w:t>
            </w:r>
          </w:p>
        </w:tc>
        <w:tc>
          <w:tcPr>
            <w:tcW w:w="6600" w:type="dxa"/>
            <w:vAlign w:val="bottom"/>
          </w:tcPr>
          <w:p>
            <w:pPr>
              <w:ind w:left="40"/>
              <w:spacing w:after="0" w:line="202" w:lineRule="exact"/>
              <w:rPr>
                <w:sz w:val="20"/>
                <w:szCs w:val="20"/>
                <w:color w:val="auto"/>
              </w:rPr>
            </w:pPr>
            <w:r>
              <w:rPr>
                <w:rFonts w:ascii="Arial" w:cs="Arial" w:eastAsia="Arial" w:hAnsi="Arial"/>
                <w:sz w:val="18"/>
                <w:szCs w:val="18"/>
                <w:color w:val="auto"/>
              </w:rPr>
              <w:t>Copies of insurance policies</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17"/>
        </w:trPr>
        <w:tc>
          <w:tcPr>
            <w:tcW w:w="180" w:type="dxa"/>
            <w:vAlign w:val="bottom"/>
          </w:tcPr>
          <w:p>
            <w:pPr>
              <w:spacing w:after="0"/>
              <w:rPr>
                <w:sz w:val="18"/>
                <w:szCs w:val="18"/>
                <w:color w:val="auto"/>
              </w:rPr>
            </w:pPr>
          </w:p>
        </w:tc>
        <w:tc>
          <w:tcPr>
            <w:tcW w:w="920" w:type="dxa"/>
            <w:vAlign w:val="bottom"/>
          </w:tcPr>
          <w:p>
            <w:pPr>
              <w:ind w:left="400"/>
              <w:spacing w:after="0"/>
              <w:rPr>
                <w:sz w:val="20"/>
                <w:szCs w:val="20"/>
                <w:color w:val="auto"/>
              </w:rPr>
            </w:pPr>
            <w:r>
              <w:rPr>
                <w:rFonts w:ascii="Arial" w:cs="Arial" w:eastAsia="Arial" w:hAnsi="Arial"/>
                <w:sz w:val="18"/>
                <w:szCs w:val="18"/>
                <w:color w:val="auto"/>
              </w:rPr>
              <w:t>5.6</w:t>
            </w:r>
          </w:p>
        </w:tc>
        <w:tc>
          <w:tcPr>
            <w:tcW w:w="6600" w:type="dxa"/>
            <w:vAlign w:val="bottom"/>
          </w:tcPr>
          <w:p>
            <w:pPr>
              <w:ind w:left="40"/>
              <w:spacing w:after="0"/>
              <w:rPr>
                <w:sz w:val="20"/>
                <w:szCs w:val="20"/>
                <w:color w:val="auto"/>
              </w:rPr>
            </w:pPr>
            <w:r>
              <w:rPr>
                <w:rFonts w:ascii="Arial" w:cs="Arial" w:eastAsia="Arial" w:hAnsi="Arial"/>
                <w:sz w:val="18"/>
                <w:szCs w:val="18"/>
                <w:color w:val="auto"/>
              </w:rPr>
              <w:t>Ceasing to maintain the D&amp;O Policy</w:t>
            </w:r>
          </w:p>
        </w:tc>
        <w:tc>
          <w:tcPr>
            <w:tcW w:w="3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180" w:type="dxa"/>
            <w:vAlign w:val="bottom"/>
          </w:tcPr>
          <w:p>
            <w:pPr>
              <w:spacing w:after="0"/>
              <w:rPr>
                <w:sz w:val="24"/>
                <w:szCs w:val="24"/>
                <w:color w:val="auto"/>
              </w:rPr>
            </w:pPr>
          </w:p>
        </w:tc>
        <w:tc>
          <w:tcPr>
            <w:tcW w:w="7520" w:type="dxa"/>
            <w:vAlign w:val="bottom"/>
            <w:gridSpan w:val="2"/>
          </w:tcPr>
          <w:p>
            <w:pPr>
              <w:ind w:left="80"/>
              <w:spacing w:after="0"/>
              <w:rPr>
                <w:sz w:val="20"/>
                <w:szCs w:val="20"/>
                <w:color w:val="auto"/>
              </w:rPr>
            </w:pPr>
            <w:r>
              <w:rPr>
                <w:rFonts w:ascii="Arial" w:cs="Arial" w:eastAsia="Arial" w:hAnsi="Arial"/>
                <w:sz w:val="18"/>
                <w:szCs w:val="18"/>
                <w:color w:val="auto"/>
              </w:rPr>
              <w:t>|   Deed of access, insurance and indemnity</w:t>
            </w:r>
          </w:p>
        </w:tc>
        <w:tc>
          <w:tcPr>
            <w:tcW w:w="35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682"/>
        </w:trPr>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6</w:t>
            </w:r>
          </w:p>
        </w:tc>
        <w:tc>
          <w:tcPr>
            <w:tcW w:w="7300" w:type="dxa"/>
            <w:vAlign w:val="bottom"/>
            <w:gridSpan w:val="2"/>
          </w:tcPr>
          <w:p>
            <w:pPr>
              <w:ind w:left="240"/>
              <w:spacing w:after="0"/>
              <w:rPr>
                <w:sz w:val="20"/>
                <w:szCs w:val="20"/>
                <w:color w:val="auto"/>
              </w:rPr>
            </w:pPr>
            <w:r>
              <w:rPr>
                <w:rFonts w:ascii="Arial" w:cs="Arial" w:eastAsia="Arial" w:hAnsi="Arial"/>
                <w:sz w:val="18"/>
                <w:szCs w:val="18"/>
                <w:b w:val="1"/>
                <w:bCs w:val="1"/>
                <w:color w:val="auto"/>
              </w:rPr>
              <w:t>Access to Board Papers</w:t>
            </w:r>
          </w:p>
        </w:tc>
        <w:tc>
          <w:tcPr>
            <w:tcW w:w="360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03"/>
        </w:trPr>
        <w:tc>
          <w:tcPr>
            <w:tcW w:w="340" w:type="dxa"/>
            <w:vAlign w:val="bottom"/>
          </w:tcPr>
          <w:p>
            <w:pPr>
              <w:spacing w:after="0"/>
              <w:rPr>
                <w:sz w:val="17"/>
                <w:szCs w:val="17"/>
                <w:color w:val="auto"/>
              </w:rPr>
            </w:pPr>
          </w:p>
        </w:tc>
        <w:tc>
          <w:tcPr>
            <w:tcW w:w="640" w:type="dxa"/>
            <w:vAlign w:val="bottom"/>
          </w:tcPr>
          <w:p>
            <w:pPr>
              <w:ind w:left="240"/>
              <w:spacing w:after="0" w:line="202" w:lineRule="exact"/>
              <w:rPr>
                <w:sz w:val="20"/>
                <w:szCs w:val="20"/>
                <w:color w:val="auto"/>
              </w:rPr>
            </w:pPr>
            <w:r>
              <w:rPr>
                <w:rFonts w:ascii="Arial" w:cs="Arial" w:eastAsia="Arial" w:hAnsi="Arial"/>
                <w:sz w:val="18"/>
                <w:szCs w:val="18"/>
                <w:color w:val="auto"/>
              </w:rPr>
              <w:t>6.1</w:t>
            </w:r>
          </w:p>
        </w:tc>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Obligation of company to keep records</w:t>
            </w:r>
          </w:p>
        </w:tc>
        <w:tc>
          <w:tcPr>
            <w:tcW w:w="36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40" w:type="dxa"/>
            <w:vAlign w:val="bottom"/>
          </w:tcPr>
          <w:p>
            <w:pPr>
              <w:spacing w:after="0"/>
              <w:rPr>
                <w:sz w:val="17"/>
                <w:szCs w:val="17"/>
                <w:color w:val="auto"/>
              </w:rPr>
            </w:pPr>
          </w:p>
        </w:tc>
        <w:tc>
          <w:tcPr>
            <w:tcW w:w="640" w:type="dxa"/>
            <w:vAlign w:val="bottom"/>
          </w:tcPr>
          <w:p>
            <w:pPr>
              <w:ind w:left="240"/>
              <w:spacing w:after="0" w:line="202" w:lineRule="exact"/>
              <w:rPr>
                <w:sz w:val="20"/>
                <w:szCs w:val="20"/>
                <w:color w:val="auto"/>
              </w:rPr>
            </w:pPr>
            <w:r>
              <w:rPr>
                <w:rFonts w:ascii="Arial" w:cs="Arial" w:eastAsia="Arial" w:hAnsi="Arial"/>
                <w:sz w:val="18"/>
                <w:szCs w:val="18"/>
                <w:color w:val="auto"/>
              </w:rPr>
              <w:t>6.2</w:t>
            </w:r>
          </w:p>
        </w:tc>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Right to inspect Board Papers</w:t>
            </w:r>
          </w:p>
        </w:tc>
        <w:tc>
          <w:tcPr>
            <w:tcW w:w="36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40" w:type="dxa"/>
            <w:vAlign w:val="bottom"/>
          </w:tcPr>
          <w:p>
            <w:pPr>
              <w:spacing w:after="0"/>
              <w:rPr>
                <w:sz w:val="17"/>
                <w:szCs w:val="17"/>
                <w:color w:val="auto"/>
              </w:rPr>
            </w:pPr>
          </w:p>
        </w:tc>
        <w:tc>
          <w:tcPr>
            <w:tcW w:w="640" w:type="dxa"/>
            <w:vAlign w:val="bottom"/>
          </w:tcPr>
          <w:p>
            <w:pPr>
              <w:ind w:left="240"/>
              <w:spacing w:after="0" w:line="202" w:lineRule="exact"/>
              <w:rPr>
                <w:sz w:val="20"/>
                <w:szCs w:val="20"/>
                <w:color w:val="auto"/>
              </w:rPr>
            </w:pPr>
            <w:r>
              <w:rPr>
                <w:rFonts w:ascii="Arial" w:cs="Arial" w:eastAsia="Arial" w:hAnsi="Arial"/>
                <w:sz w:val="18"/>
                <w:szCs w:val="18"/>
                <w:color w:val="auto"/>
              </w:rPr>
              <w:t>6.3</w:t>
            </w:r>
          </w:p>
        </w:tc>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Request for access to Board Papers</w:t>
            </w:r>
          </w:p>
        </w:tc>
        <w:tc>
          <w:tcPr>
            <w:tcW w:w="36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40" w:type="dxa"/>
            <w:vAlign w:val="bottom"/>
          </w:tcPr>
          <w:p>
            <w:pPr>
              <w:spacing w:after="0"/>
              <w:rPr>
                <w:sz w:val="17"/>
                <w:szCs w:val="17"/>
                <w:color w:val="auto"/>
              </w:rPr>
            </w:pPr>
          </w:p>
        </w:tc>
        <w:tc>
          <w:tcPr>
            <w:tcW w:w="640" w:type="dxa"/>
            <w:vAlign w:val="bottom"/>
          </w:tcPr>
          <w:p>
            <w:pPr>
              <w:ind w:left="240"/>
              <w:spacing w:after="0" w:line="202" w:lineRule="exact"/>
              <w:rPr>
                <w:sz w:val="20"/>
                <w:szCs w:val="20"/>
                <w:color w:val="auto"/>
              </w:rPr>
            </w:pPr>
            <w:r>
              <w:rPr>
                <w:rFonts w:ascii="Arial" w:cs="Arial" w:eastAsia="Arial" w:hAnsi="Arial"/>
                <w:sz w:val="18"/>
                <w:szCs w:val="18"/>
                <w:color w:val="auto"/>
              </w:rPr>
              <w:t>6.4</w:t>
            </w:r>
          </w:p>
        </w:tc>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Access for the Director</w:t>
            </w:r>
          </w:p>
        </w:tc>
        <w:tc>
          <w:tcPr>
            <w:tcW w:w="36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340" w:type="dxa"/>
            <w:vAlign w:val="bottom"/>
          </w:tcPr>
          <w:p>
            <w:pPr>
              <w:spacing w:after="0"/>
              <w:rPr>
                <w:sz w:val="17"/>
                <w:szCs w:val="17"/>
                <w:color w:val="auto"/>
              </w:rPr>
            </w:pPr>
          </w:p>
        </w:tc>
        <w:tc>
          <w:tcPr>
            <w:tcW w:w="640" w:type="dxa"/>
            <w:vAlign w:val="bottom"/>
          </w:tcPr>
          <w:p>
            <w:pPr>
              <w:ind w:left="240"/>
              <w:spacing w:after="0" w:line="202" w:lineRule="exact"/>
              <w:rPr>
                <w:sz w:val="20"/>
                <w:szCs w:val="20"/>
                <w:color w:val="auto"/>
              </w:rPr>
            </w:pPr>
            <w:r>
              <w:rPr>
                <w:rFonts w:ascii="Arial" w:cs="Arial" w:eastAsia="Arial" w:hAnsi="Arial"/>
                <w:sz w:val="18"/>
                <w:szCs w:val="18"/>
                <w:color w:val="auto"/>
              </w:rPr>
              <w:t>6.5</w:t>
            </w:r>
          </w:p>
        </w:tc>
        <w:tc>
          <w:tcPr>
            <w:tcW w:w="6660" w:type="dxa"/>
            <w:vAlign w:val="bottom"/>
          </w:tcPr>
          <w:p>
            <w:pPr>
              <w:ind w:left="160"/>
              <w:spacing w:after="0" w:line="202" w:lineRule="exact"/>
              <w:rPr>
                <w:sz w:val="20"/>
                <w:szCs w:val="20"/>
                <w:color w:val="auto"/>
              </w:rPr>
            </w:pPr>
            <w:r>
              <w:rPr>
                <w:rFonts w:ascii="Arial" w:cs="Arial" w:eastAsia="Arial" w:hAnsi="Arial"/>
                <w:sz w:val="18"/>
                <w:szCs w:val="18"/>
                <w:color w:val="auto"/>
              </w:rPr>
              <w:t>Return of documents</w:t>
            </w:r>
          </w:p>
        </w:tc>
        <w:tc>
          <w:tcPr>
            <w:tcW w:w="36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17"/>
        </w:trPr>
        <w:tc>
          <w:tcPr>
            <w:tcW w:w="340" w:type="dxa"/>
            <w:vAlign w:val="bottom"/>
          </w:tcPr>
          <w:p>
            <w:pPr>
              <w:spacing w:after="0"/>
              <w:rPr>
                <w:sz w:val="18"/>
                <w:szCs w:val="18"/>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6.6</w:t>
            </w:r>
          </w:p>
        </w:tc>
        <w:tc>
          <w:tcPr>
            <w:tcW w:w="6660" w:type="dxa"/>
            <w:vAlign w:val="bottom"/>
          </w:tcPr>
          <w:p>
            <w:pPr>
              <w:ind w:left="160"/>
              <w:spacing w:after="0"/>
              <w:rPr>
                <w:sz w:val="20"/>
                <w:szCs w:val="20"/>
                <w:color w:val="auto"/>
              </w:rPr>
            </w:pPr>
            <w:r>
              <w:rPr>
                <w:rFonts w:ascii="Arial" w:cs="Arial" w:eastAsia="Arial" w:hAnsi="Arial"/>
                <w:sz w:val="18"/>
                <w:szCs w:val="18"/>
                <w:color w:val="auto"/>
              </w:rPr>
              <w:t>Privileged documents</w:t>
            </w:r>
          </w:p>
        </w:tc>
        <w:tc>
          <w:tcPr>
            <w:tcW w:w="36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 w:type="dxa"/>
            <w:vAlign w:val="bottom"/>
          </w:tcPr>
          <w:p>
            <w:pPr>
              <w:spacing w:after="0"/>
              <w:rPr>
                <w:sz w:val="20"/>
                <w:szCs w:val="20"/>
                <w:color w:val="auto"/>
              </w:rPr>
            </w:pPr>
            <w:r>
              <w:rPr>
                <w:rFonts w:ascii="Arial" w:cs="Arial" w:eastAsia="Arial" w:hAnsi="Arial"/>
                <w:sz w:val="18"/>
                <w:szCs w:val="18"/>
                <w:b w:val="1"/>
                <w:bCs w:val="1"/>
                <w:color w:val="auto"/>
              </w:rPr>
              <w:t>7</w:t>
            </w:r>
          </w:p>
        </w:tc>
        <w:tc>
          <w:tcPr>
            <w:tcW w:w="82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Confidentiality</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7.1</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Obligations of confidentiality</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17"/>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7.2</w:t>
            </w:r>
          </w:p>
        </w:tc>
        <w:tc>
          <w:tcPr>
            <w:tcW w:w="7520" w:type="dxa"/>
            <w:vAlign w:val="bottom"/>
          </w:tcPr>
          <w:p>
            <w:pPr>
              <w:ind w:left="60"/>
              <w:spacing w:after="0"/>
              <w:rPr>
                <w:sz w:val="20"/>
                <w:szCs w:val="20"/>
                <w:color w:val="auto"/>
              </w:rPr>
            </w:pPr>
            <w:r>
              <w:rPr>
                <w:rFonts w:ascii="Arial" w:cs="Arial" w:eastAsia="Arial" w:hAnsi="Arial"/>
                <w:sz w:val="18"/>
                <w:szCs w:val="18"/>
                <w:color w:val="auto"/>
              </w:rPr>
              <w:t>Privilege</w:t>
            </w:r>
          </w:p>
        </w:tc>
        <w:tc>
          <w:tcPr>
            <w:tcW w:w="2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8</w:t>
            </w:r>
          </w:p>
        </w:tc>
        <w:tc>
          <w:tcPr>
            <w:tcW w:w="82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Company can act through its Subsidiaries</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05"/>
        </w:trPr>
        <w:tc>
          <w:tcPr>
            <w:tcW w:w="400" w:type="dxa"/>
            <w:vAlign w:val="bottom"/>
          </w:tcPr>
          <w:p>
            <w:pPr>
              <w:spacing w:after="0"/>
              <w:rPr>
                <w:sz w:val="20"/>
                <w:szCs w:val="20"/>
                <w:color w:val="auto"/>
              </w:rPr>
            </w:pPr>
            <w:r>
              <w:rPr>
                <w:rFonts w:ascii="Arial" w:cs="Arial" w:eastAsia="Arial" w:hAnsi="Arial"/>
                <w:sz w:val="18"/>
                <w:szCs w:val="18"/>
                <w:b w:val="1"/>
                <w:bCs w:val="1"/>
                <w:color w:val="auto"/>
              </w:rPr>
              <w:t>9</w:t>
            </w:r>
          </w:p>
        </w:tc>
        <w:tc>
          <w:tcPr>
            <w:tcW w:w="8200" w:type="dxa"/>
            <w:vAlign w:val="bottom"/>
            <w:gridSpan w:val="2"/>
          </w:tcPr>
          <w:p>
            <w:pPr>
              <w:ind w:left="180"/>
              <w:spacing w:after="0"/>
              <w:rPr>
                <w:sz w:val="20"/>
                <w:szCs w:val="20"/>
                <w:color w:val="auto"/>
              </w:rPr>
            </w:pPr>
            <w:r>
              <w:rPr>
                <w:rFonts w:ascii="Arial" w:cs="Arial" w:eastAsia="Arial" w:hAnsi="Arial"/>
                <w:sz w:val="18"/>
                <w:szCs w:val="18"/>
                <w:b w:val="1"/>
                <w:bCs w:val="1"/>
                <w:color w:val="auto"/>
              </w:rPr>
              <w:t>Held on trust</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91"/>
        </w:trPr>
        <w:tc>
          <w:tcPr>
            <w:tcW w:w="4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680" w:type="dxa"/>
            <w:vAlign w:val="bottom"/>
          </w:tcPr>
          <w:p>
            <w:pPr>
              <w:ind w:left="180"/>
              <w:spacing w:after="0"/>
              <w:rPr>
                <w:sz w:val="20"/>
                <w:szCs w:val="20"/>
                <w:color w:val="auto"/>
              </w:rPr>
            </w:pPr>
            <w:r>
              <w:rPr>
                <w:rFonts w:ascii="Arial" w:cs="Arial" w:eastAsia="Arial" w:hAnsi="Arial"/>
                <w:sz w:val="18"/>
                <w:szCs w:val="18"/>
                <w:b w:val="1"/>
                <w:bCs w:val="1"/>
                <w:color w:val="auto"/>
              </w:rPr>
              <w:t>GST</w:t>
            </w:r>
          </w:p>
        </w:tc>
        <w:tc>
          <w:tcPr>
            <w:tcW w:w="752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10.1</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Definitions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10.2</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GST exclusive</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10.3</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Taxable Supply</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10.4</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Later GST change</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10.5</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Reimbursement or indemnity</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10.6</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Warranty that Tax Invoice is issued regarding a Taxable Supply</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17"/>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10.7</w:t>
            </w:r>
          </w:p>
        </w:tc>
        <w:tc>
          <w:tcPr>
            <w:tcW w:w="7520" w:type="dxa"/>
            <w:vAlign w:val="bottom"/>
          </w:tcPr>
          <w:p>
            <w:pPr>
              <w:ind w:left="60"/>
              <w:spacing w:after="0"/>
              <w:rPr>
                <w:sz w:val="20"/>
                <w:szCs w:val="20"/>
                <w:color w:val="auto"/>
              </w:rPr>
            </w:pPr>
            <w:r>
              <w:rPr>
                <w:rFonts w:ascii="Arial" w:cs="Arial" w:eastAsia="Arial" w:hAnsi="Arial"/>
                <w:sz w:val="18"/>
                <w:szCs w:val="18"/>
                <w:color w:val="auto"/>
              </w:rPr>
              <w:t>Progressive or Periodic Supplies</w:t>
            </w:r>
          </w:p>
        </w:tc>
        <w:tc>
          <w:tcPr>
            <w:tcW w:w="2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91"/>
        </w:trPr>
        <w:tc>
          <w:tcPr>
            <w:tcW w:w="4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200" w:type="dxa"/>
            <w:vAlign w:val="bottom"/>
            <w:gridSpan w:val="2"/>
          </w:tcPr>
          <w:p>
            <w:pPr>
              <w:ind w:left="180"/>
              <w:spacing w:after="0"/>
              <w:rPr>
                <w:sz w:val="20"/>
                <w:szCs w:val="20"/>
                <w:color w:val="auto"/>
              </w:rPr>
            </w:pPr>
            <w:r>
              <w:rPr>
                <w:rFonts w:ascii="Arial" w:cs="Arial" w:eastAsia="Arial" w:hAnsi="Arial"/>
                <w:sz w:val="18"/>
                <w:szCs w:val="18"/>
                <w:b w:val="1"/>
                <w:bCs w:val="1"/>
                <w:color w:val="auto"/>
              </w:rPr>
              <w:t>General</w:t>
            </w: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11.1</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Amendments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11.2</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Assignment</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11.3</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Counterparts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11.4</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No merger</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11.5</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Entire agreement</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11.6</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Further assurances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11.7</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No waiver</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11.8</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Governing law and jurisdiction</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11.9</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Severability</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11.10</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Approval and consent</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400" w:type="dxa"/>
            <w:vAlign w:val="bottom"/>
          </w:tcPr>
          <w:p>
            <w:pPr>
              <w:spacing w:after="0"/>
              <w:rPr>
                <w:sz w:val="17"/>
                <w:szCs w:val="17"/>
                <w:color w:val="auto"/>
              </w:rPr>
            </w:pPr>
          </w:p>
        </w:tc>
        <w:tc>
          <w:tcPr>
            <w:tcW w:w="680" w:type="dxa"/>
            <w:vAlign w:val="bottom"/>
          </w:tcPr>
          <w:p>
            <w:pPr>
              <w:ind w:left="180"/>
              <w:spacing w:after="0" w:line="202" w:lineRule="exact"/>
              <w:rPr>
                <w:sz w:val="20"/>
                <w:szCs w:val="20"/>
                <w:color w:val="auto"/>
              </w:rPr>
            </w:pPr>
            <w:r>
              <w:rPr>
                <w:rFonts w:ascii="Arial" w:cs="Arial" w:eastAsia="Arial" w:hAnsi="Arial"/>
                <w:sz w:val="18"/>
                <w:szCs w:val="18"/>
                <w:color w:val="auto"/>
              </w:rPr>
              <w:t>11.11</w:t>
            </w:r>
          </w:p>
        </w:tc>
        <w:tc>
          <w:tcPr>
            <w:tcW w:w="7520" w:type="dxa"/>
            <w:vAlign w:val="bottom"/>
          </w:tcPr>
          <w:p>
            <w:pPr>
              <w:ind w:left="60"/>
              <w:spacing w:after="0" w:line="202" w:lineRule="exact"/>
              <w:rPr>
                <w:sz w:val="20"/>
                <w:szCs w:val="20"/>
                <w:color w:val="auto"/>
              </w:rPr>
            </w:pPr>
            <w:r>
              <w:rPr>
                <w:rFonts w:ascii="Arial" w:cs="Arial" w:eastAsia="Arial" w:hAnsi="Arial"/>
                <w:sz w:val="18"/>
                <w:szCs w:val="18"/>
                <w:color w:val="auto"/>
              </w:rPr>
              <w:t>Costs</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17"/>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11.12</w:t>
            </w:r>
          </w:p>
        </w:tc>
        <w:tc>
          <w:tcPr>
            <w:tcW w:w="7520" w:type="dxa"/>
            <w:vAlign w:val="bottom"/>
          </w:tcPr>
          <w:p>
            <w:pPr>
              <w:ind w:left="60"/>
              <w:spacing w:after="0"/>
              <w:rPr>
                <w:sz w:val="20"/>
                <w:szCs w:val="20"/>
                <w:color w:val="auto"/>
              </w:rPr>
            </w:pPr>
            <w:r>
              <w:rPr>
                <w:rFonts w:ascii="Arial" w:cs="Arial" w:eastAsia="Arial" w:hAnsi="Arial"/>
                <w:sz w:val="18"/>
                <w:szCs w:val="18"/>
                <w:color w:val="auto"/>
              </w:rPr>
              <w:t>Relationship between the parties</w:t>
            </w:r>
          </w:p>
        </w:tc>
        <w:tc>
          <w:tcPr>
            <w:tcW w:w="2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668"/>
        </w:trPr>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9" w:right="33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w w:val="98"/>
              </w:rPr>
              <w:t>Notice</w:t>
            </w:r>
          </w:p>
        </w:tc>
        <w:tc>
          <w:tcPr>
            <w:tcW w:w="5880" w:type="dxa"/>
            <w:vAlign w:val="bottom"/>
          </w:tcPr>
          <w:p>
            <w:pPr>
              <w:spacing w:after="0"/>
              <w:rPr>
                <w:sz w:val="19"/>
                <w:szCs w:val="19"/>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03"/>
        </w:trPr>
        <w:tc>
          <w:tcPr>
            <w:tcW w:w="400" w:type="dxa"/>
            <w:vAlign w:val="bottom"/>
          </w:tcPr>
          <w:p>
            <w:pPr>
              <w:spacing w:after="0"/>
              <w:rPr>
                <w:sz w:val="17"/>
                <w:szCs w:val="17"/>
                <w:color w:val="auto"/>
              </w:rPr>
            </w:pPr>
          </w:p>
        </w:tc>
        <w:tc>
          <w:tcPr>
            <w:tcW w:w="740" w:type="dxa"/>
            <w:vAlign w:val="bottom"/>
          </w:tcPr>
          <w:p>
            <w:pPr>
              <w:ind w:left="180"/>
              <w:spacing w:after="0" w:line="202" w:lineRule="exact"/>
              <w:rPr>
                <w:sz w:val="20"/>
                <w:szCs w:val="20"/>
                <w:color w:val="auto"/>
              </w:rPr>
            </w:pPr>
            <w:r>
              <w:rPr>
                <w:rFonts w:ascii="Arial" w:cs="Arial" w:eastAsia="Arial" w:hAnsi="Arial"/>
                <w:sz w:val="18"/>
                <w:szCs w:val="18"/>
                <w:color w:val="auto"/>
              </w:rPr>
              <w:t>12.1</w:t>
            </w: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Method of giving notice</w:t>
            </w:r>
          </w:p>
        </w:tc>
        <w:tc>
          <w:tcPr>
            <w:tcW w:w="42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400" w:type="dxa"/>
            <w:vAlign w:val="bottom"/>
          </w:tcPr>
          <w:p>
            <w:pPr>
              <w:spacing w:after="0"/>
              <w:rPr>
                <w:sz w:val="17"/>
                <w:szCs w:val="17"/>
                <w:color w:val="auto"/>
              </w:rPr>
            </w:pPr>
          </w:p>
        </w:tc>
        <w:tc>
          <w:tcPr>
            <w:tcW w:w="740" w:type="dxa"/>
            <w:vAlign w:val="bottom"/>
          </w:tcPr>
          <w:p>
            <w:pPr>
              <w:ind w:left="180"/>
              <w:spacing w:after="0" w:line="202" w:lineRule="exact"/>
              <w:rPr>
                <w:sz w:val="20"/>
                <w:szCs w:val="20"/>
                <w:color w:val="auto"/>
              </w:rPr>
            </w:pPr>
            <w:r>
              <w:rPr>
                <w:rFonts w:ascii="Arial" w:cs="Arial" w:eastAsia="Arial" w:hAnsi="Arial"/>
                <w:sz w:val="18"/>
                <w:szCs w:val="18"/>
                <w:color w:val="auto"/>
              </w:rPr>
              <w:t>12.2</w:t>
            </w: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When is notice given</w:t>
            </w:r>
          </w:p>
        </w:tc>
        <w:tc>
          <w:tcPr>
            <w:tcW w:w="42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17"/>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12.3</w:t>
            </w:r>
          </w:p>
        </w:tc>
        <w:tc>
          <w:tcPr>
            <w:tcW w:w="5880" w:type="dxa"/>
            <w:vAlign w:val="bottom"/>
          </w:tcPr>
          <w:p>
            <w:pPr>
              <w:spacing w:after="0"/>
              <w:rPr>
                <w:sz w:val="20"/>
                <w:szCs w:val="20"/>
                <w:color w:val="auto"/>
              </w:rPr>
            </w:pPr>
            <w:r>
              <w:rPr>
                <w:rFonts w:ascii="Arial" w:cs="Arial" w:eastAsia="Arial" w:hAnsi="Arial"/>
                <w:sz w:val="18"/>
                <w:szCs w:val="18"/>
                <w:color w:val="auto"/>
              </w:rPr>
              <w:t>Address for notices</w:t>
            </w:r>
          </w:p>
        </w:tc>
        <w:tc>
          <w:tcPr>
            <w:tcW w:w="4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0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Execution</w:t>
            </w:r>
          </w:p>
        </w:tc>
        <w:tc>
          <w:tcPr>
            <w:tcW w:w="5880" w:type="dxa"/>
            <w:vAlign w:val="bottom"/>
          </w:tcPr>
          <w:p>
            <w:pPr>
              <w:spacing w:after="0"/>
              <w:rPr>
                <w:sz w:val="24"/>
                <w:szCs w:val="24"/>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668"/>
        </w:trPr>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9" w:right="33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5163185</wp:posOffset>
            </wp:positionH>
            <wp:positionV relativeFrom="page">
              <wp:posOffset>346075</wp:posOffset>
            </wp:positionV>
            <wp:extent cx="2143125" cy="3429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Deed of access, insurance and indemnity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176"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NOVONIX Limited CAN 157 690 830</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Company</w:t>
      </w:r>
    </w:p>
    <w:p>
      <w:pPr>
        <w:ind w:left="1700"/>
        <w:spacing w:after="0"/>
        <w:rPr>
          <w:sz w:val="20"/>
          <w:szCs w:val="20"/>
          <w:color w:val="auto"/>
        </w:rPr>
      </w:pPr>
      <w:r>
        <w:rPr>
          <w:rFonts w:ascii="Arial" w:cs="Arial" w:eastAsia="Arial" w:hAnsi="Arial"/>
          <w:sz w:val="18"/>
          <w:szCs w:val="18"/>
          <w:color w:val="auto"/>
        </w:rPr>
        <w:t>of Level 8, 46 Edward Street, Brisbane Queensland 4000</w:t>
      </w:r>
    </w:p>
    <w:p>
      <w:pPr>
        <w:spacing w:after="0" w:line="190"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Trevor St Baker</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w:t>
      </w:r>
    </w:p>
    <w:p>
      <w:pPr>
        <w:ind w:left="1700"/>
        <w:spacing w:after="0"/>
        <w:rPr>
          <w:sz w:val="20"/>
          <w:szCs w:val="20"/>
          <w:color w:val="auto"/>
        </w:rPr>
      </w:pPr>
      <w:r>
        <w:rPr>
          <w:rFonts w:ascii="Arial" w:cs="Arial" w:eastAsia="Arial" w:hAnsi="Arial"/>
          <w:sz w:val="18"/>
          <w:szCs w:val="18"/>
          <w:color w:val="auto"/>
        </w:rPr>
        <w:t>of 22 Sandford Street, St Lucia Queensland 4067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98"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Director is a director of the Company.</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7"/>
          <w:szCs w:val="17"/>
          <w:color w:val="auto"/>
        </w:rPr>
        <w:t>The Company agrees to:</w:t>
      </w:r>
    </w:p>
    <w:p>
      <w:pPr>
        <w:spacing w:after="0" w:line="198" w:lineRule="exact"/>
        <w:rPr>
          <w:rFonts w:ascii="Arial" w:cs="Arial" w:eastAsia="Arial" w:hAnsi="Arial"/>
          <w:sz w:val="18"/>
          <w:szCs w:val="18"/>
          <w:color w:val="auto"/>
        </w:rPr>
      </w:pPr>
    </w:p>
    <w:p>
      <w:pPr>
        <w:ind w:left="1300" w:right="100" w:hanging="644"/>
        <w:spacing w:after="0" w:line="246"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indemnify the Director to the extent permitted by law against Liabilities and legal costs incurred by the Director in, or because of acting in, any Capacity;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maintain, and pay the premium on, a D&amp;O Policy covering the Director;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maintain a copy of all Board Papers;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give the Director access to the Board Papers and other documents of the Company,</w:t>
      </w:r>
    </w:p>
    <w:p>
      <w:pPr>
        <w:spacing w:after="0" w:line="198"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during the time that the Director holds office and for a seven year period after the Director ceases to be an officer of the Company, on the terms in this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Agreed terms</w:t>
      </w:r>
    </w:p>
    <w:p>
      <w:pPr>
        <w:spacing w:after="0" w:line="176"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1.1</w:t>
            </w:r>
          </w:p>
        </w:tc>
        <w:tc>
          <w:tcPr>
            <w:tcW w:w="1920" w:type="dxa"/>
            <w:vAlign w:val="bottom"/>
          </w:tcPr>
          <w:p>
            <w:pPr>
              <w:spacing w:after="0"/>
              <w:rPr>
                <w:sz w:val="20"/>
                <w:szCs w:val="20"/>
                <w:color w:val="auto"/>
              </w:rPr>
            </w:pPr>
            <w:r>
              <w:rPr>
                <w:rFonts w:ascii="Arial" w:cs="Arial" w:eastAsia="Arial" w:hAnsi="Arial"/>
                <w:sz w:val="18"/>
                <w:szCs w:val="18"/>
                <w:b w:val="1"/>
                <w:bCs w:val="1"/>
                <w:color w:val="auto"/>
              </w:rPr>
              <w:t>Definitions</w:t>
            </w:r>
          </w:p>
        </w:tc>
        <w:tc>
          <w:tcPr>
            <w:tcW w:w="70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405"/>
        </w:trPr>
        <w:tc>
          <w:tcPr>
            <w:tcW w:w="6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In this document:</w:t>
            </w:r>
          </w:p>
        </w:tc>
        <w:tc>
          <w:tcPr>
            <w:tcW w:w="70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391"/>
        </w:trPr>
        <w:tc>
          <w:tcPr>
            <w:tcW w:w="660" w:type="dxa"/>
            <w:vAlign w:val="bottom"/>
          </w:tcPr>
          <w:p>
            <w:pPr>
              <w:spacing w:after="0"/>
              <w:rPr>
                <w:sz w:val="24"/>
                <w:szCs w:val="24"/>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87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Definition</w:t>
            </w:r>
          </w:p>
        </w:tc>
      </w:tr>
      <w:tr>
        <w:trPr>
          <w:trHeight w:val="232"/>
        </w:trPr>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Authorised Person</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means any person authorised in writing by the Director and approved by the Company.</w:t>
            </w:r>
          </w:p>
        </w:tc>
      </w:tr>
      <w:tr>
        <w:trPr>
          <w:trHeight w:val="396"/>
        </w:trPr>
        <w:tc>
          <w:tcPr>
            <w:tcW w:w="6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b w:val="1"/>
                <w:bCs w:val="1"/>
                <w:i w:val="1"/>
                <w:iCs w:val="1"/>
                <w:color w:val="auto"/>
              </w:rPr>
              <w:t>Board</w:t>
            </w:r>
          </w:p>
        </w:tc>
        <w:tc>
          <w:tcPr>
            <w:tcW w:w="8740" w:type="dxa"/>
            <w:vAlign w:val="bottom"/>
            <w:gridSpan w:val="2"/>
          </w:tcPr>
          <w:p>
            <w:pPr>
              <w:ind w:left="320"/>
              <w:spacing w:after="0"/>
              <w:rPr>
                <w:sz w:val="20"/>
                <w:szCs w:val="20"/>
                <w:color w:val="auto"/>
              </w:rPr>
            </w:pPr>
            <w:r>
              <w:rPr>
                <w:rFonts w:ascii="Arial" w:cs="Arial" w:eastAsia="Arial" w:hAnsi="Arial"/>
                <w:sz w:val="18"/>
                <w:szCs w:val="18"/>
                <w:i w:val="1"/>
                <w:iCs w:val="1"/>
                <w:color w:val="auto"/>
              </w:rPr>
              <w:t>means:</w:t>
            </w:r>
          </w:p>
        </w:tc>
      </w:tr>
      <w:tr>
        <w:trPr>
          <w:trHeight w:val="418"/>
        </w:trPr>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rPr>
              <w:t>(a)</w:t>
            </w:r>
          </w:p>
        </w:tc>
        <w:tc>
          <w:tcPr>
            <w:tcW w:w="8040" w:type="dxa"/>
            <w:vAlign w:val="bottom"/>
          </w:tcPr>
          <w:p>
            <w:pPr>
              <w:ind w:left="180"/>
              <w:spacing w:after="0"/>
              <w:rPr>
                <w:sz w:val="20"/>
                <w:szCs w:val="20"/>
                <w:color w:val="auto"/>
              </w:rPr>
            </w:pPr>
            <w:r>
              <w:rPr>
                <w:rFonts w:ascii="Arial" w:cs="Arial" w:eastAsia="Arial" w:hAnsi="Arial"/>
                <w:sz w:val="18"/>
                <w:szCs w:val="18"/>
                <w:i w:val="1"/>
                <w:iCs w:val="1"/>
                <w:color w:val="auto"/>
              </w:rPr>
              <w:t>the board of directors of the Company; or</w:t>
            </w:r>
          </w:p>
        </w:tc>
      </w:tr>
      <w:tr>
        <w:trPr>
          <w:trHeight w:val="419"/>
        </w:trPr>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rPr>
              <w:t>(b)</w:t>
            </w:r>
          </w:p>
        </w:tc>
        <w:tc>
          <w:tcPr>
            <w:tcW w:w="8040" w:type="dxa"/>
            <w:vAlign w:val="bottom"/>
          </w:tcPr>
          <w:p>
            <w:pPr>
              <w:ind w:left="180"/>
              <w:spacing w:after="0"/>
              <w:rPr>
                <w:sz w:val="20"/>
                <w:szCs w:val="20"/>
                <w:color w:val="auto"/>
              </w:rPr>
            </w:pPr>
            <w:r>
              <w:rPr>
                <w:rFonts w:ascii="Arial" w:cs="Arial" w:eastAsia="Arial" w:hAnsi="Arial"/>
                <w:sz w:val="18"/>
                <w:szCs w:val="18"/>
                <w:i w:val="1"/>
                <w:iCs w:val="1"/>
                <w:color w:val="auto"/>
              </w:rPr>
              <w:t>any committee of the board of directors of the Company.</w:t>
            </w:r>
          </w:p>
        </w:tc>
      </w:tr>
    </w:tbl>
    <w:p>
      <w:pPr>
        <w:spacing w:after="0" w:line="229" w:lineRule="exact"/>
        <w:rPr>
          <w:sz w:val="20"/>
          <w:szCs w:val="20"/>
          <w:color w:val="auto"/>
        </w:rPr>
      </w:pPr>
    </w:p>
    <w:p>
      <w:pPr>
        <w:spacing w:after="0"/>
        <w:tabs>
          <w:tab w:leader="none" w:pos="1080" w:val="left"/>
          <w:tab w:leader="none" w:pos="1380" w:val="left"/>
        </w:tabs>
        <w:rPr>
          <w:sz w:val="20"/>
          <w:szCs w:val="20"/>
          <w:color w:val="auto"/>
        </w:rPr>
      </w:pPr>
      <w:r>
        <w:rPr>
          <w:rFonts w:ascii="Arial" w:cs="Arial" w:eastAsia="Arial" w:hAnsi="Arial"/>
          <w:sz w:val="18"/>
          <w:szCs w:val="18"/>
          <w:color w:val="auto"/>
        </w:rPr>
        <w:t>T St Baker</w:t>
        <w:tab/>
        <w:t>|</w:t>
        <w:tab/>
        <w:t>Deed of access, insurance and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321" w:right="25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25"/>
        </w:trPr>
        <w:tc>
          <w:tcPr>
            <w:tcW w:w="660" w:type="dxa"/>
            <w:vAlign w:val="bottom"/>
          </w:tcPr>
          <w:p>
            <w:pPr>
              <w:spacing w:after="0"/>
              <w:rPr>
                <w:sz w:val="19"/>
                <w:szCs w:val="19"/>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Definition</w:t>
            </w:r>
          </w:p>
        </w:tc>
        <w:tc>
          <w:tcPr>
            <w:tcW w:w="7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195"/>
        </w:trPr>
        <w:tc>
          <w:tcPr>
            <w:tcW w:w="660" w:type="dxa"/>
            <w:vAlign w:val="bottom"/>
          </w:tcPr>
          <w:p>
            <w:pPr>
              <w:spacing w:after="0"/>
              <w:rPr>
                <w:sz w:val="16"/>
                <w:szCs w:val="16"/>
                <w:color w:val="auto"/>
              </w:rPr>
            </w:pPr>
          </w:p>
        </w:tc>
        <w:tc>
          <w:tcPr>
            <w:tcW w:w="2080" w:type="dxa"/>
            <w:vAlign w:val="bottom"/>
          </w:tcPr>
          <w:p>
            <w:pPr>
              <w:spacing w:after="0" w:line="195" w:lineRule="exact"/>
              <w:rPr>
                <w:sz w:val="20"/>
                <w:szCs w:val="20"/>
                <w:color w:val="auto"/>
              </w:rPr>
            </w:pPr>
            <w:r>
              <w:rPr>
                <w:rFonts w:ascii="Arial" w:cs="Arial" w:eastAsia="Arial" w:hAnsi="Arial"/>
                <w:sz w:val="18"/>
                <w:szCs w:val="18"/>
                <w:b w:val="1"/>
                <w:bCs w:val="1"/>
                <w:color w:val="auto"/>
              </w:rPr>
              <w:t>Board Papers</w:t>
            </w:r>
          </w:p>
        </w:tc>
        <w:tc>
          <w:tcPr>
            <w:tcW w:w="8580" w:type="dxa"/>
            <w:vAlign w:val="bottom"/>
            <w:gridSpan w:val="5"/>
          </w:tcPr>
          <w:p>
            <w:pPr>
              <w:ind w:left="160"/>
              <w:spacing w:after="0" w:line="195" w:lineRule="exact"/>
              <w:rPr>
                <w:sz w:val="20"/>
                <w:szCs w:val="20"/>
                <w:color w:val="auto"/>
              </w:rPr>
            </w:pPr>
            <w:r>
              <w:rPr>
                <w:rFonts w:ascii="Arial" w:cs="Arial" w:eastAsia="Arial" w:hAnsi="Arial"/>
                <w:sz w:val="18"/>
                <w:szCs w:val="18"/>
                <w:color w:val="auto"/>
              </w:rPr>
              <w:t>means all documents recording or giving information for the Board, brought into existence or available to</w:t>
            </w:r>
          </w:p>
        </w:tc>
      </w:tr>
      <w:tr>
        <w:trPr>
          <w:trHeight w:val="217"/>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the Director while the Director held office.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9"/>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Books</w:t>
            </w: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has the meaning given to that term in section 9 Corporations Act.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Business Day</w:t>
            </w: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means a day that is not a Saturday, Sunday or public holiday in Brisbane, Queensland.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Business Hours</w:t>
            </w: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means from 9.00am to 5.00pm (Brisbane time) on a Business Day.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Capacity</w:t>
            </w: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means the capacity of the Director in the Company, including as a director and officer of the Company.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Claim</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means:</w:t>
            </w:r>
          </w:p>
        </w:tc>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620" w:type="dxa"/>
            <w:vAlign w:val="bottom"/>
          </w:tcPr>
          <w:p>
            <w:pPr>
              <w:ind w:left="180"/>
              <w:spacing w:after="0"/>
              <w:rPr>
                <w:sz w:val="20"/>
                <w:szCs w:val="20"/>
                <w:color w:val="auto"/>
              </w:rPr>
            </w:pPr>
            <w:r>
              <w:rPr>
                <w:rFonts w:ascii="Arial" w:cs="Arial" w:eastAsia="Arial" w:hAnsi="Arial"/>
                <w:sz w:val="18"/>
                <w:szCs w:val="18"/>
                <w:color w:val="auto"/>
              </w:rPr>
              <w:t>any:</w:t>
            </w:r>
          </w:p>
        </w:tc>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(i)</w:t>
            </w:r>
          </w:p>
        </w:tc>
        <w:tc>
          <w:tcPr>
            <w:tcW w:w="7420" w:type="dxa"/>
            <w:vAlign w:val="bottom"/>
            <w:gridSpan w:val="3"/>
          </w:tcPr>
          <w:p>
            <w:pPr>
              <w:ind w:left="100"/>
              <w:spacing w:after="0"/>
              <w:rPr>
                <w:sz w:val="20"/>
                <w:szCs w:val="20"/>
                <w:color w:val="auto"/>
              </w:rPr>
            </w:pPr>
            <w:r>
              <w:rPr>
                <w:rFonts w:ascii="Arial" w:cs="Arial" w:eastAsia="Arial" w:hAnsi="Arial"/>
                <w:sz w:val="18"/>
                <w:szCs w:val="18"/>
                <w:color w:val="auto"/>
              </w:rPr>
              <w:t>legal proceeding (whether civil or criminal), administrative proceeding, arbitral proceeding,</w:t>
            </w:r>
          </w:p>
        </w:tc>
      </w:tr>
      <w:tr>
        <w:trPr>
          <w:trHeight w:val="203"/>
        </w:trPr>
        <w:tc>
          <w:tcPr>
            <w:tcW w:w="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mediation or other form of alternative dispute resolution (whether or not held in conjunction</w:t>
            </w:r>
          </w:p>
        </w:tc>
      </w:tr>
      <w:tr>
        <w:trPr>
          <w:trHeight w:val="217"/>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20" w:type="dxa"/>
            <w:vAlign w:val="bottom"/>
          </w:tcPr>
          <w:p>
            <w:pPr>
              <w:ind w:left="100"/>
              <w:spacing w:after="0"/>
              <w:rPr>
                <w:sz w:val="20"/>
                <w:szCs w:val="20"/>
                <w:color w:val="auto"/>
              </w:rPr>
            </w:pPr>
            <w:r>
              <w:rPr>
                <w:rFonts w:ascii="Arial" w:cs="Arial" w:eastAsia="Arial" w:hAnsi="Arial"/>
                <w:sz w:val="18"/>
                <w:szCs w:val="18"/>
                <w:color w:val="auto"/>
              </w:rPr>
              <w:t>with any legal, administrative or arbitral proceeding); 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(ii)</w:t>
            </w:r>
          </w:p>
        </w:tc>
        <w:tc>
          <w:tcPr>
            <w:tcW w:w="7220" w:type="dxa"/>
            <w:vAlign w:val="bottom"/>
          </w:tcPr>
          <w:p>
            <w:pPr>
              <w:ind w:left="100"/>
              <w:spacing w:after="0"/>
              <w:rPr>
                <w:sz w:val="20"/>
                <w:szCs w:val="20"/>
                <w:color w:val="auto"/>
              </w:rPr>
            </w:pPr>
            <w:r>
              <w:rPr>
                <w:rFonts w:ascii="Arial" w:cs="Arial" w:eastAsia="Arial" w:hAnsi="Arial"/>
                <w:sz w:val="18"/>
                <w:szCs w:val="18"/>
                <w:color w:val="auto"/>
              </w:rPr>
              <w:t>investigation or inquiry by any Government Agency or External Administrator,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40" w:type="dxa"/>
            <w:vAlign w:val="bottom"/>
            <w:gridSpan w:val="2"/>
          </w:tcPr>
          <w:p>
            <w:pPr>
              <w:ind w:left="180"/>
              <w:spacing w:after="0"/>
              <w:rPr>
                <w:sz w:val="20"/>
                <w:szCs w:val="20"/>
                <w:color w:val="auto"/>
              </w:rPr>
            </w:pPr>
            <w:r>
              <w:rPr>
                <w:rFonts w:ascii="Arial" w:cs="Arial" w:eastAsia="Arial" w:hAnsi="Arial"/>
                <w:sz w:val="18"/>
                <w:szCs w:val="18"/>
                <w:color w:val="auto"/>
              </w:rPr>
              <w:t>about or arising out of any actual or alleged act or omission of the Director in any Capacity; or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7840" w:type="dxa"/>
            <w:vAlign w:val="bottom"/>
            <w:gridSpan w:val="2"/>
          </w:tcPr>
          <w:p>
            <w:pPr>
              <w:ind w:left="180"/>
              <w:spacing w:after="0"/>
              <w:rPr>
                <w:sz w:val="20"/>
                <w:szCs w:val="20"/>
                <w:color w:val="auto"/>
              </w:rPr>
            </w:pPr>
            <w:r>
              <w:rPr>
                <w:rFonts w:ascii="Arial" w:cs="Arial" w:eastAsia="Arial" w:hAnsi="Arial"/>
                <w:sz w:val="18"/>
                <w:szCs w:val="18"/>
                <w:color w:val="auto"/>
                <w:w w:val="99"/>
              </w:rPr>
              <w:t>any written or oral threat, complaint, demand or other circumstance that might reasonably cause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Director to believe that any proceedings, investigation or inquiry referred to in paragraph (a)</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40" w:type="dxa"/>
            <w:vAlign w:val="bottom"/>
            <w:gridSpan w:val="2"/>
          </w:tcPr>
          <w:p>
            <w:pPr>
              <w:ind w:left="180"/>
              <w:spacing w:after="0"/>
              <w:rPr>
                <w:sz w:val="20"/>
                <w:szCs w:val="20"/>
                <w:color w:val="auto"/>
              </w:rPr>
            </w:pPr>
            <w:r>
              <w:rPr>
                <w:rFonts w:ascii="Arial" w:cs="Arial" w:eastAsia="Arial" w:hAnsi="Arial"/>
                <w:sz w:val="18"/>
                <w:szCs w:val="18"/>
                <w:color w:val="auto"/>
              </w:rPr>
              <w:t>above will be initiated.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Corporations Act</w:t>
            </w: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 xml:space="preserve">means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D&amp;O Policy</w:t>
            </w: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means a contract or contracts: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8040" w:type="dxa"/>
            <w:vAlign w:val="bottom"/>
            <w:gridSpan w:val="4"/>
          </w:tcPr>
          <w:p>
            <w:pPr>
              <w:ind w:left="180"/>
              <w:spacing w:after="0"/>
              <w:rPr>
                <w:sz w:val="20"/>
                <w:szCs w:val="20"/>
                <w:color w:val="auto"/>
              </w:rPr>
            </w:pPr>
            <w:r>
              <w:rPr>
                <w:rFonts w:ascii="Arial" w:cs="Arial" w:eastAsia="Arial" w:hAnsi="Arial"/>
                <w:sz w:val="18"/>
                <w:szCs w:val="18"/>
                <w:color w:val="auto"/>
              </w:rPr>
              <w:t>insuring against Liabilities incurred by a person in the person’s capacity as director or officer of the</w:t>
            </w:r>
          </w:p>
        </w:tc>
      </w:tr>
      <w:tr>
        <w:trPr>
          <w:trHeight w:val="217"/>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40" w:type="dxa"/>
            <w:vAlign w:val="bottom"/>
            <w:gridSpan w:val="2"/>
          </w:tcPr>
          <w:p>
            <w:pPr>
              <w:ind w:left="180"/>
              <w:spacing w:after="0"/>
              <w:rPr>
                <w:sz w:val="20"/>
                <w:szCs w:val="20"/>
                <w:color w:val="auto"/>
              </w:rPr>
            </w:pPr>
            <w:r>
              <w:rPr>
                <w:rFonts w:ascii="Arial" w:cs="Arial" w:eastAsia="Arial" w:hAnsi="Arial"/>
                <w:sz w:val="18"/>
                <w:szCs w:val="18"/>
                <w:color w:val="auto"/>
              </w:rPr>
              <w:t>Company; 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4"/>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7840" w:type="dxa"/>
            <w:vAlign w:val="bottom"/>
            <w:gridSpan w:val="2"/>
          </w:tcPr>
          <w:p>
            <w:pPr>
              <w:ind w:left="180"/>
              <w:spacing w:after="0"/>
              <w:rPr>
                <w:sz w:val="20"/>
                <w:szCs w:val="20"/>
                <w:color w:val="auto"/>
              </w:rPr>
            </w:pPr>
            <w:r>
              <w:rPr>
                <w:rFonts w:ascii="Arial" w:cs="Arial" w:eastAsia="Arial" w:hAnsi="Arial"/>
                <w:sz w:val="18"/>
                <w:szCs w:val="18"/>
                <w:color w:val="auto"/>
              </w:rPr>
              <w:t>allowing the Company to obtain reimbursement for claims paid by it to a director or officer of the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40" w:type="dxa"/>
            <w:vAlign w:val="bottom"/>
            <w:gridSpan w:val="2"/>
          </w:tcPr>
          <w:p>
            <w:pPr>
              <w:ind w:left="180"/>
              <w:spacing w:after="0"/>
              <w:rPr>
                <w:sz w:val="20"/>
                <w:szCs w:val="20"/>
                <w:color w:val="auto"/>
              </w:rPr>
            </w:pPr>
            <w:r>
              <w:rPr>
                <w:rFonts w:ascii="Arial" w:cs="Arial" w:eastAsia="Arial" w:hAnsi="Arial"/>
                <w:sz w:val="18"/>
                <w:szCs w:val="18"/>
                <w:color w:val="auto"/>
              </w:rPr>
              <w:t>Company under an indemnity.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External Administrator</w:t>
            </w: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means any liquidator, provisional liquidator, external controller or administrator.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GST</w:t>
            </w: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has the meaning given to that term in the GST Act.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GST Act</w:t>
            </w:r>
          </w:p>
        </w:tc>
        <w:tc>
          <w:tcPr>
            <w:tcW w:w="8380" w:type="dxa"/>
            <w:vAlign w:val="bottom"/>
            <w:gridSpan w:val="3"/>
          </w:tcPr>
          <w:p>
            <w:pPr>
              <w:ind w:left="160"/>
              <w:spacing w:after="0"/>
              <w:rPr>
                <w:sz w:val="20"/>
                <w:szCs w:val="20"/>
                <w:color w:val="auto"/>
              </w:rPr>
            </w:pPr>
            <w:r>
              <w:rPr>
                <w:rFonts w:ascii="Arial" w:cs="Arial" w:eastAsia="Arial" w:hAnsi="Arial"/>
                <w:sz w:val="18"/>
                <w:szCs w:val="18"/>
                <w:color w:val="auto"/>
              </w:rPr>
              <w:t xml:space="preserve">means </w:t>
            </w:r>
            <w:r>
              <w:rPr>
                <w:rFonts w:ascii="Arial" w:cs="Arial" w:eastAsia="Arial" w:hAnsi="Arial"/>
                <w:sz w:val="18"/>
                <w:szCs w:val="18"/>
                <w:i w:val="1"/>
                <w:iCs w:val="1"/>
                <w:color w:val="auto"/>
              </w:rPr>
              <w:t>A New Tax System (Goods and Services Tax) Act 1999</w:t>
            </w:r>
            <w:r>
              <w:rPr>
                <w:rFonts w:ascii="Arial" w:cs="Arial" w:eastAsia="Arial" w:hAnsi="Arial"/>
                <w:sz w:val="18"/>
                <w:szCs w:val="18"/>
                <w:color w:val="auto"/>
              </w:rPr>
              <w:t xml:space="preserve"> (Cth).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Government Agency</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means:</w:t>
            </w:r>
          </w:p>
        </w:tc>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7840" w:type="dxa"/>
            <w:vAlign w:val="bottom"/>
            <w:gridSpan w:val="2"/>
          </w:tcPr>
          <w:p>
            <w:pPr>
              <w:ind w:left="180"/>
              <w:spacing w:after="0"/>
              <w:rPr>
                <w:sz w:val="20"/>
                <w:szCs w:val="20"/>
                <w:color w:val="auto"/>
              </w:rPr>
            </w:pPr>
            <w:r>
              <w:rPr>
                <w:rFonts w:ascii="Arial" w:cs="Arial" w:eastAsia="Arial" w:hAnsi="Arial"/>
                <w:sz w:val="18"/>
                <w:szCs w:val="18"/>
                <w:color w:val="auto"/>
              </w:rPr>
              <w:t>a government or government department or other body;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7840" w:type="dxa"/>
            <w:vAlign w:val="bottom"/>
            <w:gridSpan w:val="2"/>
          </w:tcPr>
          <w:p>
            <w:pPr>
              <w:ind w:left="180"/>
              <w:spacing w:after="0"/>
              <w:rPr>
                <w:sz w:val="20"/>
                <w:szCs w:val="20"/>
                <w:color w:val="auto"/>
              </w:rPr>
            </w:pPr>
            <w:r>
              <w:rPr>
                <w:rFonts w:ascii="Arial" w:cs="Arial" w:eastAsia="Arial" w:hAnsi="Arial"/>
                <w:sz w:val="18"/>
                <w:szCs w:val="18"/>
                <w:color w:val="auto"/>
              </w:rPr>
              <w:t>a governmental, semi-governmental or judicial person; or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11120" w:type="dxa"/>
            <w:vAlign w:val="bottom"/>
            <w:gridSpan w:val="5"/>
          </w:tcPr>
          <w:p>
            <w:pPr>
              <w:spacing w:after="0"/>
              <w:rPr>
                <w:sz w:val="20"/>
                <w:szCs w:val="20"/>
                <w:color w:val="auto"/>
              </w:rPr>
            </w:pPr>
            <w:r>
              <w:rPr>
                <w:rFonts w:ascii="Arial" w:cs="Arial" w:eastAsia="Arial" w:hAnsi="Arial"/>
                <w:sz w:val="18"/>
                <w:szCs w:val="18"/>
                <w:color w:val="auto"/>
              </w:rPr>
              <w:t>T St Baker   |   Deed of access, insurance and indemnity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r>
      <w:tr>
        <w:trPr>
          <w:trHeight w:val="466"/>
        </w:trPr>
        <w:tc>
          <w:tcPr>
            <w:tcW w:w="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320" w:top="1197" w:right="259" w:bottom="1440" w:gutter="0" w:footer="0" w:header="0"/>
        </w:sectPr>
      </w:pPr>
      <w:r>
        <w:rPr>
          <w:sz w:val="20"/>
          <w:szCs w:val="20"/>
          <w:color w:val="auto"/>
        </w:rPr>
        <w:drawing>
          <wp:anchor simplePos="0" relativeHeight="251657728" behindDoc="1" locked="0" layoutInCell="0" allowOverlap="1">
            <wp:simplePos x="0" y="0"/>
            <wp:positionH relativeFrom="page">
              <wp:posOffset>5163185</wp:posOffset>
            </wp:positionH>
            <wp:positionV relativeFrom="page">
              <wp:posOffset>243205</wp:posOffset>
            </wp:positionV>
            <wp:extent cx="2143125" cy="3429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r>
    </w:p>
    <w:bookmarkStart w:id="184" w:name="page185"/>
    <w:bookmarkEnd w:id="184"/>
    <w:tbl>
      <w:tblPr>
        <w:tblLayout w:type="fixed"/>
        <w:tblInd w:w="0" w:type="dxa"/>
        <w:tblCellMar>
          <w:top w:w="0" w:type="dxa"/>
          <w:left w:w="0" w:type="dxa"/>
          <w:bottom w:w="0" w:type="dxa"/>
          <w:right w:w="0" w:type="dxa"/>
        </w:tblCellMar>
      </w:tblPr>
      <w:tr>
        <w:trPr>
          <w:trHeight w:val="225"/>
        </w:trPr>
        <w:tc>
          <w:tcPr>
            <w:tcW w:w="660" w:type="dxa"/>
            <w:vAlign w:val="bottom"/>
          </w:tcPr>
          <w:p>
            <w:pPr>
              <w:spacing w:after="0"/>
              <w:rPr>
                <w:sz w:val="19"/>
                <w:szCs w:val="19"/>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82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Definition</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(c)</w:t>
            </w:r>
          </w:p>
        </w:tc>
        <w:tc>
          <w:tcPr>
            <w:tcW w:w="7800" w:type="dxa"/>
            <w:vAlign w:val="bottom"/>
          </w:tcPr>
          <w:p>
            <w:pPr>
              <w:ind w:left="180"/>
              <w:spacing w:after="0"/>
              <w:rPr>
                <w:sz w:val="20"/>
                <w:szCs w:val="20"/>
                <w:color w:val="auto"/>
              </w:rPr>
            </w:pPr>
            <w:r>
              <w:rPr>
                <w:rFonts w:ascii="Arial" w:cs="Arial" w:eastAsia="Arial" w:hAnsi="Arial"/>
                <w:sz w:val="18"/>
                <w:szCs w:val="18"/>
                <w:color w:val="auto"/>
              </w:rPr>
              <w:t>a person (whether autonomous or not) who is charged with the administration of a law.</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3"/>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Information</w:t>
            </w:r>
          </w:p>
        </w:tc>
        <w:tc>
          <w:tcPr>
            <w:tcW w:w="8520" w:type="dxa"/>
            <w:vAlign w:val="bottom"/>
            <w:gridSpan w:val="4"/>
          </w:tcPr>
          <w:p>
            <w:pPr>
              <w:ind w:left="100"/>
              <w:spacing w:after="0"/>
              <w:rPr>
                <w:sz w:val="20"/>
                <w:szCs w:val="20"/>
                <w:color w:val="auto"/>
              </w:rPr>
            </w:pPr>
            <w:r>
              <w:rPr>
                <w:rFonts w:ascii="Arial" w:cs="Arial" w:eastAsia="Arial" w:hAnsi="Arial"/>
                <w:sz w:val="18"/>
                <w:szCs w:val="18"/>
                <w:color w:val="auto"/>
                <w:w w:val="99"/>
              </w:rPr>
              <w:t>means information about a transaction of the Company, a Board Paper or a discussion at a meeting of the</w:t>
            </w:r>
          </w:p>
        </w:tc>
      </w:tr>
      <w:tr>
        <w:trPr>
          <w:trHeight w:val="217"/>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4"/>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means all liabilities, losses, claims, action, suit, demand, proceedings, notice, litigation, investigation,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judgment, damages, outgoings, costs or expenses of any description (including penalties, fines and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interest) whether based in contract, tort (including negligence) or otherwise under statute, and whether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present, anticipated, contingent or prospective, and including those the amount of which for the time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being is not ascertained or ascertainable.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Notified Claim</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means a Claim for which the Director has given notice to the Company under clause 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Objection Notice</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has the meaning set out in clause 3.6(a).</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Permitted Purpose</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has the meaning set out in clause 6.2.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Privileged Document</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means Books or Board Papers to which any form of legal privilege applies.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2"/>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Progressive or Periodic</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means a Taxable Supply that satisfies the requirements of section 156-5 GST Act.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66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Supply</w:t>
            </w:r>
          </w:p>
        </w:tc>
        <w:tc>
          <w:tcPr>
            <w:tcW w:w="4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Related Body Corporate</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has the meaning given to that term by section 9 Corporations Act.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Relevant Costs</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has the meaning set out in clause 4.5(a).</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Relevant Period</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means the period: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(a)</w:t>
            </w:r>
          </w:p>
        </w:tc>
        <w:tc>
          <w:tcPr>
            <w:tcW w:w="7800" w:type="dxa"/>
            <w:vAlign w:val="bottom"/>
          </w:tcPr>
          <w:p>
            <w:pPr>
              <w:ind w:left="180"/>
              <w:spacing w:after="0"/>
              <w:rPr>
                <w:sz w:val="20"/>
                <w:szCs w:val="20"/>
                <w:color w:val="auto"/>
              </w:rPr>
            </w:pPr>
            <w:r>
              <w:rPr>
                <w:rFonts w:ascii="Arial" w:cs="Arial" w:eastAsia="Arial" w:hAnsi="Arial"/>
                <w:sz w:val="18"/>
                <w:szCs w:val="18"/>
                <w:color w:val="auto"/>
              </w:rPr>
              <w:t>beginning on the date of this document; and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(b)</w:t>
            </w:r>
          </w:p>
        </w:tc>
        <w:tc>
          <w:tcPr>
            <w:tcW w:w="8040" w:type="dxa"/>
            <w:vAlign w:val="bottom"/>
            <w:gridSpan w:val="3"/>
          </w:tcPr>
          <w:p>
            <w:pPr>
              <w:ind w:left="180"/>
              <w:spacing w:after="0"/>
              <w:rPr>
                <w:sz w:val="20"/>
                <w:szCs w:val="20"/>
                <w:color w:val="auto"/>
              </w:rPr>
            </w:pPr>
            <w:r>
              <w:rPr>
                <w:rFonts w:ascii="Arial" w:cs="Arial" w:eastAsia="Arial" w:hAnsi="Arial"/>
                <w:sz w:val="18"/>
                <w:szCs w:val="18"/>
                <w:color w:val="auto"/>
              </w:rPr>
              <w:t>ending on the seventh anniversary of the date on which the Director has ceased to be an officer of</w:t>
            </w:r>
          </w:p>
        </w:tc>
      </w:tr>
      <w:tr>
        <w:trPr>
          <w:trHeight w:val="217"/>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the Company.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Requested Documents</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has the meaning set out in clause 6.3(b).</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Settlement Notice</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has the meaning set out in clause 3.6(a).</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has the meaning given to that term by section 9 Corporations Act.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Supplier</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means the entity making the Supply.</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Tax</w:t>
            </w:r>
          </w:p>
        </w:tc>
        <w:tc>
          <w:tcPr>
            <w:tcW w:w="8520" w:type="dxa"/>
            <w:vAlign w:val="bottom"/>
            <w:gridSpan w:val="4"/>
          </w:tcPr>
          <w:p>
            <w:pPr>
              <w:ind w:left="100"/>
              <w:spacing w:after="0"/>
              <w:rPr>
                <w:sz w:val="20"/>
                <w:szCs w:val="20"/>
                <w:color w:val="auto"/>
              </w:rPr>
            </w:pPr>
            <w:r>
              <w:rPr>
                <w:rFonts w:ascii="Arial" w:cs="Arial" w:eastAsia="Arial" w:hAnsi="Arial"/>
                <w:sz w:val="18"/>
                <w:szCs w:val="18"/>
                <w:color w:val="auto"/>
                <w:w w:val="99"/>
              </w:rPr>
              <w:t>includes any tax, levy, duty, charge, impost, fee, deduction and withholding however it is described, that is</w:t>
            </w:r>
          </w:p>
        </w:tc>
      </w:tr>
      <w:tr>
        <w:trPr>
          <w:trHeight w:val="203"/>
        </w:trPr>
        <w:tc>
          <w:tcPr>
            <w:tcW w:w="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assessed, levied, collected or imposed by law or by a government agency, together with any related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interest penalty, fine or other charge, or other amount imposed in respect of any of the above.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66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Third Party</w:t>
            </w: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has the meaning set out in clause 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11080" w:type="dxa"/>
            <w:vAlign w:val="bottom"/>
            <w:gridSpan w:val="4"/>
          </w:tcPr>
          <w:p>
            <w:pPr>
              <w:spacing w:after="0"/>
              <w:rPr>
                <w:sz w:val="20"/>
                <w:szCs w:val="20"/>
                <w:color w:val="auto"/>
              </w:rPr>
            </w:pPr>
            <w:r>
              <w:rPr>
                <w:rFonts w:ascii="Arial" w:cs="Arial" w:eastAsia="Arial" w:hAnsi="Arial"/>
                <w:sz w:val="18"/>
                <w:szCs w:val="18"/>
                <w:color w:val="auto"/>
              </w:rPr>
              <w:t>T St Baker   |   Deed of access, insurance and indemnity</w:t>
            </w:r>
          </w:p>
        </w:tc>
        <w:tc>
          <w:tcPr>
            <w:tcW w:w="1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r>
      <w:tr>
        <w:trPr>
          <w:trHeight w:val="466"/>
        </w:trPr>
        <w:tc>
          <w:tcPr>
            <w:tcW w:w="6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320" w:top="1197" w:right="259" w:bottom="1440" w:gutter="0" w:footer="0" w:header="0"/>
        </w:sectPr>
      </w:pPr>
      <w:r>
        <w:rPr>
          <w:sz w:val="20"/>
          <w:szCs w:val="20"/>
          <w:color w:val="auto"/>
        </w:rPr>
        <w:drawing>
          <wp:anchor simplePos="0" relativeHeight="251657728" behindDoc="1" locked="0" layoutInCell="0" allowOverlap="1">
            <wp:simplePos x="0" y="0"/>
            <wp:positionH relativeFrom="page">
              <wp:posOffset>5163185</wp:posOffset>
            </wp:positionH>
            <wp:positionV relativeFrom="page">
              <wp:posOffset>243205</wp:posOffset>
            </wp:positionV>
            <wp:extent cx="2143125" cy="3429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r>
    </w:p>
    <w:bookmarkStart w:id="185" w:name="page186"/>
    <w:bookmarkEnd w:id="185"/>
    <w:p>
      <w:pPr>
        <w:spacing w:after="0"/>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5163185</wp:posOffset>
            </wp:positionH>
            <wp:positionV relativeFrom="page">
              <wp:posOffset>217805</wp:posOffset>
            </wp:positionV>
            <wp:extent cx="2143125" cy="3429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1.2</w:t>
      </w:r>
      <w:r>
        <w:rPr>
          <w:sz w:val="20"/>
          <w:szCs w:val="20"/>
          <w:color w:val="auto"/>
        </w:rPr>
        <w:tab/>
      </w:r>
      <w:r>
        <w:rPr>
          <w:rFonts w:ascii="Arial" w:cs="Arial" w:eastAsia="Arial" w:hAnsi="Arial"/>
          <w:sz w:val="17"/>
          <w:szCs w:val="17"/>
          <w:b w:val="1"/>
          <w:bCs w:val="1"/>
          <w:color w:val="auto"/>
        </w:rPr>
        <w:t>Interpretation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document:</w:t>
      </w:r>
    </w:p>
    <w:p>
      <w:pPr>
        <w:spacing w:after="0" w:line="198" w:lineRule="exact"/>
        <w:rPr>
          <w:sz w:val="20"/>
          <w:szCs w:val="20"/>
          <w:color w:val="auto"/>
        </w:rPr>
      </w:pPr>
    </w:p>
    <w:p>
      <w:pPr>
        <w:ind w:left="1300" w:right="100" w:hanging="644"/>
        <w:spacing w:after="0" w:line="246"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reference to a clause, schedule, annexure or party is a reference to a clause of, and a schedule, annexure or party to, this document and references to this document include any schedules or annexures;</w:t>
      </w:r>
    </w:p>
    <w:p>
      <w:pPr>
        <w:spacing w:after="0" w:line="183" w:lineRule="exact"/>
        <w:rPr>
          <w:rFonts w:ascii="Arial" w:cs="Arial" w:eastAsia="Arial" w:hAnsi="Arial"/>
          <w:sz w:val="18"/>
          <w:szCs w:val="18"/>
          <w:color w:val="auto"/>
        </w:rPr>
      </w:pPr>
    </w:p>
    <w:p>
      <w:pPr>
        <w:ind w:left="1300" w:right="500" w:hanging="644"/>
        <w:spacing w:after="0" w:line="246"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reference to a party to this document or any other document or agreement includes the party’s successors, permitted substitutes and permitted assigns;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198" w:lineRule="exact"/>
        <w:rPr>
          <w:rFonts w:ascii="Arial" w:cs="Arial" w:eastAsia="Arial" w:hAnsi="Arial"/>
          <w:sz w:val="18"/>
          <w:szCs w:val="18"/>
          <w:color w:val="auto"/>
        </w:rPr>
      </w:pPr>
    </w:p>
    <w:p>
      <w:pPr>
        <w:ind w:left="1300" w:right="580" w:hanging="644"/>
        <w:spacing w:after="0" w:line="246"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reference to a document or agreement (including a reference to this document) is to that document or agreement as amended, supplemented, varied or replaced;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reference to this document includes the agreement recorded by this document;</w:t>
      </w:r>
    </w:p>
    <w:p>
      <w:pPr>
        <w:spacing w:after="0" w:line="198" w:lineRule="exact"/>
        <w:rPr>
          <w:rFonts w:ascii="Arial" w:cs="Arial" w:eastAsia="Arial" w:hAnsi="Arial"/>
          <w:sz w:val="18"/>
          <w:szCs w:val="18"/>
          <w:color w:val="auto"/>
        </w:rPr>
      </w:pPr>
    </w:p>
    <w:p>
      <w:pPr>
        <w:ind w:left="1300" w:right="200" w:hanging="644"/>
        <w:spacing w:after="0" w:line="246"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reference to legislation or to a provision of legislation (including subordinate legislation) is to that legislation as amended, re-enacted or replaced, and includes any subordinate legislation issued under it;</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any day on or by which a person must do something under this document is not a Business Day, then the person must do it on or by the next Business Day;</w:t>
      </w:r>
    </w:p>
    <w:p>
      <w:pPr>
        <w:spacing w:after="0" w:line="183" w:lineRule="exact"/>
        <w:rPr>
          <w:rFonts w:ascii="Arial" w:cs="Arial" w:eastAsia="Arial" w:hAnsi="Arial"/>
          <w:sz w:val="18"/>
          <w:szCs w:val="18"/>
          <w:color w:val="auto"/>
        </w:rPr>
      </w:pPr>
    </w:p>
    <w:p>
      <w:pPr>
        <w:ind w:left="1300" w:right="320" w:hanging="644"/>
        <w:spacing w:after="0" w:line="246"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reference to a person includes a corporation, trust, partnership, unincorporated body, government and local authority or agency, or other entity whether or not it comprises a separate legal entity;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reference to ‘month’ means calendar month; and</w:t>
      </w:r>
    </w:p>
    <w:p>
      <w:pPr>
        <w:spacing w:after="0" w:line="198" w:lineRule="exact"/>
        <w:rPr>
          <w:rFonts w:ascii="Arial" w:cs="Arial" w:eastAsia="Arial" w:hAnsi="Arial"/>
          <w:sz w:val="18"/>
          <w:szCs w:val="18"/>
          <w:color w:val="auto"/>
        </w:rPr>
      </w:pPr>
    </w:p>
    <w:p>
      <w:pPr>
        <w:ind w:left="1300" w:right="220" w:hanging="644"/>
        <w:spacing w:after="0" w:line="246"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meaning of any general language is not restricted by any accompanying example, and the words ‘includes’, ‘including’, ‘such as’ or ‘for example’ (or similar phrases) do not limit what else might be included.</w:t>
      </w:r>
    </w:p>
    <w:p>
      <w:pPr>
        <w:spacing w:after="0" w:line="161"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jc w:val="center"/>
        <w:ind w:right="9020"/>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General indemnity</w:t>
      </w:r>
    </w:p>
    <w:p>
      <w:pPr>
        <w:spacing w:after="0" w:line="220" w:lineRule="exact"/>
        <w:rPr>
          <w:sz w:val="20"/>
          <w:szCs w:val="20"/>
          <w:color w:val="auto"/>
        </w:rPr>
      </w:pPr>
    </w:p>
    <w:p>
      <w:pPr>
        <w:jc w:val="center"/>
        <w:ind w:right="9080"/>
        <w:spacing w:after="0"/>
        <w:rPr>
          <w:sz w:val="20"/>
          <w:szCs w:val="20"/>
          <w:color w:val="auto"/>
        </w:rPr>
      </w:pPr>
      <w:r>
        <w:rPr>
          <w:rFonts w:ascii="Arial" w:cs="Arial" w:eastAsia="Arial" w:hAnsi="Arial"/>
          <w:sz w:val="18"/>
          <w:szCs w:val="18"/>
          <w:color w:val="auto"/>
        </w:rPr>
        <w:t>Subject to:</w:t>
      </w:r>
    </w:p>
    <w:p>
      <w:pPr>
        <w:spacing w:after="0" w:line="198" w:lineRule="exact"/>
        <w:rPr>
          <w:sz w:val="20"/>
          <w:szCs w:val="20"/>
          <w:color w:val="auto"/>
        </w:rPr>
      </w:pPr>
    </w:p>
    <w:p>
      <w:pPr>
        <w:ind w:left="1300" w:hanging="644"/>
        <w:spacing w:after="0"/>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clauses 2.4, 2.5, 2.6 and 8;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prohibitions in section 199A Corporations Act,</w:t>
      </w:r>
    </w:p>
    <w:p>
      <w:pPr>
        <w:spacing w:after="0" w:line="198"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Company indemnifies the Director to the extent permitted by law against all Liabilities (other than legal costs referred to in clause 2.2) incurred by the Director acting in any Capacity, including as an authorised representative of the Company.</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Costs indemnity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w:t>
      </w:r>
    </w:p>
    <w:p>
      <w:pPr>
        <w:spacing w:after="0" w:line="198"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clauses 2.4, 2.5, 2.6 and 8; and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20"/>
                <w:szCs w:val="20"/>
                <w:color w:val="auto"/>
              </w:rPr>
            </w:pPr>
            <w:r>
              <w:rPr>
                <w:rFonts w:ascii="Arial" w:cs="Arial" w:eastAsia="Arial" w:hAnsi="Arial"/>
                <w:sz w:val="18"/>
                <w:szCs w:val="18"/>
                <w:color w:val="auto"/>
              </w:rPr>
              <w:t>T St Baker   |   Deed of access, insurance and indemnity</w:t>
            </w:r>
          </w:p>
        </w:tc>
        <w:tc>
          <w:tcPr>
            <w:tcW w:w="3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682"/>
        </w:trPr>
        <w:tc>
          <w:tcPr>
            <w:tcW w:w="7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02" w:right="339" w:bottom="1440" w:gutter="0" w:footer="0" w:header="0"/>
        </w:sectPr>
      </w:pPr>
    </w:p>
    <w:bookmarkStart w:id="186" w:name="page187"/>
    <w:bookmarkEnd w:id="186"/>
    <w:p>
      <w:pPr>
        <w:ind w:left="1300" w:hanging="644"/>
        <w:spacing w:after="0"/>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5163185</wp:posOffset>
            </wp:positionH>
            <wp:positionV relativeFrom="page">
              <wp:posOffset>217805</wp:posOffset>
            </wp:positionV>
            <wp:extent cx="2143125" cy="3429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the prohibitions in section 199A Corporations Act,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indemnifies the Director to the extent permitted by law against all legal costs:</w:t>
      </w:r>
    </w:p>
    <w:p>
      <w:pPr>
        <w:spacing w:after="0" w:line="198" w:lineRule="exact"/>
        <w:rPr>
          <w:sz w:val="20"/>
          <w:szCs w:val="20"/>
          <w:color w:val="auto"/>
        </w:rPr>
      </w:pPr>
    </w:p>
    <w:p>
      <w:pPr>
        <w:ind w:left="1300" w:right="40" w:hanging="644"/>
        <w:spacing w:after="0" w:line="246"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incurred by the Director in defending or resisting (or otherwise in or for) an action against the Director acting in any Capacity;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a Liability incurred or allegedly incurred by the Director acting in any Capacity; or</w:t>
      </w:r>
    </w:p>
    <w:p>
      <w:pPr>
        <w:spacing w:after="0" w:line="198" w:lineRule="exact"/>
        <w:rPr>
          <w:rFonts w:ascii="Arial" w:cs="Arial" w:eastAsia="Arial" w:hAnsi="Arial"/>
          <w:sz w:val="18"/>
          <w:szCs w:val="18"/>
          <w:color w:val="auto"/>
        </w:rPr>
      </w:pPr>
    </w:p>
    <w:p>
      <w:pPr>
        <w:ind w:left="1300" w:right="40" w:hanging="644"/>
        <w:spacing w:after="0" w:line="246"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incurred by the Director in starting proceedings to protect the interests of the Company or the Director for acts undertaken by the Director acting in any Capacity.</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Indemnity irrevocable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clauses 2.5 and 2.6, the indemnity in clauses 2.1 and 2.2 is irrevocable and unconditional.</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Extent of indemnity</w:t>
      </w:r>
    </w:p>
    <w:p>
      <w:pPr>
        <w:spacing w:after="0" w:line="220" w:lineRule="exact"/>
        <w:rPr>
          <w:sz w:val="20"/>
          <w:szCs w:val="20"/>
          <w:color w:val="auto"/>
        </w:rPr>
      </w:pPr>
    </w:p>
    <w:p>
      <w:pPr>
        <w:ind w:left="660" w:right="140"/>
        <w:spacing w:after="0"/>
        <w:rPr>
          <w:sz w:val="20"/>
          <w:szCs w:val="20"/>
          <w:color w:val="auto"/>
        </w:rPr>
      </w:pPr>
      <w:r>
        <w:rPr>
          <w:rFonts w:ascii="Arial" w:cs="Arial" w:eastAsia="Arial" w:hAnsi="Arial"/>
          <w:sz w:val="18"/>
          <w:szCs w:val="18"/>
          <w:color w:val="auto"/>
        </w:rPr>
        <w:t>Subject to clauses 2.5 and 2.6, the indemnity in clauses 2.1 and 2.2 has effect for acts or omissions (and alleged acts and omissions) of the Director from the date that the Director became an officer of the Company (whether that date is before or after the date of this document), and despite:</w:t>
      </w:r>
    </w:p>
    <w:p>
      <w:pPr>
        <w:spacing w:after="0" w:line="189" w:lineRule="exact"/>
        <w:rPr>
          <w:sz w:val="20"/>
          <w:szCs w:val="20"/>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Director ceasing to be an officer of the Company before:</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claim is made by the Director under this document; or</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Director incurs the Liability or costs for which the Director makes a claim under clause 2;</w:t>
      </w:r>
    </w:p>
    <w:p>
      <w:pPr>
        <w:spacing w:after="0" w:line="198" w:lineRule="exact"/>
        <w:rPr>
          <w:rFonts w:ascii="Arial" w:cs="Arial" w:eastAsia="Arial" w:hAnsi="Arial"/>
          <w:sz w:val="18"/>
          <w:szCs w:val="18"/>
          <w:color w:val="auto"/>
        </w:rPr>
      </w:pPr>
    </w:p>
    <w:p>
      <w:pPr>
        <w:ind w:left="1300" w:right="260" w:hanging="644"/>
        <w:spacing w:after="0" w:line="246"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settlement of any dispute between the Director and the Company or a third party (including any dispute about whether costs claimed by the Director are reasonable);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inability of the Company or any other director to recover under the D&amp;O Policy for any reason.</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Future Liability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terminate the indemnity for future Liability at any time by giving written notice to the Director of that termination.</w:t>
      </w:r>
    </w:p>
    <w:p>
      <w:pPr>
        <w:ind w:left="660"/>
        <w:spacing w:after="0"/>
        <w:rPr>
          <w:sz w:val="20"/>
          <w:szCs w:val="20"/>
          <w:color w:val="auto"/>
        </w:rPr>
      </w:pPr>
      <w:r>
        <w:rPr>
          <w:rFonts w:ascii="Arial" w:cs="Arial" w:eastAsia="Arial" w:hAnsi="Arial"/>
          <w:sz w:val="18"/>
          <w:szCs w:val="18"/>
          <w:color w:val="auto"/>
        </w:rPr>
        <w:t>Termination of the indemnity under clause 2 does not affect the Company’s obligations under this document to the date of the notice.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Recovery under other insurance policies</w:t>
      </w:r>
    </w:p>
    <w:p>
      <w:pPr>
        <w:spacing w:after="0" w:line="220" w:lineRule="exact"/>
        <w:rPr>
          <w:sz w:val="20"/>
          <w:szCs w:val="20"/>
          <w:color w:val="auto"/>
        </w:rPr>
      </w:pPr>
    </w:p>
    <w:p>
      <w:pPr>
        <w:ind w:left="660" w:right="300"/>
        <w:spacing w:after="0"/>
        <w:rPr>
          <w:sz w:val="20"/>
          <w:szCs w:val="20"/>
          <w:color w:val="auto"/>
        </w:rPr>
      </w:pPr>
      <w:r>
        <w:rPr>
          <w:rFonts w:ascii="Arial" w:cs="Arial" w:eastAsia="Arial" w:hAnsi="Arial"/>
          <w:sz w:val="18"/>
          <w:szCs w:val="18"/>
          <w:color w:val="auto"/>
        </w:rPr>
        <w:t>The indemnity has effect for any Liability or legal costs incurred by the Director in any Capacity only if, and to the extent that, the Director is not indemnified against that Liability or those legal costs by any insurance policy other than the D&amp;O Policy maintained under clause 5.1.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20"/>
                <w:szCs w:val="20"/>
                <w:color w:val="auto"/>
              </w:rPr>
            </w:pPr>
            <w:r>
              <w:rPr>
                <w:rFonts w:ascii="Arial" w:cs="Arial" w:eastAsia="Arial" w:hAnsi="Arial"/>
                <w:sz w:val="18"/>
                <w:szCs w:val="18"/>
                <w:color w:val="auto"/>
              </w:rPr>
              <w:t>T St Baker   |   Deed of access, insurance and indemnity</w:t>
            </w:r>
          </w:p>
        </w:tc>
        <w:tc>
          <w:tcPr>
            <w:tcW w:w="3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66"/>
        </w:trPr>
        <w:tc>
          <w:tcPr>
            <w:tcW w:w="7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4" w:right="339" w:bottom="1440" w:gutter="0" w:footer="0" w:header="0"/>
        </w:sectPr>
      </w:pPr>
    </w:p>
    <w:bookmarkStart w:id="187" w:name="page188"/>
    <w:bookmarkEnd w:id="187"/>
    <w:p>
      <w:pPr>
        <w:ind w:left="660" w:hanging="652"/>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5163185</wp:posOffset>
            </wp:positionH>
            <wp:positionV relativeFrom="page">
              <wp:posOffset>217805</wp:posOffset>
            </wp:positionV>
            <wp:extent cx="2143125" cy="3429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Claim by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Notified Claims</w:t>
      </w:r>
    </w:p>
    <w:p>
      <w:pPr>
        <w:spacing w:after="0" w:line="220"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As soon as reasonably practicable after the Director becomes aware of any circumstances that could reasonably be expected to give rise to a claim by the Director under this document, the Director must give to the Company notice in writing of that Claim.</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Defence of legal action</w:t>
      </w:r>
    </w:p>
    <w:p>
      <w:pPr>
        <w:spacing w:after="0" w:line="220"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Subject to clauses 3.7 and 3.9, if the Company acknowledges it must indemnify the Director for a Notified Claim, the Company may, or may allow its insurers to:</w:t>
      </w:r>
    </w:p>
    <w:p>
      <w:pPr>
        <w:spacing w:after="0" w:line="183" w:lineRule="exact"/>
        <w:rPr>
          <w:sz w:val="20"/>
          <w:szCs w:val="20"/>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conduct the defence of the Notified Claim under its sole management, control and cost;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start legal proceedings, including any cross claim or counter claim, in the name of the Director as part of that defence;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subject to clause 3.6, settle or compromise the Notified Claim.</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Obligations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Company takes any action under clause 3.2, it must, or must get its insurers to:</w:t>
      </w:r>
    </w:p>
    <w:p>
      <w:pPr>
        <w:spacing w:after="0" w:line="198" w:lineRule="exact"/>
        <w:rPr>
          <w:sz w:val="20"/>
          <w:szCs w:val="20"/>
          <w:color w:val="auto"/>
        </w:rPr>
      </w:pPr>
    </w:p>
    <w:p>
      <w:pPr>
        <w:ind w:left="1300" w:right="260" w:hanging="644"/>
        <w:spacing w:after="0" w:line="246" w:lineRule="auto"/>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notify the Director as soon as reasonably practicable of the intention to take action under clause 3.2, setting out the action that the Company or its insurers proposes to take;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retain a lawyer to act for both the Company and the Director;</w:t>
      </w:r>
    </w:p>
    <w:p>
      <w:pPr>
        <w:spacing w:after="0" w:line="198" w:lineRule="exact"/>
        <w:rPr>
          <w:rFonts w:ascii="Arial" w:cs="Arial" w:eastAsia="Arial" w:hAnsi="Arial"/>
          <w:sz w:val="18"/>
          <w:szCs w:val="18"/>
          <w:color w:val="auto"/>
        </w:rPr>
      </w:pPr>
    </w:p>
    <w:p>
      <w:pPr>
        <w:ind w:left="1300" w:right="200" w:hanging="644"/>
        <w:spacing w:after="0" w:line="246" w:lineRule="auto"/>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instruct the lawyer to ensure that legal professional privilege attaches to any documents produced about the Notified Claim for the benefit of the Company and the Director;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keep the Director fully and progressively informed;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regularly consult with the Director;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 unnecessarily injure the reputation of the Director;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pay the costs of the action the subject of the Notified Claim as they arise, including giving security for costs where ordered.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Obligations of the Director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clauses 3.7 and 3.9, if there is a Notified Claim, the Director must:</w:t>
      </w:r>
    </w:p>
    <w:p>
      <w:pPr>
        <w:spacing w:after="0" w:line="198" w:lineRule="exact"/>
        <w:rPr>
          <w:sz w:val="20"/>
          <w:szCs w:val="20"/>
          <w:color w:val="auto"/>
        </w:rPr>
      </w:pPr>
    </w:p>
    <w:p>
      <w:pPr>
        <w:ind w:left="1300" w:hanging="644"/>
        <w:spacing w:after="0"/>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take reasonable steps to mitigate the Director’s losses for that Notified Claim;</w:t>
      </w:r>
    </w:p>
    <w:p>
      <w:pPr>
        <w:spacing w:after="0" w:line="198" w:lineRule="exact"/>
        <w:rPr>
          <w:rFonts w:ascii="Arial" w:cs="Arial" w:eastAsia="Arial" w:hAnsi="Arial"/>
          <w:sz w:val="18"/>
          <w:szCs w:val="18"/>
          <w:color w:val="auto"/>
        </w:rPr>
      </w:pPr>
    </w:p>
    <w:p>
      <w:pPr>
        <w:ind w:left="1300" w:right="320" w:hanging="644"/>
        <w:spacing w:after="0" w:line="246" w:lineRule="auto"/>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give reasonable assistance and cooperation (including giving the Company documents, records, authorities or directions) when reasonably requested by the Company (or its insurers);</w:t>
      </w:r>
    </w:p>
    <w:p>
      <w:pPr>
        <w:spacing w:after="0" w:line="183" w:lineRule="exact"/>
        <w:rPr>
          <w:rFonts w:ascii="Arial" w:cs="Arial" w:eastAsia="Arial" w:hAnsi="Arial"/>
          <w:sz w:val="18"/>
          <w:szCs w:val="18"/>
          <w:color w:val="auto"/>
        </w:rPr>
      </w:pPr>
    </w:p>
    <w:p>
      <w:pPr>
        <w:ind w:left="1300" w:right="400" w:hanging="644"/>
        <w:spacing w:after="0" w:line="246" w:lineRule="auto"/>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do anything reasonably necessary or desirable to enable the Company to be subrogated to and enjoy the benefits of the Director’s rights to any cross-claims or any claims against any third party;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20"/>
                <w:szCs w:val="20"/>
                <w:color w:val="auto"/>
              </w:rPr>
            </w:pPr>
            <w:r>
              <w:rPr>
                <w:rFonts w:ascii="Arial" w:cs="Arial" w:eastAsia="Arial" w:hAnsi="Arial"/>
                <w:sz w:val="18"/>
                <w:szCs w:val="18"/>
                <w:color w:val="auto"/>
              </w:rPr>
              <w:t>T St Baker   |   Deed of access, insurance and indemnity</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79"/>
        </w:trPr>
        <w:tc>
          <w:tcPr>
            <w:tcW w:w="7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02" w:right="339" w:bottom="1440" w:gutter="0" w:footer="0" w:header="0"/>
        </w:sectPr>
      </w:pPr>
    </w:p>
    <w:bookmarkStart w:id="188" w:name="page189"/>
    <w:bookmarkEnd w:id="188"/>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if subrogation of the Director’s rights does not happen under clause 3.4(c):</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Director must take all action, upon reasonable request by the Company, to pursue any Claim;</w:t>
      </w:r>
    </w:p>
    <w:p>
      <w:pPr>
        <w:spacing w:after="0" w:line="198" w:lineRule="exact"/>
        <w:rPr>
          <w:rFonts w:ascii="Arial" w:cs="Arial" w:eastAsia="Arial" w:hAnsi="Arial"/>
          <w:sz w:val="18"/>
          <w:szCs w:val="18"/>
          <w:color w:val="auto"/>
        </w:rPr>
      </w:pPr>
    </w:p>
    <w:p>
      <w:pPr>
        <w:ind w:left="1960" w:right="580" w:hanging="656"/>
        <w:spacing w:after="0" w:line="246" w:lineRule="auto"/>
        <w:tabs>
          <w:tab w:leader="none" w:pos="19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Company must pay the legal costs of that Claim and otherwise indemnify the Director against any Liability because of that Claim; and</w:t>
      </w:r>
    </w:p>
    <w:p>
      <w:pPr>
        <w:spacing w:after="0" w:line="183" w:lineRule="exact"/>
        <w:rPr>
          <w:rFonts w:ascii="Arial" w:cs="Arial" w:eastAsia="Arial" w:hAnsi="Arial"/>
          <w:sz w:val="18"/>
          <w:szCs w:val="18"/>
          <w:color w:val="auto"/>
        </w:rPr>
      </w:pPr>
    </w:p>
    <w:p>
      <w:pPr>
        <w:ind w:left="1960" w:right="420" w:hanging="656"/>
        <w:spacing w:after="0" w:line="246" w:lineRule="auto"/>
        <w:tabs>
          <w:tab w:leader="none" w:pos="19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Director must account to the Company for any damages recovered (to a maximum amount equivalent to the indemnity payment made to the Director under clause 2);</w:t>
      </w:r>
    </w:p>
    <w:p>
      <w:pPr>
        <w:spacing w:after="0" w:line="183" w:lineRule="exact"/>
        <w:rPr>
          <w:rFonts w:ascii="Arial" w:cs="Arial" w:eastAsia="Arial" w:hAnsi="Arial"/>
          <w:sz w:val="18"/>
          <w:szCs w:val="18"/>
          <w:color w:val="auto"/>
        </w:rPr>
      </w:pPr>
    </w:p>
    <w:p>
      <w:pPr>
        <w:ind w:left="1300" w:right="300" w:hanging="644"/>
        <w:spacing w:after="0" w:line="246" w:lineRule="auto"/>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 admit any Liability for, settle or compromise the Notified Claim without the prior written consent of the Company (or its insurers); and</w:t>
      </w:r>
    </w:p>
    <w:p>
      <w:pPr>
        <w:spacing w:after="0" w:line="183" w:lineRule="exact"/>
        <w:rPr>
          <w:rFonts w:ascii="Arial" w:cs="Arial" w:eastAsia="Arial" w:hAnsi="Arial"/>
          <w:sz w:val="18"/>
          <w:szCs w:val="18"/>
          <w:color w:val="auto"/>
        </w:rPr>
      </w:pPr>
    </w:p>
    <w:p>
      <w:pPr>
        <w:ind w:left="1300" w:right="580" w:hanging="644"/>
        <w:spacing w:after="0" w:line="246" w:lineRule="auto"/>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keep the Company (or its insurers) fully informed of the status and conduct of that Notified Claim if the Company or its insurers have not assumed conduct of the Notified Claim under clause 3.2.</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Reimbursement</w:t>
      </w:r>
    </w:p>
    <w:p>
      <w:pPr>
        <w:spacing w:after="0" w:line="220" w:lineRule="exact"/>
        <w:rPr>
          <w:sz w:val="20"/>
          <w:szCs w:val="20"/>
          <w:color w:val="auto"/>
        </w:rPr>
      </w:pPr>
    </w:p>
    <w:p>
      <w:pPr>
        <w:ind w:left="660" w:right="260"/>
        <w:spacing w:after="0"/>
        <w:rPr>
          <w:sz w:val="20"/>
          <w:szCs w:val="20"/>
          <w:color w:val="auto"/>
        </w:rPr>
      </w:pPr>
      <w:r>
        <w:rPr>
          <w:rFonts w:ascii="Arial" w:cs="Arial" w:eastAsia="Arial" w:hAnsi="Arial"/>
          <w:sz w:val="18"/>
          <w:szCs w:val="18"/>
          <w:color w:val="auto"/>
        </w:rPr>
        <w:t>Except as prohibited by law and subject to clause 8, the Company must reimburse the Director for actual costs and expenses reasonably incurred by the Director in taking action or giving assistance or information at the request, or under the direction, of the Company under clause 3.4.</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Settlement of Claims</w:t>
      </w:r>
    </w:p>
    <w:p>
      <w:pPr>
        <w:spacing w:after="0" w:line="220" w:lineRule="exact"/>
        <w:rPr>
          <w:sz w:val="20"/>
          <w:szCs w:val="20"/>
          <w:color w:val="auto"/>
        </w:rPr>
      </w:pPr>
    </w:p>
    <w:p>
      <w:pPr>
        <w:ind w:left="1260" w:right="380" w:hanging="618"/>
        <w:spacing w:after="0" w:line="246" w:lineRule="auto"/>
        <w:tabs>
          <w:tab w:leader="none" w:pos="1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Before the Company or its insurers settle or compromise a Notified Claim, the Company must, or must get its insurers to, give written notice to the Director </w:t>
      </w:r>
      <w:r>
        <w:rPr>
          <w:rFonts w:ascii="Arial" w:cs="Arial" w:eastAsia="Arial" w:hAnsi="Arial"/>
          <w:sz w:val="18"/>
          <w:szCs w:val="18"/>
          <w:b w:val="1"/>
          <w:bCs w:val="1"/>
          <w:color w:val="auto"/>
        </w:rPr>
        <w:t>(Settlement Notice)</w:t>
      </w:r>
      <w:r>
        <w:rPr>
          <w:rFonts w:ascii="Arial" w:cs="Arial" w:eastAsia="Arial" w:hAnsi="Arial"/>
          <w:sz w:val="18"/>
          <w:szCs w:val="18"/>
          <w:color w:val="auto"/>
        </w:rPr>
        <w:t xml:space="preserve"> setting out:</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the intention to settle or compromise the Claim;</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the terms of the proposed settlement or compromise; and</w:t>
      </w:r>
    </w:p>
    <w:p>
      <w:pPr>
        <w:spacing w:after="0" w:line="198" w:lineRule="exact"/>
        <w:rPr>
          <w:rFonts w:ascii="Arial" w:cs="Arial" w:eastAsia="Arial" w:hAnsi="Arial"/>
          <w:sz w:val="18"/>
          <w:szCs w:val="18"/>
          <w:color w:val="auto"/>
        </w:rPr>
      </w:pPr>
    </w:p>
    <w:p>
      <w:pPr>
        <w:ind w:left="1960" w:right="120" w:hanging="656"/>
        <w:spacing w:after="0" w:line="246" w:lineRule="auto"/>
        <w:tabs>
          <w:tab w:leader="none" w:pos="196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 xml:space="preserve">a reasonable period during which the Director may give notice to the Company setting out the Director’s intention to assume conduct of the Claim </w:t>
      </w:r>
      <w:r>
        <w:rPr>
          <w:rFonts w:ascii="Arial" w:cs="Arial" w:eastAsia="Arial" w:hAnsi="Arial"/>
          <w:sz w:val="18"/>
          <w:szCs w:val="18"/>
          <w:b w:val="1"/>
          <w:bCs w:val="1"/>
          <w:color w:val="auto"/>
        </w:rPr>
        <w:t>(Objection Notice).</w:t>
      </w:r>
    </w:p>
    <w:p>
      <w:pPr>
        <w:spacing w:after="0" w:line="183" w:lineRule="exact"/>
        <w:rPr>
          <w:rFonts w:ascii="Arial" w:cs="Arial" w:eastAsia="Arial" w:hAnsi="Arial"/>
          <w:sz w:val="18"/>
          <w:szCs w:val="18"/>
          <w:color w:val="auto"/>
        </w:rPr>
      </w:pPr>
    </w:p>
    <w:p>
      <w:pPr>
        <w:jc w:val="both"/>
        <w:ind w:left="1300" w:right="80" w:hanging="644"/>
        <w:spacing w:after="0"/>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the Director gives an Objection Notice to the Company within the period set out under clause 3.6(a) the Company must, or must get its insurers to, relinquish to the Director control of the conduct of the Notified Claim to the extent that it is about the Director.</w:t>
      </w:r>
    </w:p>
    <w:p>
      <w:pPr>
        <w:spacing w:after="0" w:line="189" w:lineRule="exact"/>
        <w:rPr>
          <w:rFonts w:ascii="Arial" w:cs="Arial" w:eastAsia="Arial" w:hAnsi="Arial"/>
          <w:sz w:val="18"/>
          <w:szCs w:val="18"/>
          <w:color w:val="auto"/>
        </w:rPr>
      </w:pPr>
    </w:p>
    <w:p>
      <w:pPr>
        <w:ind w:left="1300" w:right="60" w:hanging="644"/>
        <w:spacing w:after="0" w:line="246" w:lineRule="auto"/>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the Director assumes conduct of a Notified Claim under clause 3.6(b), the Liability of the Company for the Notified Claim is limited to the total of:</w:t>
      </w:r>
    </w:p>
    <w:p>
      <w:pPr>
        <w:spacing w:after="0" w:line="183" w:lineRule="exact"/>
        <w:rPr>
          <w:rFonts w:ascii="Arial" w:cs="Arial" w:eastAsia="Arial" w:hAnsi="Arial"/>
          <w:sz w:val="18"/>
          <w:szCs w:val="18"/>
          <w:color w:val="auto"/>
        </w:rPr>
      </w:pPr>
    </w:p>
    <w:p>
      <w:pPr>
        <w:ind w:left="1960" w:right="200" w:hanging="656"/>
        <w:spacing w:after="0" w:line="246" w:lineRule="auto"/>
        <w:tabs>
          <w:tab w:leader="none" w:pos="196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the amount for which the Notified Claim could have been compromised or settled at the time the Settlement Notice was given to the Director; and</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the costs and expenses reasonably incurred by the Director up until that time.</w:t>
      </w:r>
    </w:p>
    <w:p>
      <w:pPr>
        <w:spacing w:after="0" w:line="198" w:lineRule="exact"/>
        <w:rPr>
          <w:sz w:val="20"/>
          <w:szCs w:val="20"/>
          <w:color w:val="auto"/>
        </w:rPr>
      </w:pPr>
    </w:p>
    <w:p>
      <w:pPr>
        <w:spacing w:after="0"/>
        <w:tabs>
          <w:tab w:leader="none" w:pos="1340" w:val="left"/>
          <w:tab w:leader="none" w:pos="1640" w:val="left"/>
          <w:tab w:leader="none" w:pos="111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tab/>
        <w:t>Deed of access, insurance and indemnity</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89" w:name="page190"/>
    <w:bookmarkEnd w:id="189"/>
    <w:p>
      <w:pPr>
        <w:spacing w:after="0"/>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3.7</w:t>
      </w:r>
      <w:r>
        <w:rPr>
          <w:sz w:val="20"/>
          <w:szCs w:val="20"/>
          <w:color w:val="auto"/>
        </w:rPr>
        <w:tab/>
      </w:r>
      <w:r>
        <w:rPr>
          <w:rFonts w:ascii="Arial" w:cs="Arial" w:eastAsia="Arial" w:hAnsi="Arial"/>
          <w:sz w:val="17"/>
          <w:szCs w:val="17"/>
          <w:b w:val="1"/>
          <w:bCs w:val="1"/>
          <w:color w:val="auto"/>
        </w:rPr>
        <w:t>Failure to comply</w:t>
      </w:r>
    </w:p>
    <w:p>
      <w:pPr>
        <w:spacing w:after="0" w:line="220" w:lineRule="exact"/>
        <w:rPr>
          <w:sz w:val="20"/>
          <w:szCs w:val="20"/>
          <w:color w:val="auto"/>
        </w:rPr>
      </w:pPr>
    </w:p>
    <w:p>
      <w:pPr>
        <w:ind w:left="660" w:right="520"/>
        <w:spacing w:after="0" w:line="246" w:lineRule="auto"/>
        <w:rPr>
          <w:sz w:val="20"/>
          <w:szCs w:val="20"/>
          <w:color w:val="auto"/>
        </w:rPr>
      </w:pPr>
      <w:r>
        <w:rPr>
          <w:rFonts w:ascii="Arial" w:cs="Arial" w:eastAsia="Arial" w:hAnsi="Arial"/>
          <w:sz w:val="18"/>
          <w:szCs w:val="18"/>
          <w:color w:val="auto"/>
        </w:rPr>
        <w:t>Despite the indemnity in this document, if the Company is materially prejudiced in a Notified Claim because the Director fails to comply with its obligations under clause 3.4 , the Company is not required to indemnify the Director for that Notified Claim.</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7"/>
          <w:szCs w:val="17"/>
          <w:b w:val="1"/>
          <w:bCs w:val="1"/>
          <w:color w:val="auto"/>
        </w:rPr>
        <w:t>Legal representation</w:t>
      </w:r>
    </w:p>
    <w:p>
      <w:pPr>
        <w:spacing w:after="0" w:line="220" w:lineRule="exact"/>
        <w:rPr>
          <w:sz w:val="20"/>
          <w:szCs w:val="20"/>
          <w:color w:val="auto"/>
        </w:rPr>
      </w:pPr>
    </w:p>
    <w:p>
      <w:pPr>
        <w:ind w:left="660" w:right="160"/>
        <w:spacing w:after="0" w:line="246" w:lineRule="auto"/>
        <w:rPr>
          <w:sz w:val="20"/>
          <w:szCs w:val="20"/>
          <w:color w:val="auto"/>
        </w:rPr>
      </w:pPr>
      <w:r>
        <w:rPr>
          <w:rFonts w:ascii="Arial" w:cs="Arial" w:eastAsia="Arial" w:hAnsi="Arial"/>
          <w:sz w:val="18"/>
          <w:szCs w:val="18"/>
          <w:color w:val="auto"/>
        </w:rPr>
        <w:t>The Director may engage separate legal or other representation for a Notified Claim. The Company must pay expenses incurred by the Director if they are:</w:t>
      </w:r>
    </w:p>
    <w:p>
      <w:pPr>
        <w:spacing w:after="0" w:line="183" w:lineRule="exact"/>
        <w:rPr>
          <w:sz w:val="20"/>
          <w:szCs w:val="20"/>
          <w:color w:val="auto"/>
        </w:rPr>
      </w:pPr>
    </w:p>
    <w:p>
      <w:pPr>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incurred before the Company or its insurers assume conduct of the Notified Claim;</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incurred with the prior written consent of the Company; or</w:t>
      </w:r>
    </w:p>
    <w:p>
      <w:pPr>
        <w:spacing w:after="0" w:line="198" w:lineRule="exact"/>
        <w:rPr>
          <w:rFonts w:ascii="Arial" w:cs="Arial" w:eastAsia="Arial" w:hAnsi="Arial"/>
          <w:sz w:val="18"/>
          <w:szCs w:val="18"/>
          <w:color w:val="auto"/>
        </w:rPr>
      </w:pPr>
    </w:p>
    <w:p>
      <w:pPr>
        <w:ind w:left="1300" w:right="60" w:hanging="644"/>
        <w:spacing w:after="0" w:line="246" w:lineRule="auto"/>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reasonable and are incurred where there is a reasonable likelihood that the interests of the Director and the Company would conflict if the same lawyer acted for both the Company and the Director.</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7"/>
          <w:szCs w:val="17"/>
          <w:b w:val="1"/>
          <w:bCs w:val="1"/>
          <w:color w:val="auto"/>
        </w:rPr>
        <w:t>Application of clauses 3.2 and 3.4</w:t>
      </w:r>
    </w:p>
    <w:p>
      <w:pPr>
        <w:spacing w:after="0" w:line="220" w:lineRule="exact"/>
        <w:rPr>
          <w:sz w:val="20"/>
          <w:szCs w:val="20"/>
          <w:color w:val="auto"/>
        </w:rPr>
      </w:pPr>
    </w:p>
    <w:p>
      <w:pPr>
        <w:ind w:left="1300" w:right="20" w:hanging="644"/>
        <w:spacing w:after="0" w:line="238" w:lineRule="auto"/>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Nothing in clauses 3.2 or 3.4 allows the Company, or requires the Director, to take any action (including giving any consent) for a Notified Claim that would be likely to cause significant harm to the reputation of the Director except where the Company considers in good faith and on reasonable grounds that the interests of the Company or the conduct of that Claim would be materially prejudiced unless the Company or the Director takes that action.</w:t>
      </w:r>
    </w:p>
    <w:p>
      <w:pPr>
        <w:spacing w:after="0" w:line="191" w:lineRule="exact"/>
        <w:rPr>
          <w:rFonts w:ascii="Arial" w:cs="Arial" w:eastAsia="Arial" w:hAnsi="Arial"/>
          <w:sz w:val="18"/>
          <w:szCs w:val="18"/>
          <w:color w:val="auto"/>
        </w:rPr>
      </w:pPr>
    </w:p>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Clauses 3.2 and 3.4 do not apply if:</w:t>
      </w:r>
    </w:p>
    <w:p>
      <w:pPr>
        <w:spacing w:after="0" w:line="198" w:lineRule="exact"/>
        <w:rPr>
          <w:rFonts w:ascii="Arial" w:cs="Arial" w:eastAsia="Arial" w:hAnsi="Arial"/>
          <w:sz w:val="18"/>
          <w:szCs w:val="18"/>
          <w:color w:val="auto"/>
        </w:rPr>
      </w:pPr>
    </w:p>
    <w:p>
      <w:pPr>
        <w:ind w:left="1960" w:right="360" w:hanging="656"/>
        <w:spacing w:after="0" w:line="246" w:lineRule="auto"/>
        <w:tabs>
          <w:tab w:leader="none" w:pos="19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Notified Claim arises from a claim by the Company or a Related Body Corporate of the Company against the Director; or</w:t>
      </w:r>
    </w:p>
    <w:p>
      <w:pPr>
        <w:spacing w:after="0" w:line="183" w:lineRule="exact"/>
        <w:rPr>
          <w:rFonts w:ascii="Arial" w:cs="Arial" w:eastAsia="Arial" w:hAnsi="Arial"/>
          <w:sz w:val="18"/>
          <w:szCs w:val="18"/>
          <w:color w:val="auto"/>
        </w:rPr>
      </w:pPr>
    </w:p>
    <w:p>
      <w:pPr>
        <w:ind w:left="1960" w:right="300" w:hanging="656"/>
        <w:spacing w:after="0" w:line="238" w:lineRule="auto"/>
        <w:tabs>
          <w:tab w:leader="none" w:pos="19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both the Director and any one or more of the Company and its Related Bodies Corporate are defendants or respondents to a Claim and, in the reasonable opinion of the Director, there is an actual or potential conflict of interest between the Director and any one or more of the Company and the relevant Related Bodies Corporate of the Company in the conduct of the Claim.</w:t>
      </w:r>
    </w:p>
    <w:p>
      <w:pPr>
        <w:spacing w:after="0" w:line="169"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Advances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Payment when Director becomes liable</w:t>
      </w:r>
    </w:p>
    <w:p>
      <w:pPr>
        <w:spacing w:after="0" w:line="220" w:lineRule="exact"/>
        <w:rPr>
          <w:sz w:val="20"/>
          <w:szCs w:val="20"/>
          <w:color w:val="auto"/>
        </w:rPr>
      </w:pPr>
    </w:p>
    <w:p>
      <w:pPr>
        <w:ind w:left="660" w:right="60"/>
        <w:spacing w:after="0"/>
        <w:rPr>
          <w:sz w:val="20"/>
          <w:szCs w:val="20"/>
          <w:color w:val="auto"/>
        </w:rPr>
      </w:pPr>
      <w:r>
        <w:rPr>
          <w:rFonts w:ascii="Arial" w:cs="Arial" w:eastAsia="Arial" w:hAnsi="Arial"/>
          <w:sz w:val="18"/>
          <w:szCs w:val="18"/>
          <w:color w:val="auto"/>
        </w:rPr>
        <w:t>Subject to clause 8, any money payable by the Company to the Director under this document must be paid within ten Business Days after the Director gives satisfactory evidence to the Company that the Director is entitled to be indemnified under this document for that amount.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Indemnity before expense incurred</w:t>
      </w:r>
    </w:p>
    <w:p>
      <w:pPr>
        <w:spacing w:after="0" w:line="220"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Despite any other provision of this document, it is not necessary for the Director to make any payment before enforcing the Director’s rights under this document.</w:t>
      </w:r>
    </w:p>
    <w:p>
      <w:pPr>
        <w:spacing w:after="0" w:line="183" w:lineRule="exact"/>
        <w:rPr>
          <w:sz w:val="20"/>
          <w:szCs w:val="20"/>
          <w:color w:val="auto"/>
        </w:rPr>
      </w:pPr>
    </w:p>
    <w:p>
      <w:pPr>
        <w:spacing w:after="0"/>
        <w:tabs>
          <w:tab w:leader="none" w:pos="1340" w:val="left"/>
          <w:tab w:leader="none" w:pos="1680" w:val="left"/>
          <w:tab w:leader="none" w:pos="111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Deed of access, insurance and indemnity</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90" w:name="page191"/>
    <w:bookmarkEnd w:id="190"/>
    <w:p>
      <w:pPr>
        <w:spacing w:after="0"/>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4.3</w:t>
      </w:r>
      <w:r>
        <w:rPr>
          <w:sz w:val="20"/>
          <w:szCs w:val="20"/>
          <w:color w:val="auto"/>
        </w:rPr>
        <w:tab/>
      </w:r>
      <w:r>
        <w:rPr>
          <w:rFonts w:ascii="Arial" w:cs="Arial" w:eastAsia="Arial" w:hAnsi="Arial"/>
          <w:sz w:val="17"/>
          <w:szCs w:val="17"/>
          <w:b w:val="1"/>
          <w:bCs w:val="1"/>
          <w:color w:val="auto"/>
        </w:rPr>
        <w:t>Advance defence costs</w:t>
      </w:r>
    </w:p>
    <w:p>
      <w:pPr>
        <w:spacing w:after="0" w:line="220" w:lineRule="exact"/>
        <w:rPr>
          <w:sz w:val="20"/>
          <w:szCs w:val="20"/>
          <w:color w:val="auto"/>
        </w:rPr>
      </w:pPr>
    </w:p>
    <w:p>
      <w:pPr>
        <w:jc w:val="both"/>
        <w:ind w:left="1300" w:right="40" w:hanging="644"/>
        <w:spacing w:after="0" w:line="261" w:lineRule="auto"/>
        <w:tabs>
          <w:tab w:leader="none" w:pos="13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Subject to clauses 4.5 and 8, the Company must advance to the Director any legal costs reasonably incurred or expected to be incurred by the Director in defending an action for a Liability incurred or allegedly incurred by the Director in any Capacity, within five Business Days after the Director gives the Company invoices or other relevant evidence of the costs incurred.</w:t>
      </w:r>
    </w:p>
    <w:p>
      <w:pPr>
        <w:spacing w:after="0" w:line="172" w:lineRule="exact"/>
        <w:rPr>
          <w:rFonts w:ascii="Arial" w:cs="Arial" w:eastAsia="Arial" w:hAnsi="Arial"/>
          <w:sz w:val="17"/>
          <w:szCs w:val="17"/>
          <w:color w:val="auto"/>
        </w:rPr>
      </w:pPr>
    </w:p>
    <w:p>
      <w:pPr>
        <w:ind w:left="1300" w:hanging="64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Funds may be advanced under clause 4.3(a):</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on terms which the Company considers to be reasonable; and</w:t>
      </w:r>
    </w:p>
    <w:p>
      <w:pPr>
        <w:spacing w:after="0" w:line="198" w:lineRule="exact"/>
        <w:rPr>
          <w:rFonts w:ascii="Arial" w:cs="Arial" w:eastAsia="Arial" w:hAnsi="Arial"/>
          <w:sz w:val="18"/>
          <w:szCs w:val="18"/>
          <w:color w:val="auto"/>
        </w:rPr>
      </w:pPr>
    </w:p>
    <w:p>
      <w:pPr>
        <w:ind w:left="1960" w:right="140" w:hanging="656"/>
        <w:spacing w:after="0"/>
        <w:tabs>
          <w:tab w:leader="none" w:pos="19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unsecured and free of interest unless the Director ceases to be entitled to be indemnified under this document in which case simple interest may be charged on the funds advanced, from the time the Director ceases to be entitled to be indemnified until the funds advanced are paid in full.</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Taxation</w:t>
      </w:r>
    </w:p>
    <w:p>
      <w:pPr>
        <w:spacing w:after="0" w:line="220" w:lineRule="exact"/>
        <w:rPr>
          <w:sz w:val="20"/>
          <w:szCs w:val="20"/>
          <w:color w:val="auto"/>
        </w:rPr>
      </w:pPr>
    </w:p>
    <w:p>
      <w:pPr>
        <w:jc w:val="both"/>
        <w:ind w:left="660" w:right="440"/>
        <w:spacing w:after="0"/>
        <w:rPr>
          <w:sz w:val="20"/>
          <w:szCs w:val="20"/>
          <w:color w:val="auto"/>
        </w:rPr>
      </w:pPr>
      <w:r>
        <w:rPr>
          <w:rFonts w:ascii="Arial" w:cs="Arial" w:eastAsia="Arial" w:hAnsi="Arial"/>
          <w:sz w:val="18"/>
          <w:szCs w:val="18"/>
          <w:color w:val="auto"/>
        </w:rPr>
        <w:t>Subject to clause 8, if a Government Agency imposes any Tax on a sum paid to the Director under this document, the Company must pay to the Director an additional amount to ensure that the total amount paid, less any Tax imposed on the total amount, is equal to the amount that would otherwise be payable under this document.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Repayment</w:t>
      </w:r>
    </w:p>
    <w:p>
      <w:pPr>
        <w:spacing w:after="0" w:line="220" w:lineRule="exact"/>
        <w:rPr>
          <w:sz w:val="20"/>
          <w:szCs w:val="20"/>
          <w:color w:val="auto"/>
        </w:rPr>
      </w:pPr>
    </w:p>
    <w:p>
      <w:pPr>
        <w:ind w:left="1300" w:right="120" w:hanging="644"/>
        <w:spacing w:after="0" w:line="238" w:lineRule="auto"/>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If the Company or any of its Related Bodies Corporate advances money to the Director under clause 4.3 or otherwise pays or reimburses the Director (or any other person) for costs under this document </w:t>
      </w:r>
      <w:r>
        <w:rPr>
          <w:rFonts w:ascii="Arial" w:cs="Arial" w:eastAsia="Arial" w:hAnsi="Arial"/>
          <w:sz w:val="18"/>
          <w:szCs w:val="18"/>
          <w:b w:val="1"/>
          <w:bCs w:val="1"/>
          <w:color w:val="auto"/>
        </w:rPr>
        <w:t>(Relevant Costs)</w:t>
      </w:r>
      <w:r>
        <w:rPr>
          <w:rFonts w:ascii="Arial" w:cs="Arial" w:eastAsia="Arial" w:hAnsi="Arial"/>
          <w:sz w:val="18"/>
          <w:szCs w:val="18"/>
          <w:color w:val="auto"/>
        </w:rPr>
        <w:t xml:space="preserve"> and upon the final adjudication of the Claim the Relevant Costs become costs for which the Director is not entitled to be indemnified under this document, the Director must repay the amount and any interest accrued under clause 4.3(b) to the Company or its relevant Related Body Corporate within 60 Business Days after a written request by the Company.</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the Director receives payment for some or all of the Relevant Costs under:</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D&amp;O Policy or any other insurance policy; or</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 indemnity given by a Related Body Corporate of the Company,</w:t>
      </w:r>
    </w:p>
    <w:p>
      <w:pPr>
        <w:spacing w:after="0" w:line="198" w:lineRule="exact"/>
        <w:rPr>
          <w:sz w:val="20"/>
          <w:szCs w:val="20"/>
          <w:color w:val="auto"/>
        </w:rPr>
      </w:pPr>
    </w:p>
    <w:p>
      <w:pPr>
        <w:ind w:left="1300" w:right="100"/>
        <w:spacing w:after="0"/>
        <w:rPr>
          <w:sz w:val="20"/>
          <w:szCs w:val="20"/>
          <w:color w:val="auto"/>
        </w:rPr>
      </w:pPr>
      <w:r>
        <w:rPr>
          <w:rFonts w:ascii="Arial" w:cs="Arial" w:eastAsia="Arial" w:hAnsi="Arial"/>
          <w:sz w:val="18"/>
          <w:szCs w:val="18"/>
          <w:color w:val="auto"/>
        </w:rPr>
        <w:t>the Director must, within ten Business Days after receiving payment under the relevant insurance policy or indemnity, pay to the Company an amount equal to the amount recovered by the Director under the insurance policy or indemnity for the Relevant Costs.</w:t>
      </w:r>
    </w:p>
    <w:p>
      <w:pPr>
        <w:spacing w:after="0" w:line="167"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Obligation to insure</w:t>
      </w:r>
    </w:p>
    <w:p>
      <w:pPr>
        <w:spacing w:after="0" w:line="220" w:lineRule="exact"/>
        <w:rPr>
          <w:sz w:val="20"/>
          <w:szCs w:val="20"/>
          <w:color w:val="auto"/>
        </w:rPr>
      </w:pPr>
    </w:p>
    <w:p>
      <w:pPr>
        <w:ind w:left="660" w:right="280"/>
        <w:spacing w:after="0" w:line="246" w:lineRule="auto"/>
        <w:rPr>
          <w:sz w:val="20"/>
          <w:szCs w:val="20"/>
          <w:color w:val="auto"/>
        </w:rPr>
      </w:pPr>
      <w:r>
        <w:rPr>
          <w:rFonts w:ascii="Arial" w:cs="Arial" w:eastAsia="Arial" w:hAnsi="Arial"/>
          <w:sz w:val="18"/>
          <w:szCs w:val="18"/>
          <w:color w:val="auto"/>
        </w:rPr>
        <w:t>To the extent permitted by law, and if available in the market at a cost that is not unfairly prejudicial to the Company, the Company must:</w:t>
      </w:r>
    </w:p>
    <w:p>
      <w:pPr>
        <w:spacing w:after="0" w:line="183" w:lineRule="exact"/>
        <w:rPr>
          <w:sz w:val="20"/>
          <w:szCs w:val="20"/>
          <w:color w:val="auto"/>
        </w:rPr>
      </w:pPr>
    </w:p>
    <w:p>
      <w:pPr>
        <w:ind w:left="1300" w:hanging="64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at all times during the Relevant Period, maintain and pay the premium on a D&amp;O Policy that complies with clause 5.2; or</w:t>
      </w:r>
    </w:p>
    <w:p>
      <w:pPr>
        <w:spacing w:after="0" w:line="198" w:lineRule="exact"/>
        <w:rPr>
          <w:sz w:val="20"/>
          <w:szCs w:val="20"/>
          <w:color w:val="auto"/>
        </w:rPr>
      </w:pPr>
    </w:p>
    <w:p>
      <w:pPr>
        <w:spacing w:after="0"/>
        <w:tabs>
          <w:tab w:leader="none" w:pos="1340" w:val="left"/>
          <w:tab w:leader="none" w:pos="1680" w:val="left"/>
          <w:tab w:leader="none" w:pos="111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Deed of access, insurance and indemnity</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91" w:name="page192"/>
    <w:bookmarkEnd w:id="191"/>
    <w:p>
      <w:pPr>
        <w:ind w:left="1300" w:right="500" w:hanging="644"/>
        <w:spacing w:after="0" w:line="246"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ensure that, at all times during the Relevant Period, a Related Body Corporate of the Company maintains and pays the premium on a D&amp;O Policy that complies with clause 5.2.</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Terms of the D&amp;O Policy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D&amp;O Policy must:</w:t>
      </w:r>
    </w:p>
    <w:p>
      <w:pPr>
        <w:spacing w:after="0" w:line="198" w:lineRule="exact"/>
        <w:rPr>
          <w:sz w:val="20"/>
          <w:szCs w:val="20"/>
          <w:color w:val="auto"/>
        </w:rPr>
      </w:pPr>
    </w:p>
    <w:p>
      <w:pPr>
        <w:ind w:left="1300" w:right="26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cover (at least to the extent required by clause 5.2(b)) Liabilities incurred by the Director and the Company under this document for, or arising out of, actual or alleged acts or omissions of the Director that happened while the Director was an officer of the Company;</w:t>
      </w:r>
    </w:p>
    <w:p>
      <w:pPr>
        <w:spacing w:after="0" w:line="189" w:lineRule="exact"/>
        <w:rPr>
          <w:rFonts w:ascii="Arial" w:cs="Arial" w:eastAsia="Arial" w:hAnsi="Arial"/>
          <w:sz w:val="18"/>
          <w:szCs w:val="18"/>
          <w:color w:val="auto"/>
        </w:rPr>
      </w:pPr>
    </w:p>
    <w:p>
      <w:pPr>
        <w:ind w:left="1300" w:right="2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be for an amount and on terms (including premium, insuring clauses, exclusions and excess amounts) that are appropriate and available in the market for companies with a similar market capitalization, financial status and size and nature of operations to that of the Company;</w:t>
      </w:r>
    </w:p>
    <w:p>
      <w:pPr>
        <w:spacing w:after="0" w:line="189" w:lineRule="exact"/>
        <w:rPr>
          <w:rFonts w:ascii="Arial" w:cs="Arial" w:eastAsia="Arial" w:hAnsi="Arial"/>
          <w:sz w:val="18"/>
          <w:szCs w:val="18"/>
          <w:color w:val="auto"/>
        </w:rPr>
      </w:pPr>
    </w:p>
    <w:p>
      <w:pPr>
        <w:ind w:left="1300" w:right="28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without limiting clause 5.2(b), at all times be on terms and conditions that, taken as a whole, are not materially less favourable to the Director than the terms of any directors’ and officers’ insurance policy taken out or made available at the same time by the Company for any other director or former director of the Company; and</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insure the Director against a Liability (other than for legal costs) arising out of:</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conduct involving a wilful breach of duty to the Company; or</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contravention of sections 182 or 183 Corporations Act.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Notice to Director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must notify the Director immediately if the Company becomes aware that:</w:t>
      </w:r>
    </w:p>
    <w:p>
      <w:pPr>
        <w:spacing w:after="0" w:line="198"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D&amp;O Policy required under clause 5.1 has been cancelled or not renewed;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there is a material diminution in the terms of the D&amp;O Policy maintained under clause 5.1 for the Director;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ceases to maintain a D&amp;O Policy under clause 5.6.</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Extension of insurance</w:t>
      </w:r>
    </w:p>
    <w:p>
      <w:pPr>
        <w:spacing w:after="0" w:line="220" w:lineRule="exact"/>
        <w:rPr>
          <w:sz w:val="20"/>
          <w:szCs w:val="20"/>
          <w:color w:val="auto"/>
        </w:rPr>
      </w:pPr>
    </w:p>
    <w:p>
      <w:pPr>
        <w:ind w:left="660" w:right="260"/>
        <w:spacing w:after="0"/>
        <w:rPr>
          <w:sz w:val="20"/>
          <w:szCs w:val="20"/>
          <w:color w:val="auto"/>
        </w:rPr>
      </w:pPr>
      <w:r>
        <w:rPr>
          <w:rFonts w:ascii="Arial" w:cs="Arial" w:eastAsia="Arial" w:hAnsi="Arial"/>
          <w:sz w:val="18"/>
          <w:szCs w:val="18"/>
          <w:color w:val="auto"/>
        </w:rPr>
        <w:t>Before the end of the Relevant Period, the Director may, by written notice to the Company, request that the Company continues to maintain and pay the premium on the D&amp;O Policy required under clause 5.1 for a longer period than the Relevant Period if the Director:</w:t>
      </w:r>
    </w:p>
    <w:p>
      <w:pPr>
        <w:spacing w:after="0" w:line="189"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reimburses the Company for premiums payable for the period after the end of the Relevant Period; and</w:t>
      </w:r>
    </w:p>
    <w:p>
      <w:pPr>
        <w:spacing w:after="0" w:line="198" w:lineRule="exact"/>
        <w:rPr>
          <w:rFonts w:ascii="Arial" w:cs="Arial" w:eastAsia="Arial" w:hAnsi="Arial"/>
          <w:sz w:val="18"/>
          <w:szCs w:val="18"/>
          <w:color w:val="auto"/>
        </w:rPr>
      </w:pPr>
    </w:p>
    <w:p>
      <w:pPr>
        <w:ind w:left="1300" w:right="60" w:hanging="644"/>
        <w:spacing w:after="0" w:line="246" w:lineRule="auto"/>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indemnifies the Company against any reasonable costs associated with maintaining the D&amp;O Policy for the Director after the end of the Relevant Period.</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b w:val="1"/>
          <w:bCs w:val="1"/>
          <w:color w:val="auto"/>
        </w:rPr>
        <w:t>Copies of insurance policies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request of the Director, the Company must give the Director a copy of:</w:t>
      </w:r>
    </w:p>
    <w:p>
      <w:pPr>
        <w:spacing w:after="0" w:line="198" w:lineRule="exact"/>
        <w:rPr>
          <w:sz w:val="20"/>
          <w:szCs w:val="20"/>
          <w:color w:val="auto"/>
        </w:rPr>
      </w:pPr>
    </w:p>
    <w:p>
      <w:pPr>
        <w:spacing w:after="0"/>
        <w:tabs>
          <w:tab w:leader="none" w:pos="1340" w:val="left"/>
          <w:tab w:leader="none" w:pos="1680" w:val="left"/>
          <w:tab w:leader="none" w:pos="110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Deed of access, insurance and indemnity</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2" w:name="page193"/>
    <w:bookmarkEnd w:id="192"/>
    <w:p>
      <w:pPr>
        <w:ind w:left="13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the policy of insurance;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certificate of insurance,</w:t>
      </w:r>
    </w:p>
    <w:p>
      <w:pPr>
        <w:spacing w:after="0" w:line="198" w:lineRule="exact"/>
        <w:rPr>
          <w:sz w:val="20"/>
          <w:szCs w:val="20"/>
          <w:color w:val="auto"/>
        </w:rPr>
      </w:pPr>
    </w:p>
    <w:p>
      <w:pPr>
        <w:ind w:left="660" w:right="400"/>
        <w:spacing w:after="0" w:line="246" w:lineRule="auto"/>
        <w:rPr>
          <w:sz w:val="20"/>
          <w:szCs w:val="20"/>
          <w:color w:val="auto"/>
        </w:rPr>
      </w:pPr>
      <w:r>
        <w:rPr>
          <w:rFonts w:ascii="Arial" w:cs="Arial" w:eastAsia="Arial" w:hAnsi="Arial"/>
          <w:sz w:val="18"/>
          <w:szCs w:val="18"/>
          <w:color w:val="auto"/>
        </w:rPr>
        <w:t>for the D&amp;O Policy maintained under clause 5.1 at the time of the request, except if that disclosure would involve a breach of the terms and conditions of the policy.</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7"/>
          <w:szCs w:val="17"/>
          <w:b w:val="1"/>
          <w:bCs w:val="1"/>
          <w:color w:val="auto"/>
        </w:rPr>
        <w:t>Ceasing to maintain the D&amp;O Policy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cease to maintain the D&amp;O Policy maintained under clause 5.1 if the Company reasonably considers that:</w:t>
      </w:r>
    </w:p>
    <w:p>
      <w:pPr>
        <w:spacing w:after="0" w:line="198"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relevant coverage is no longer available; or</w:t>
      </w:r>
    </w:p>
    <w:p>
      <w:pPr>
        <w:spacing w:after="0" w:line="198" w:lineRule="exact"/>
        <w:rPr>
          <w:rFonts w:ascii="Arial" w:cs="Arial" w:eastAsia="Arial" w:hAnsi="Arial"/>
          <w:sz w:val="18"/>
          <w:szCs w:val="18"/>
          <w:color w:val="auto"/>
        </w:rPr>
      </w:pPr>
    </w:p>
    <w:p>
      <w:pPr>
        <w:ind w:left="1300" w:right="80" w:hanging="644"/>
        <w:spacing w:after="0" w:line="246"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costs of maintaining the policy, whether generally or for a particular officer of the Company, are so prohibitive that it is no longer in the interests of the Company to maintain the policy.</w:t>
      </w:r>
    </w:p>
    <w:p>
      <w:pPr>
        <w:spacing w:after="0" w:line="161"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Access to Board Papers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Obligation of company to keep records</w:t>
      </w:r>
    </w:p>
    <w:p>
      <w:pPr>
        <w:spacing w:after="0" w:line="220" w:lineRule="exact"/>
        <w:rPr>
          <w:sz w:val="20"/>
          <w:szCs w:val="20"/>
          <w:color w:val="auto"/>
        </w:rPr>
      </w:pPr>
    </w:p>
    <w:p>
      <w:pPr>
        <w:jc w:val="both"/>
        <w:ind w:left="660" w:right="160"/>
        <w:spacing w:after="0"/>
        <w:rPr>
          <w:sz w:val="20"/>
          <w:szCs w:val="20"/>
          <w:color w:val="auto"/>
        </w:rPr>
      </w:pPr>
      <w:r>
        <w:rPr>
          <w:rFonts w:ascii="Arial" w:cs="Arial" w:eastAsia="Arial" w:hAnsi="Arial"/>
          <w:sz w:val="18"/>
          <w:szCs w:val="18"/>
          <w:color w:val="auto"/>
        </w:rPr>
        <w:t>The Company must keep at least one set of Board Papers in a systematic manner, safe and secure from damage, for the Relevant Period and for a longer period if any of the Board Papers are relevant to any Claim notified to the Company by the Director that has not been concluded during the Relevant Period.</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Right to inspect Board Papers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must allow the Director to inspect and copy the Board Papers of the Company during the Relevant Period and during</w:t>
      </w:r>
    </w:p>
    <w:p>
      <w:pPr>
        <w:ind w:left="660"/>
        <w:spacing w:after="0"/>
        <w:rPr>
          <w:sz w:val="20"/>
          <w:szCs w:val="20"/>
          <w:color w:val="auto"/>
        </w:rPr>
      </w:pPr>
      <w:r>
        <w:rPr>
          <w:rFonts w:ascii="Arial" w:cs="Arial" w:eastAsia="Arial" w:hAnsi="Arial"/>
          <w:sz w:val="18"/>
          <w:szCs w:val="18"/>
          <w:color w:val="auto"/>
        </w:rPr>
        <w:t xml:space="preserve">Business Hours for any of the following purposes </w:t>
      </w:r>
      <w:r>
        <w:rPr>
          <w:rFonts w:ascii="Arial" w:cs="Arial" w:eastAsia="Arial" w:hAnsi="Arial"/>
          <w:sz w:val="18"/>
          <w:szCs w:val="18"/>
          <w:b w:val="1"/>
          <w:bCs w:val="1"/>
          <w:color w:val="auto"/>
        </w:rPr>
        <w:t>(Permitted Purposes):</w:t>
      </w:r>
    </w:p>
    <w:p>
      <w:pPr>
        <w:spacing w:after="0" w:line="198" w:lineRule="exact"/>
        <w:rPr>
          <w:sz w:val="20"/>
          <w:szCs w:val="20"/>
          <w:color w:val="auto"/>
        </w:rPr>
      </w:pPr>
    </w:p>
    <w:p>
      <w:pPr>
        <w:ind w:left="1300" w:hanging="644"/>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 a Claim begun or arising during the Relevant Period:</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which the Director is subject or is a party;</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that the Director is directly involved in;</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that the Director proposes to bring in good faith; or</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that the Director reasonably believes will be brought against the Director;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discharge the Director’s duties as an officer of the Company; or</w:t>
      </w:r>
    </w:p>
    <w:p>
      <w:pPr>
        <w:spacing w:after="0" w:line="198" w:lineRule="exact"/>
        <w:rPr>
          <w:rFonts w:ascii="Arial" w:cs="Arial" w:eastAsia="Arial" w:hAnsi="Arial"/>
          <w:sz w:val="18"/>
          <w:szCs w:val="18"/>
          <w:color w:val="auto"/>
        </w:rPr>
      </w:pPr>
    </w:p>
    <w:p>
      <w:pPr>
        <w:ind w:left="1300" w:right="260" w:hanging="644"/>
        <w:spacing w:after="0" w:line="246" w:lineRule="auto"/>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other purpose for which the Company gives its written consent, which may be given conditionally or unconditionally or withheld by the Company in its absolute discretion.</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Request for access to Board Papers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clause 6.1, the Director (or any Authorised Person) may ask the Company for access to Board Papers and Books of the</w:t>
      </w:r>
    </w:p>
    <w:p>
      <w:pPr>
        <w:ind w:left="660"/>
        <w:spacing w:after="0"/>
        <w:rPr>
          <w:sz w:val="20"/>
          <w:szCs w:val="20"/>
          <w:color w:val="auto"/>
        </w:rPr>
      </w:pPr>
      <w:r>
        <w:rPr>
          <w:rFonts w:ascii="Arial" w:cs="Arial" w:eastAsia="Arial" w:hAnsi="Arial"/>
          <w:sz w:val="18"/>
          <w:szCs w:val="18"/>
          <w:color w:val="auto"/>
        </w:rPr>
        <w:t>Company:</w:t>
      </w:r>
    </w:p>
    <w:p>
      <w:pPr>
        <w:spacing w:after="0" w:line="198" w:lineRule="exact"/>
        <w:rPr>
          <w:sz w:val="20"/>
          <w:szCs w:val="20"/>
          <w:color w:val="auto"/>
        </w:rPr>
      </w:pPr>
    </w:p>
    <w:p>
      <w:pPr>
        <w:ind w:left="1300" w:hanging="64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writing;</w:t>
      </w:r>
    </w:p>
    <w:p>
      <w:pPr>
        <w:spacing w:after="0" w:line="198" w:lineRule="exact"/>
        <w:rPr>
          <w:sz w:val="20"/>
          <w:szCs w:val="20"/>
          <w:color w:val="auto"/>
        </w:rPr>
      </w:pPr>
    </w:p>
    <w:p>
      <w:pPr>
        <w:spacing w:after="0"/>
        <w:tabs>
          <w:tab w:leader="none" w:pos="1340" w:val="left"/>
          <w:tab w:leader="none" w:pos="1680" w:val="left"/>
          <w:tab w:leader="none" w:pos="110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Deed of access, insurance and indemnity</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3" w:name="page194"/>
    <w:bookmarkEnd w:id="193"/>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 xml:space="preserve">including particulars of the Board Papers or Books required by the Director </w:t>
      </w:r>
      <w:r>
        <w:rPr>
          <w:rFonts w:ascii="Arial" w:cs="Arial" w:eastAsia="Arial" w:hAnsi="Arial"/>
          <w:sz w:val="18"/>
          <w:szCs w:val="18"/>
          <w:b w:val="1"/>
          <w:bCs w:val="1"/>
          <w:color w:val="auto"/>
        </w:rPr>
        <w:t>(Requested Documents);</w:t>
      </w:r>
      <w:r>
        <w:rPr>
          <w:rFonts w:ascii="Arial" w:cs="Arial" w:eastAsia="Arial" w:hAnsi="Arial"/>
          <w:sz w:val="18"/>
          <w:szCs w:val="18"/>
          <w:color w:val="auto"/>
        </w:rPr>
        <w:t xml:space="preserve"> and</w:t>
      </w:r>
    </w:p>
    <w:p>
      <w:pPr>
        <w:spacing w:after="0" w:line="220" w:lineRule="exact"/>
        <w:rPr>
          <w:rFonts w:ascii="Arial" w:cs="Arial" w:eastAsia="Arial" w:hAnsi="Arial"/>
          <w:sz w:val="18"/>
          <w:szCs w:val="18"/>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setting out a Permitted Purpose for which the Requested Documents are required.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Access for the Director</w:t>
      </w:r>
    </w:p>
    <w:p>
      <w:pPr>
        <w:spacing w:after="0" w:line="220" w:lineRule="exact"/>
        <w:rPr>
          <w:sz w:val="20"/>
          <w:szCs w:val="20"/>
          <w:color w:val="auto"/>
        </w:rPr>
      </w:pPr>
    </w:p>
    <w:p>
      <w:pPr>
        <w:ind w:left="660" w:right="320"/>
        <w:spacing w:after="0"/>
        <w:rPr>
          <w:sz w:val="20"/>
          <w:szCs w:val="20"/>
          <w:color w:val="auto"/>
        </w:rPr>
      </w:pPr>
      <w:r>
        <w:rPr>
          <w:rFonts w:ascii="Arial" w:cs="Arial" w:eastAsia="Arial" w:hAnsi="Arial"/>
          <w:sz w:val="18"/>
          <w:szCs w:val="18"/>
          <w:color w:val="auto"/>
        </w:rPr>
        <w:t>On receiving a valid request for access to Board Papers or Books under clause 6.3, the Company must give the Director or any Authorised Person access to the Requested Documents and must make them available for inspection and copying free of charge within seven Business Days after receiving the request.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color w:val="auto"/>
        </w:rPr>
        <w:t>Return of documents</w:t>
      </w:r>
    </w:p>
    <w:p>
      <w:pPr>
        <w:spacing w:after="0" w:line="220" w:lineRule="exact"/>
        <w:rPr>
          <w:sz w:val="20"/>
          <w:szCs w:val="20"/>
          <w:color w:val="auto"/>
        </w:rPr>
      </w:pPr>
    </w:p>
    <w:p>
      <w:pPr>
        <w:jc w:val="both"/>
        <w:ind w:left="660" w:right="340"/>
        <w:spacing w:after="0"/>
        <w:rPr>
          <w:sz w:val="20"/>
          <w:szCs w:val="20"/>
          <w:color w:val="auto"/>
        </w:rPr>
      </w:pPr>
      <w:r>
        <w:rPr>
          <w:rFonts w:ascii="Arial" w:cs="Arial" w:eastAsia="Arial" w:hAnsi="Arial"/>
          <w:sz w:val="18"/>
          <w:szCs w:val="18"/>
          <w:color w:val="auto"/>
        </w:rPr>
        <w:t>The Director must return any Board Papers, Books and any copies of those documents obtained under clause 6.2, and all copies made of those documents, to the company secretary of the Company as soon as possible after they are no longer required for a Permitted Purpose.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color w:val="auto"/>
        </w:rPr>
        <w:t>Privileged documents</w:t>
      </w:r>
    </w:p>
    <w:p>
      <w:pPr>
        <w:spacing w:after="0" w:line="220" w:lineRule="exact"/>
        <w:rPr>
          <w:sz w:val="20"/>
          <w:szCs w:val="20"/>
          <w:color w:val="auto"/>
        </w:rPr>
      </w:pPr>
    </w:p>
    <w:p>
      <w:pPr>
        <w:jc w:val="both"/>
        <w:ind w:left="1300" w:hanging="617"/>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the Director requests access to a Board Paper or Book which is or refers to a Privileged Document, the Company must notify the Director that privilege exists, and of the general nature of acts and omissions that could cause that privilege to be waived or lost.</w:t>
      </w:r>
    </w:p>
    <w:p>
      <w:pPr>
        <w:spacing w:after="0" w:line="189" w:lineRule="exact"/>
        <w:rPr>
          <w:rFonts w:ascii="Arial" w:cs="Arial" w:eastAsia="Arial" w:hAnsi="Arial"/>
          <w:sz w:val="18"/>
          <w:szCs w:val="18"/>
          <w:color w:val="auto"/>
        </w:rPr>
      </w:pPr>
    </w:p>
    <w:p>
      <w:pPr>
        <w:ind w:left="1300" w:right="100" w:hanging="617"/>
        <w:spacing w:after="0" w:line="246" w:lineRule="auto"/>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Director must not waive any privilege of the Company nor do or omit to do anything that will cause that legal privilege to be waived or lost, without the prior consent of the Company.</w:t>
      </w:r>
    </w:p>
    <w:p>
      <w:pPr>
        <w:spacing w:after="0" w:line="183" w:lineRule="exact"/>
        <w:rPr>
          <w:rFonts w:ascii="Arial" w:cs="Arial" w:eastAsia="Arial" w:hAnsi="Arial"/>
          <w:sz w:val="18"/>
          <w:szCs w:val="18"/>
          <w:color w:val="auto"/>
        </w:rPr>
      </w:pPr>
    </w:p>
    <w:p>
      <w:pPr>
        <w:jc w:val="both"/>
        <w:ind w:left="1300" w:hanging="617"/>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giving the Director access to a Privileged Document would, in the reasonable opinion of the Company, jeopardise the ability of the Company to claim legal privilege in a Privileged Document and materially prejudice the Company, then the Company may:</w:t>
      </w:r>
    </w:p>
    <w:p>
      <w:pPr>
        <w:spacing w:after="0" w:line="189" w:lineRule="exact"/>
        <w:rPr>
          <w:rFonts w:ascii="Arial" w:cs="Arial" w:eastAsia="Arial" w:hAnsi="Arial"/>
          <w:sz w:val="18"/>
          <w:szCs w:val="18"/>
          <w:color w:val="auto"/>
        </w:rPr>
      </w:pPr>
    </w:p>
    <w:p>
      <w:pPr>
        <w:ind w:left="1960" w:right="20" w:hanging="656"/>
        <w:spacing w:after="0"/>
        <w:tabs>
          <w:tab w:leader="none" w:pos="19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impose conditions on the Director’s access to the Privileged Document it reasonably considers appropriate to ensure that the ability of the Company to claim legal privilege in that Privileged Document is not jeopardised by the access; or</w:t>
      </w:r>
    </w:p>
    <w:p>
      <w:pPr>
        <w:spacing w:after="0" w:line="189" w:lineRule="exact"/>
        <w:rPr>
          <w:rFonts w:ascii="Arial" w:cs="Arial" w:eastAsia="Arial" w:hAnsi="Arial"/>
          <w:sz w:val="18"/>
          <w:szCs w:val="18"/>
          <w:color w:val="auto"/>
        </w:rPr>
      </w:pPr>
    </w:p>
    <w:p>
      <w:pPr>
        <w:ind w:left="1960" w:right="800" w:hanging="656"/>
        <w:spacing w:after="0"/>
        <w:tabs>
          <w:tab w:leader="none" w:pos="19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the Company considers in good faith and acting reasonably that it is not possible to ensure, by imposing conditions, that the ability of the Company to claim legal privilege in that Privileged Document would not be jeopardised by the access, refuse to allow the Director access to that Privileged Document.</w:t>
      </w:r>
    </w:p>
    <w:p>
      <w:pPr>
        <w:spacing w:after="0" w:line="189" w:lineRule="exact"/>
        <w:rPr>
          <w:rFonts w:ascii="Arial" w:cs="Arial" w:eastAsia="Arial" w:hAnsi="Arial"/>
          <w:sz w:val="18"/>
          <w:szCs w:val="18"/>
          <w:color w:val="auto"/>
        </w:rPr>
      </w:pPr>
    </w:p>
    <w:p>
      <w:pPr>
        <w:ind w:left="1300" w:right="20" w:hanging="617"/>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Company and the Director acknowledge that the Company allowing the Director access to a Privileged Document does not amount to any express or implied waiver by the Company of its claim to legal professional privilege against persons other than the Director.</w:t>
      </w:r>
    </w:p>
    <w:p>
      <w:pPr>
        <w:spacing w:after="0" w:line="189" w:lineRule="exact"/>
        <w:rPr>
          <w:rFonts w:ascii="Arial" w:cs="Arial" w:eastAsia="Arial" w:hAnsi="Arial"/>
          <w:sz w:val="18"/>
          <w:szCs w:val="18"/>
          <w:color w:val="auto"/>
        </w:rPr>
      </w:pPr>
    </w:p>
    <w:p>
      <w:pPr>
        <w:ind w:left="1300" w:right="60" w:hanging="617"/>
        <w:spacing w:after="0" w:line="246" w:lineRule="auto"/>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exercising their rights under clause 6.6, both the Company and Director must have regard to the legitimate interests of the other and must act reasonably.</w:t>
      </w:r>
    </w:p>
    <w:p>
      <w:pPr>
        <w:spacing w:after="0" w:line="183" w:lineRule="exact"/>
        <w:rPr>
          <w:sz w:val="20"/>
          <w:szCs w:val="20"/>
          <w:color w:val="auto"/>
        </w:rPr>
      </w:pPr>
    </w:p>
    <w:p>
      <w:pPr>
        <w:spacing w:after="0"/>
        <w:tabs>
          <w:tab w:leader="none" w:pos="1340" w:val="left"/>
          <w:tab w:leader="none" w:pos="1680" w:val="left"/>
          <w:tab w:leader="none" w:pos="110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Deed of access, insurance and indemnity</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94" w:name="page195"/>
    <w:bookmarkEnd w:id="194"/>
    <w:p>
      <w:pPr>
        <w:ind w:left="660" w:hanging="652"/>
        <w:spacing w:after="0"/>
        <w:tabs>
          <w:tab w:leader="none" w:pos="660" w:val="left"/>
        </w:tabs>
        <w:numPr>
          <w:ilvl w:val="0"/>
          <w:numId w:val="196"/>
        </w:numPr>
        <w:rPr>
          <w:rFonts w:ascii="Arial" w:cs="Arial" w:eastAsia="Arial" w:hAnsi="Arial"/>
          <w:sz w:val="18"/>
          <w:szCs w:val="18"/>
          <w:b w:val="1"/>
          <w:bCs w:val="1"/>
          <w:color w:val="2F2F2F"/>
        </w:rPr>
      </w:pPr>
      <w:r>
        <w:rPr>
          <w:rFonts w:ascii="Arial" w:cs="Arial" w:eastAsia="Arial" w:hAnsi="Arial"/>
          <w:sz w:val="18"/>
          <w:szCs w:val="18"/>
          <w:b w:val="1"/>
          <w:bCs w:val="1"/>
          <w:color w:val="2F2F2F"/>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A2A2A"/>
        </w:rPr>
        <w:t>7.1</w:t>
      </w:r>
      <w:r>
        <w:rPr>
          <w:sz w:val="20"/>
          <w:szCs w:val="20"/>
          <w:color w:val="auto"/>
        </w:rPr>
        <w:tab/>
      </w:r>
      <w:r>
        <w:rPr>
          <w:rFonts w:ascii="Arial" w:cs="Arial" w:eastAsia="Arial" w:hAnsi="Arial"/>
          <w:sz w:val="17"/>
          <w:szCs w:val="17"/>
          <w:b w:val="1"/>
          <w:bCs w:val="1"/>
          <w:color w:val="2A2A2A"/>
        </w:rPr>
        <w:t xml:space="preserve">Obligations </w:t>
      </w:r>
      <w:r>
        <w:rPr>
          <w:rFonts w:ascii="Arial" w:cs="Arial" w:eastAsia="Arial" w:hAnsi="Arial"/>
          <w:sz w:val="17"/>
          <w:szCs w:val="17"/>
          <w:b w:val="1"/>
          <w:bCs w:val="1"/>
          <w:color w:val="2B2B2B"/>
        </w:rPr>
        <w:t>of</w:t>
      </w:r>
      <w:r>
        <w:rPr>
          <w:rFonts w:ascii="Arial" w:cs="Arial" w:eastAsia="Arial" w:hAnsi="Arial"/>
          <w:sz w:val="17"/>
          <w:szCs w:val="17"/>
          <w:b w:val="1"/>
          <w:bCs w:val="1"/>
          <w:color w:val="2A2A2A"/>
        </w:rPr>
        <w:t xml:space="preserve"> confidentiality</w:t>
      </w:r>
    </w:p>
    <w:p>
      <w:pPr>
        <w:spacing w:after="0" w:line="220" w:lineRule="exact"/>
        <w:rPr>
          <w:sz w:val="20"/>
          <w:szCs w:val="20"/>
          <w:color w:val="auto"/>
        </w:rPr>
      </w:pPr>
    </w:p>
    <w:p>
      <w:pPr>
        <w:ind w:left="660" w:right="340"/>
        <w:spacing w:after="0"/>
        <w:rPr>
          <w:sz w:val="20"/>
          <w:szCs w:val="20"/>
          <w:color w:val="auto"/>
        </w:rPr>
      </w:pPr>
      <w:r>
        <w:rPr>
          <w:rFonts w:ascii="Arial" w:cs="Arial" w:eastAsia="Arial" w:hAnsi="Arial"/>
          <w:sz w:val="18"/>
          <w:szCs w:val="18"/>
          <w:color w:val="2A2A2A"/>
        </w:rPr>
        <w:t xml:space="preserve">Without </w:t>
      </w:r>
      <w:r>
        <w:rPr>
          <w:rFonts w:ascii="Arial" w:cs="Arial" w:eastAsia="Arial" w:hAnsi="Arial"/>
          <w:sz w:val="18"/>
          <w:szCs w:val="18"/>
          <w:color w:val="262626"/>
        </w:rPr>
        <w:t>limiting the Director’s</w:t>
      </w:r>
      <w:r>
        <w:rPr>
          <w:rFonts w:ascii="Arial" w:cs="Arial" w:eastAsia="Arial" w:hAnsi="Arial"/>
          <w:sz w:val="18"/>
          <w:szCs w:val="18"/>
          <w:color w:val="2A2A2A"/>
        </w:rPr>
        <w:t xml:space="preserve"> </w:t>
      </w:r>
      <w:r>
        <w:rPr>
          <w:rFonts w:ascii="Arial" w:cs="Arial" w:eastAsia="Arial" w:hAnsi="Arial"/>
          <w:sz w:val="18"/>
          <w:szCs w:val="18"/>
          <w:color w:val="2F2F2F"/>
        </w:rPr>
        <w:t>duties as</w:t>
      </w:r>
      <w:r>
        <w:rPr>
          <w:rFonts w:ascii="Arial" w:cs="Arial" w:eastAsia="Arial" w:hAnsi="Arial"/>
          <w:sz w:val="18"/>
          <w:szCs w:val="18"/>
          <w:color w:val="2A2A2A"/>
        </w:rPr>
        <w:t xml:space="preserve"> </w:t>
      </w:r>
      <w:r>
        <w:rPr>
          <w:rFonts w:ascii="Arial" w:cs="Arial" w:eastAsia="Arial" w:hAnsi="Arial"/>
          <w:sz w:val="18"/>
          <w:szCs w:val="18"/>
          <w:color w:val="363636"/>
        </w:rPr>
        <w:t>a</w:t>
      </w:r>
      <w:r>
        <w:rPr>
          <w:rFonts w:ascii="Arial" w:cs="Arial" w:eastAsia="Arial" w:hAnsi="Arial"/>
          <w:sz w:val="18"/>
          <w:szCs w:val="18"/>
          <w:color w:val="2A2A2A"/>
        </w:rPr>
        <w:t xml:space="preserve"> </w:t>
      </w:r>
      <w:r>
        <w:rPr>
          <w:rFonts w:ascii="Arial" w:cs="Arial" w:eastAsia="Arial" w:hAnsi="Arial"/>
          <w:sz w:val="18"/>
          <w:szCs w:val="18"/>
          <w:color w:val="242424"/>
        </w:rPr>
        <w:t>director</w:t>
      </w:r>
      <w:r>
        <w:rPr>
          <w:rFonts w:ascii="Arial" w:cs="Arial" w:eastAsia="Arial" w:hAnsi="Arial"/>
          <w:sz w:val="18"/>
          <w:szCs w:val="18"/>
          <w:color w:val="2A2A2A"/>
        </w:rPr>
        <w:t xml:space="preserve"> </w:t>
      </w:r>
      <w:r>
        <w:rPr>
          <w:rFonts w:ascii="Arial" w:cs="Arial" w:eastAsia="Arial" w:hAnsi="Arial"/>
          <w:sz w:val="18"/>
          <w:szCs w:val="18"/>
          <w:color w:val="333333"/>
        </w:rPr>
        <w:t>of</w:t>
      </w:r>
      <w:r>
        <w:rPr>
          <w:rFonts w:ascii="Arial" w:cs="Arial" w:eastAsia="Arial" w:hAnsi="Arial"/>
          <w:sz w:val="18"/>
          <w:szCs w:val="18"/>
          <w:color w:val="2A2A2A"/>
        </w:rPr>
        <w:t xml:space="preserve"> </w:t>
      </w:r>
      <w:r>
        <w:rPr>
          <w:rFonts w:ascii="Arial" w:cs="Arial" w:eastAsia="Arial" w:hAnsi="Arial"/>
          <w:sz w:val="18"/>
          <w:szCs w:val="18"/>
          <w:color w:val="282828"/>
        </w:rPr>
        <w:t>the</w:t>
      </w:r>
      <w:r>
        <w:rPr>
          <w:rFonts w:ascii="Arial" w:cs="Arial" w:eastAsia="Arial" w:hAnsi="Arial"/>
          <w:sz w:val="18"/>
          <w:szCs w:val="18"/>
          <w:color w:val="2A2A2A"/>
        </w:rPr>
        <w:t xml:space="preserve"> </w:t>
      </w:r>
      <w:r>
        <w:rPr>
          <w:rFonts w:ascii="Arial" w:cs="Arial" w:eastAsia="Arial" w:hAnsi="Arial"/>
          <w:sz w:val="18"/>
          <w:szCs w:val="18"/>
          <w:color w:val="1F1F1F"/>
        </w:rPr>
        <w:t>Company,</w:t>
      </w:r>
      <w:r>
        <w:rPr>
          <w:rFonts w:ascii="Arial" w:cs="Arial" w:eastAsia="Arial" w:hAnsi="Arial"/>
          <w:sz w:val="18"/>
          <w:szCs w:val="18"/>
          <w:color w:val="2A2A2A"/>
        </w:rPr>
        <w:t xml:space="preserve"> </w:t>
      </w:r>
      <w:r>
        <w:rPr>
          <w:rFonts w:ascii="Arial" w:cs="Arial" w:eastAsia="Arial" w:hAnsi="Arial"/>
          <w:sz w:val="18"/>
          <w:szCs w:val="18"/>
          <w:color w:val="232323"/>
        </w:rPr>
        <w:t>the Director</w:t>
      </w:r>
      <w:r>
        <w:rPr>
          <w:rFonts w:ascii="Arial" w:cs="Arial" w:eastAsia="Arial" w:hAnsi="Arial"/>
          <w:sz w:val="18"/>
          <w:szCs w:val="18"/>
          <w:color w:val="2A2A2A"/>
        </w:rPr>
        <w:t xml:space="preserve"> (both during </w:t>
      </w:r>
      <w:r>
        <w:rPr>
          <w:rFonts w:ascii="Arial" w:cs="Arial" w:eastAsia="Arial" w:hAnsi="Arial"/>
          <w:sz w:val="18"/>
          <w:szCs w:val="18"/>
          <w:color w:val="2B2B2B"/>
        </w:rPr>
        <w:t>the</w:t>
      </w:r>
      <w:r>
        <w:rPr>
          <w:rFonts w:ascii="Arial" w:cs="Arial" w:eastAsia="Arial" w:hAnsi="Arial"/>
          <w:sz w:val="18"/>
          <w:szCs w:val="18"/>
          <w:color w:val="2A2A2A"/>
        </w:rPr>
        <w:t xml:space="preserve"> </w:t>
      </w:r>
      <w:r>
        <w:rPr>
          <w:rFonts w:ascii="Arial" w:cs="Arial" w:eastAsia="Arial" w:hAnsi="Arial"/>
          <w:sz w:val="18"/>
          <w:szCs w:val="18"/>
          <w:color w:val="282828"/>
        </w:rPr>
        <w:t>period</w:t>
      </w:r>
      <w:r>
        <w:rPr>
          <w:rFonts w:ascii="Arial" w:cs="Arial" w:eastAsia="Arial" w:hAnsi="Arial"/>
          <w:sz w:val="18"/>
          <w:szCs w:val="18"/>
          <w:color w:val="2A2A2A"/>
        </w:rPr>
        <w:t xml:space="preserve"> in </w:t>
      </w:r>
      <w:r>
        <w:rPr>
          <w:rFonts w:ascii="Arial" w:cs="Arial" w:eastAsia="Arial" w:hAnsi="Arial"/>
          <w:sz w:val="18"/>
          <w:szCs w:val="18"/>
          <w:color w:val="1F1F1F"/>
        </w:rPr>
        <w:t>which</w:t>
      </w:r>
      <w:r>
        <w:rPr>
          <w:rFonts w:ascii="Arial" w:cs="Arial" w:eastAsia="Arial" w:hAnsi="Arial"/>
          <w:sz w:val="18"/>
          <w:szCs w:val="18"/>
          <w:color w:val="2A2A2A"/>
        </w:rPr>
        <w:t xml:space="preserve"> </w:t>
      </w:r>
      <w:r>
        <w:rPr>
          <w:rFonts w:ascii="Arial" w:cs="Arial" w:eastAsia="Arial" w:hAnsi="Arial"/>
          <w:sz w:val="18"/>
          <w:szCs w:val="18"/>
          <w:color w:val="282828"/>
        </w:rPr>
        <w:t>the</w:t>
      </w:r>
      <w:r>
        <w:rPr>
          <w:rFonts w:ascii="Arial" w:cs="Arial" w:eastAsia="Arial" w:hAnsi="Arial"/>
          <w:sz w:val="18"/>
          <w:szCs w:val="18"/>
          <w:color w:val="2A2A2A"/>
        </w:rPr>
        <w:t xml:space="preserve"> </w:t>
      </w:r>
      <w:r>
        <w:rPr>
          <w:rFonts w:ascii="Arial" w:cs="Arial" w:eastAsia="Arial" w:hAnsi="Arial"/>
          <w:sz w:val="18"/>
          <w:szCs w:val="18"/>
          <w:color w:val="262626"/>
        </w:rPr>
        <w:t>Director</w:t>
      </w:r>
      <w:r>
        <w:rPr>
          <w:rFonts w:ascii="Arial" w:cs="Arial" w:eastAsia="Arial" w:hAnsi="Arial"/>
          <w:sz w:val="18"/>
          <w:szCs w:val="18"/>
          <w:color w:val="2A2A2A"/>
        </w:rPr>
        <w:t xml:space="preserve"> </w:t>
      </w:r>
      <w:r>
        <w:rPr>
          <w:rFonts w:ascii="Arial" w:cs="Arial" w:eastAsia="Arial" w:hAnsi="Arial"/>
          <w:sz w:val="18"/>
          <w:szCs w:val="18"/>
          <w:color w:val="282828"/>
        </w:rPr>
        <w:t>is</w:t>
      </w:r>
      <w:r>
        <w:rPr>
          <w:rFonts w:ascii="Arial" w:cs="Arial" w:eastAsia="Arial" w:hAnsi="Arial"/>
          <w:sz w:val="18"/>
          <w:szCs w:val="18"/>
          <w:color w:val="2A2A2A"/>
        </w:rPr>
        <w:t xml:space="preserve"> </w:t>
      </w:r>
      <w:r>
        <w:rPr>
          <w:rFonts w:ascii="Arial" w:cs="Arial" w:eastAsia="Arial" w:hAnsi="Arial"/>
          <w:sz w:val="18"/>
          <w:szCs w:val="18"/>
          <w:color w:val="313131"/>
        </w:rPr>
        <w:t>a</w:t>
      </w:r>
      <w:r>
        <w:rPr>
          <w:rFonts w:ascii="Arial" w:cs="Arial" w:eastAsia="Arial" w:hAnsi="Arial"/>
          <w:sz w:val="18"/>
          <w:szCs w:val="18"/>
          <w:color w:val="2A2A2A"/>
        </w:rPr>
        <w:t xml:space="preserve"> </w:t>
      </w:r>
      <w:r>
        <w:rPr>
          <w:rFonts w:ascii="Arial" w:cs="Arial" w:eastAsia="Arial" w:hAnsi="Arial"/>
          <w:sz w:val="18"/>
          <w:szCs w:val="18"/>
          <w:color w:val="232323"/>
        </w:rPr>
        <w:t xml:space="preserve">director </w:t>
      </w:r>
      <w:r>
        <w:rPr>
          <w:rFonts w:ascii="Arial" w:cs="Arial" w:eastAsia="Arial" w:hAnsi="Arial"/>
          <w:sz w:val="18"/>
          <w:szCs w:val="18"/>
          <w:color w:val="333333"/>
        </w:rPr>
        <w:t>of</w:t>
      </w:r>
      <w:r>
        <w:rPr>
          <w:rFonts w:ascii="Arial" w:cs="Arial" w:eastAsia="Arial" w:hAnsi="Arial"/>
          <w:sz w:val="18"/>
          <w:szCs w:val="18"/>
          <w:color w:val="232323"/>
        </w:rPr>
        <w:t xml:space="preserve"> </w:t>
      </w:r>
      <w:r>
        <w:rPr>
          <w:rFonts w:ascii="Arial" w:cs="Arial" w:eastAsia="Arial" w:hAnsi="Arial"/>
          <w:sz w:val="18"/>
          <w:szCs w:val="18"/>
          <w:color w:val="2A2A2A"/>
        </w:rPr>
        <w:t>the</w:t>
      </w:r>
      <w:r>
        <w:rPr>
          <w:rFonts w:ascii="Arial" w:cs="Arial" w:eastAsia="Arial" w:hAnsi="Arial"/>
          <w:sz w:val="18"/>
          <w:szCs w:val="18"/>
          <w:color w:val="232323"/>
        </w:rPr>
        <w:t xml:space="preserve"> </w:t>
      </w:r>
      <w:r>
        <w:rPr>
          <w:rFonts w:ascii="Arial" w:cs="Arial" w:eastAsia="Arial" w:hAnsi="Arial"/>
          <w:sz w:val="18"/>
          <w:szCs w:val="18"/>
          <w:color w:val="262626"/>
        </w:rPr>
        <w:t>Company</w:t>
      </w:r>
      <w:r>
        <w:rPr>
          <w:rFonts w:ascii="Arial" w:cs="Arial" w:eastAsia="Arial" w:hAnsi="Arial"/>
          <w:sz w:val="18"/>
          <w:szCs w:val="18"/>
          <w:color w:val="232323"/>
        </w:rPr>
        <w:t xml:space="preserve"> </w:t>
      </w:r>
      <w:r>
        <w:rPr>
          <w:rFonts w:ascii="Arial" w:cs="Arial" w:eastAsia="Arial" w:hAnsi="Arial"/>
          <w:sz w:val="18"/>
          <w:szCs w:val="18"/>
          <w:color w:val="2D2D2D"/>
        </w:rPr>
        <w:t>and after</w:t>
      </w:r>
      <w:r>
        <w:rPr>
          <w:rFonts w:ascii="Arial" w:cs="Arial" w:eastAsia="Arial" w:hAnsi="Arial"/>
          <w:sz w:val="18"/>
          <w:szCs w:val="18"/>
          <w:color w:val="232323"/>
        </w:rPr>
        <w:t xml:space="preserve"> </w:t>
      </w:r>
      <w:r>
        <w:rPr>
          <w:rFonts w:ascii="Arial" w:cs="Arial" w:eastAsia="Arial" w:hAnsi="Arial"/>
          <w:sz w:val="18"/>
          <w:szCs w:val="18"/>
          <w:color w:val="2A2A2A"/>
        </w:rPr>
        <w:t>the</w:t>
      </w:r>
      <w:r>
        <w:rPr>
          <w:rFonts w:ascii="Arial" w:cs="Arial" w:eastAsia="Arial" w:hAnsi="Arial"/>
          <w:sz w:val="18"/>
          <w:szCs w:val="18"/>
          <w:color w:val="232323"/>
        </w:rPr>
        <w:t xml:space="preserve"> </w:t>
      </w:r>
      <w:r>
        <w:rPr>
          <w:rFonts w:ascii="Arial" w:cs="Arial" w:eastAsia="Arial" w:hAnsi="Arial"/>
          <w:sz w:val="18"/>
          <w:szCs w:val="18"/>
          <w:color w:val="2D2D2D"/>
        </w:rPr>
        <w:t>Director</w:t>
      </w:r>
      <w:r>
        <w:rPr>
          <w:rFonts w:ascii="Arial" w:cs="Arial" w:eastAsia="Arial" w:hAnsi="Arial"/>
          <w:sz w:val="18"/>
          <w:szCs w:val="18"/>
          <w:color w:val="232323"/>
        </w:rPr>
        <w:t xml:space="preserve"> </w:t>
      </w:r>
      <w:r>
        <w:rPr>
          <w:rFonts w:ascii="Arial" w:cs="Arial" w:eastAsia="Arial" w:hAnsi="Arial"/>
          <w:sz w:val="18"/>
          <w:szCs w:val="18"/>
          <w:color w:val="262626"/>
        </w:rPr>
        <w:t>ceases</w:t>
      </w:r>
      <w:r>
        <w:rPr>
          <w:rFonts w:ascii="Arial" w:cs="Arial" w:eastAsia="Arial" w:hAnsi="Arial"/>
          <w:sz w:val="18"/>
          <w:szCs w:val="18"/>
          <w:color w:val="232323"/>
        </w:rPr>
        <w:t xml:space="preserve"> </w:t>
      </w:r>
      <w:r>
        <w:rPr>
          <w:rFonts w:ascii="Arial" w:cs="Arial" w:eastAsia="Arial" w:hAnsi="Arial"/>
          <w:sz w:val="18"/>
          <w:szCs w:val="18"/>
          <w:color w:val="282828"/>
        </w:rPr>
        <w:t>to be</w:t>
      </w:r>
      <w:r>
        <w:rPr>
          <w:rFonts w:ascii="Arial" w:cs="Arial" w:eastAsia="Arial" w:hAnsi="Arial"/>
          <w:sz w:val="18"/>
          <w:szCs w:val="18"/>
          <w:color w:val="232323"/>
        </w:rPr>
        <w:t xml:space="preserve"> </w:t>
      </w:r>
      <w:r>
        <w:rPr>
          <w:rFonts w:ascii="Arial" w:cs="Arial" w:eastAsia="Arial" w:hAnsi="Arial"/>
          <w:sz w:val="18"/>
          <w:szCs w:val="18"/>
          <w:color w:val="2D2D2D"/>
        </w:rPr>
        <w:t>a director</w:t>
      </w:r>
      <w:r>
        <w:rPr>
          <w:rFonts w:ascii="Arial" w:cs="Arial" w:eastAsia="Arial" w:hAnsi="Arial"/>
          <w:sz w:val="18"/>
          <w:szCs w:val="18"/>
          <w:color w:val="232323"/>
        </w:rPr>
        <w:t xml:space="preserve"> </w:t>
      </w:r>
      <w:r>
        <w:rPr>
          <w:rFonts w:ascii="Arial" w:cs="Arial" w:eastAsia="Arial" w:hAnsi="Arial"/>
          <w:sz w:val="18"/>
          <w:szCs w:val="18"/>
          <w:color w:val="212121"/>
        </w:rPr>
        <w:t>of</w:t>
      </w:r>
      <w:r>
        <w:rPr>
          <w:rFonts w:ascii="Arial" w:cs="Arial" w:eastAsia="Arial" w:hAnsi="Arial"/>
          <w:sz w:val="18"/>
          <w:szCs w:val="18"/>
          <w:color w:val="232323"/>
        </w:rPr>
        <w:t xml:space="preserve"> </w:t>
      </w:r>
      <w:r>
        <w:rPr>
          <w:rFonts w:ascii="Arial" w:cs="Arial" w:eastAsia="Arial" w:hAnsi="Arial"/>
          <w:sz w:val="18"/>
          <w:szCs w:val="18"/>
          <w:color w:val="2B2B2B"/>
        </w:rPr>
        <w:t>the</w:t>
      </w:r>
      <w:r>
        <w:rPr>
          <w:rFonts w:ascii="Arial" w:cs="Arial" w:eastAsia="Arial" w:hAnsi="Arial"/>
          <w:sz w:val="18"/>
          <w:szCs w:val="18"/>
          <w:color w:val="232323"/>
        </w:rPr>
        <w:t xml:space="preserve"> Company) </w:t>
      </w:r>
      <w:r>
        <w:rPr>
          <w:rFonts w:ascii="Arial" w:cs="Arial" w:eastAsia="Arial" w:hAnsi="Arial"/>
          <w:sz w:val="18"/>
          <w:szCs w:val="18"/>
          <w:color w:val="282828"/>
        </w:rPr>
        <w:t>must</w:t>
      </w:r>
      <w:r>
        <w:rPr>
          <w:rFonts w:ascii="Arial" w:cs="Arial" w:eastAsia="Arial" w:hAnsi="Arial"/>
          <w:sz w:val="18"/>
          <w:szCs w:val="18"/>
          <w:color w:val="232323"/>
        </w:rPr>
        <w:t xml:space="preserve"> </w:t>
      </w:r>
      <w:r>
        <w:rPr>
          <w:rFonts w:ascii="Arial" w:cs="Arial" w:eastAsia="Arial" w:hAnsi="Arial"/>
          <w:sz w:val="18"/>
          <w:szCs w:val="18"/>
          <w:color w:val="2B2B2B"/>
        </w:rPr>
        <w:t>only use</w:t>
      </w:r>
      <w:r>
        <w:rPr>
          <w:rFonts w:ascii="Arial" w:cs="Arial" w:eastAsia="Arial" w:hAnsi="Arial"/>
          <w:sz w:val="18"/>
          <w:szCs w:val="18"/>
          <w:color w:val="232323"/>
        </w:rPr>
        <w:t xml:space="preserve"> </w:t>
      </w:r>
      <w:r>
        <w:rPr>
          <w:rFonts w:ascii="Arial" w:cs="Arial" w:eastAsia="Arial" w:hAnsi="Arial"/>
          <w:sz w:val="18"/>
          <w:szCs w:val="18"/>
          <w:color w:val="262626"/>
        </w:rPr>
        <w:t>Information</w:t>
      </w:r>
      <w:r>
        <w:rPr>
          <w:rFonts w:ascii="Arial" w:cs="Arial" w:eastAsia="Arial" w:hAnsi="Arial"/>
          <w:sz w:val="18"/>
          <w:szCs w:val="18"/>
          <w:color w:val="232323"/>
        </w:rPr>
        <w:t xml:space="preserve"> </w:t>
      </w:r>
      <w:r>
        <w:rPr>
          <w:rFonts w:ascii="Arial" w:cs="Arial" w:eastAsia="Arial" w:hAnsi="Arial"/>
          <w:sz w:val="18"/>
          <w:szCs w:val="18"/>
          <w:color w:val="313131"/>
        </w:rPr>
        <w:t>for</w:t>
      </w:r>
      <w:r>
        <w:rPr>
          <w:rFonts w:ascii="Arial" w:cs="Arial" w:eastAsia="Arial" w:hAnsi="Arial"/>
          <w:sz w:val="18"/>
          <w:szCs w:val="18"/>
          <w:color w:val="232323"/>
        </w:rPr>
        <w:t xml:space="preserve"> </w:t>
      </w:r>
      <w:r>
        <w:rPr>
          <w:rFonts w:ascii="Arial" w:cs="Arial" w:eastAsia="Arial" w:hAnsi="Arial"/>
          <w:sz w:val="18"/>
          <w:szCs w:val="18"/>
          <w:color w:val="343434"/>
        </w:rPr>
        <w:t>a</w:t>
      </w:r>
      <w:r>
        <w:rPr>
          <w:rFonts w:ascii="Arial" w:cs="Arial" w:eastAsia="Arial" w:hAnsi="Arial"/>
          <w:sz w:val="18"/>
          <w:szCs w:val="18"/>
          <w:color w:val="232323"/>
        </w:rPr>
        <w:t xml:space="preserve"> </w:t>
      </w:r>
      <w:r>
        <w:rPr>
          <w:rFonts w:ascii="Arial" w:cs="Arial" w:eastAsia="Arial" w:hAnsi="Arial"/>
          <w:sz w:val="18"/>
          <w:szCs w:val="18"/>
          <w:color w:val="262626"/>
        </w:rPr>
        <w:t>Permitted</w:t>
      </w:r>
      <w:r>
        <w:rPr>
          <w:rFonts w:ascii="Arial" w:cs="Arial" w:eastAsia="Arial" w:hAnsi="Arial"/>
          <w:sz w:val="18"/>
          <w:szCs w:val="18"/>
          <w:color w:val="232323"/>
        </w:rPr>
        <w:t xml:space="preserve"> </w:t>
      </w:r>
      <w:r>
        <w:rPr>
          <w:rFonts w:ascii="Arial" w:cs="Arial" w:eastAsia="Arial" w:hAnsi="Arial"/>
          <w:sz w:val="18"/>
          <w:szCs w:val="18"/>
          <w:color w:val="2B2B2B"/>
        </w:rPr>
        <w:t xml:space="preserve">Purpose, </w:t>
      </w:r>
      <w:r>
        <w:rPr>
          <w:rFonts w:ascii="Arial" w:cs="Arial" w:eastAsia="Arial" w:hAnsi="Arial"/>
          <w:sz w:val="18"/>
          <w:szCs w:val="18"/>
          <w:color w:val="333333"/>
        </w:rPr>
        <w:t>and</w:t>
      </w:r>
      <w:r>
        <w:rPr>
          <w:rFonts w:ascii="Arial" w:cs="Arial" w:eastAsia="Arial" w:hAnsi="Arial"/>
          <w:sz w:val="18"/>
          <w:szCs w:val="18"/>
          <w:color w:val="2B2B2B"/>
        </w:rPr>
        <w:t xml:space="preserve"> </w:t>
      </w:r>
      <w:r>
        <w:rPr>
          <w:rFonts w:ascii="Arial" w:cs="Arial" w:eastAsia="Arial" w:hAnsi="Arial"/>
          <w:sz w:val="18"/>
          <w:szCs w:val="18"/>
          <w:color w:val="2A2A2A"/>
        </w:rPr>
        <w:t>must</w:t>
      </w:r>
      <w:r>
        <w:rPr>
          <w:rFonts w:ascii="Arial" w:cs="Arial" w:eastAsia="Arial" w:hAnsi="Arial"/>
          <w:sz w:val="18"/>
          <w:szCs w:val="18"/>
          <w:color w:val="2B2B2B"/>
        </w:rPr>
        <w:t xml:space="preserve"> </w:t>
      </w:r>
      <w:r>
        <w:rPr>
          <w:rFonts w:ascii="Arial" w:cs="Arial" w:eastAsia="Arial" w:hAnsi="Arial"/>
          <w:sz w:val="18"/>
          <w:szCs w:val="18"/>
          <w:color w:val="262626"/>
        </w:rPr>
        <w:t>keep</w:t>
      </w:r>
      <w:r>
        <w:rPr>
          <w:rFonts w:ascii="Arial" w:cs="Arial" w:eastAsia="Arial" w:hAnsi="Arial"/>
          <w:sz w:val="18"/>
          <w:szCs w:val="18"/>
          <w:color w:val="2B2B2B"/>
        </w:rPr>
        <w:t xml:space="preserve"> </w:t>
      </w:r>
      <w:r>
        <w:rPr>
          <w:rFonts w:ascii="Arial" w:cs="Arial" w:eastAsia="Arial" w:hAnsi="Arial"/>
          <w:sz w:val="18"/>
          <w:szCs w:val="18"/>
          <w:color w:val="232323"/>
        </w:rPr>
        <w:t>all</w:t>
      </w:r>
      <w:r>
        <w:rPr>
          <w:rFonts w:ascii="Arial" w:cs="Arial" w:eastAsia="Arial" w:hAnsi="Arial"/>
          <w:sz w:val="18"/>
          <w:szCs w:val="18"/>
          <w:color w:val="2B2B2B"/>
        </w:rPr>
        <w:t xml:space="preserve"> </w:t>
      </w:r>
      <w:r>
        <w:rPr>
          <w:rFonts w:ascii="Arial" w:cs="Arial" w:eastAsia="Arial" w:hAnsi="Arial"/>
          <w:sz w:val="18"/>
          <w:szCs w:val="18"/>
          <w:color w:val="181818"/>
        </w:rPr>
        <w:t>Information</w:t>
      </w:r>
      <w:r>
        <w:rPr>
          <w:rFonts w:ascii="Arial" w:cs="Arial" w:eastAsia="Arial" w:hAnsi="Arial"/>
          <w:sz w:val="18"/>
          <w:szCs w:val="18"/>
          <w:color w:val="2B2B2B"/>
        </w:rPr>
        <w:t xml:space="preserve"> </w:t>
      </w:r>
      <w:r>
        <w:rPr>
          <w:rFonts w:ascii="Arial" w:cs="Arial" w:eastAsia="Arial" w:hAnsi="Arial"/>
          <w:sz w:val="18"/>
          <w:szCs w:val="18"/>
          <w:color w:val="1F1F1F"/>
        </w:rPr>
        <w:t>confidential</w:t>
      </w:r>
      <w:r>
        <w:rPr>
          <w:rFonts w:ascii="Arial" w:cs="Arial" w:eastAsia="Arial" w:hAnsi="Arial"/>
          <w:sz w:val="18"/>
          <w:szCs w:val="18"/>
          <w:color w:val="2B2B2B"/>
        </w:rPr>
        <w:t xml:space="preserve"> </w:t>
      </w:r>
      <w:r>
        <w:rPr>
          <w:rFonts w:ascii="Arial" w:cs="Arial" w:eastAsia="Arial" w:hAnsi="Arial"/>
          <w:sz w:val="18"/>
          <w:szCs w:val="18"/>
          <w:color w:val="232323"/>
        </w:rPr>
        <w:t>unless:</w:t>
      </w:r>
    </w:p>
    <w:p>
      <w:pPr>
        <w:spacing w:after="0" w:line="189" w:lineRule="exact"/>
        <w:rPr>
          <w:sz w:val="20"/>
          <w:szCs w:val="20"/>
          <w:color w:val="auto"/>
        </w:rPr>
      </w:pPr>
    </w:p>
    <w:p>
      <w:pPr>
        <w:ind w:left="1300" w:right="1460" w:hanging="644"/>
        <w:spacing w:after="0" w:line="246" w:lineRule="auto"/>
        <w:tabs>
          <w:tab w:leader="none" w:pos="1300" w:val="left"/>
        </w:tabs>
        <w:numPr>
          <w:ilvl w:val="0"/>
          <w:numId w:val="197"/>
        </w:numPr>
        <w:rPr>
          <w:rFonts w:ascii="Arial" w:cs="Arial" w:eastAsia="Arial" w:hAnsi="Arial"/>
          <w:sz w:val="18"/>
          <w:szCs w:val="18"/>
          <w:color w:val="313131"/>
        </w:rPr>
      </w:pPr>
      <w:r>
        <w:rPr>
          <w:rFonts w:ascii="Arial" w:cs="Arial" w:eastAsia="Arial" w:hAnsi="Arial"/>
          <w:sz w:val="18"/>
          <w:szCs w:val="18"/>
          <w:color w:val="282828"/>
        </w:rPr>
        <w:t xml:space="preserve">the </w:t>
      </w:r>
      <w:r>
        <w:rPr>
          <w:rFonts w:ascii="Arial" w:cs="Arial" w:eastAsia="Arial" w:hAnsi="Arial"/>
          <w:sz w:val="18"/>
          <w:szCs w:val="18"/>
          <w:color w:val="1D1D1D"/>
        </w:rPr>
        <w:t>Information</w:t>
      </w:r>
      <w:r>
        <w:rPr>
          <w:rFonts w:ascii="Arial" w:cs="Arial" w:eastAsia="Arial" w:hAnsi="Arial"/>
          <w:sz w:val="18"/>
          <w:szCs w:val="18"/>
          <w:color w:val="282828"/>
        </w:rPr>
        <w:t xml:space="preserve"> </w:t>
      </w:r>
      <w:r>
        <w:rPr>
          <w:rFonts w:ascii="Arial" w:cs="Arial" w:eastAsia="Arial" w:hAnsi="Arial"/>
          <w:sz w:val="18"/>
          <w:szCs w:val="18"/>
          <w:color w:val="2B2B2B"/>
        </w:rPr>
        <w:t>is</w:t>
      </w:r>
      <w:r>
        <w:rPr>
          <w:rFonts w:ascii="Arial" w:cs="Arial" w:eastAsia="Arial" w:hAnsi="Arial"/>
          <w:sz w:val="18"/>
          <w:szCs w:val="18"/>
          <w:color w:val="282828"/>
        </w:rPr>
        <w:t xml:space="preserve"> </w:t>
      </w:r>
      <w:r>
        <w:rPr>
          <w:rFonts w:ascii="Arial" w:cs="Arial" w:eastAsia="Arial" w:hAnsi="Arial"/>
          <w:sz w:val="18"/>
          <w:szCs w:val="18"/>
          <w:color w:val="262626"/>
        </w:rPr>
        <w:t>or</w:t>
      </w:r>
      <w:r>
        <w:rPr>
          <w:rFonts w:ascii="Arial" w:cs="Arial" w:eastAsia="Arial" w:hAnsi="Arial"/>
          <w:sz w:val="18"/>
          <w:szCs w:val="18"/>
          <w:color w:val="282828"/>
        </w:rPr>
        <w:t xml:space="preserve"> </w:t>
      </w:r>
      <w:r>
        <w:rPr>
          <w:rFonts w:ascii="Arial" w:cs="Arial" w:eastAsia="Arial" w:hAnsi="Arial"/>
          <w:sz w:val="18"/>
          <w:szCs w:val="18"/>
          <w:color w:val="1F1F1F"/>
        </w:rPr>
        <w:t>comes</w:t>
      </w:r>
      <w:r>
        <w:rPr>
          <w:rFonts w:ascii="Arial" w:cs="Arial" w:eastAsia="Arial" w:hAnsi="Arial"/>
          <w:sz w:val="18"/>
          <w:szCs w:val="18"/>
          <w:color w:val="282828"/>
        </w:rPr>
        <w:t xml:space="preserve"> into </w:t>
      </w:r>
      <w:r>
        <w:rPr>
          <w:rFonts w:ascii="Arial" w:cs="Arial" w:eastAsia="Arial" w:hAnsi="Arial"/>
          <w:sz w:val="18"/>
          <w:szCs w:val="18"/>
          <w:color w:val="2A2A2A"/>
        </w:rPr>
        <w:t>the</w:t>
      </w:r>
      <w:r>
        <w:rPr>
          <w:rFonts w:ascii="Arial" w:cs="Arial" w:eastAsia="Arial" w:hAnsi="Arial"/>
          <w:sz w:val="18"/>
          <w:szCs w:val="18"/>
          <w:color w:val="282828"/>
        </w:rPr>
        <w:t xml:space="preserve"> </w:t>
      </w:r>
      <w:r>
        <w:rPr>
          <w:rFonts w:ascii="Arial" w:cs="Arial" w:eastAsia="Arial" w:hAnsi="Arial"/>
          <w:sz w:val="18"/>
          <w:szCs w:val="18"/>
          <w:color w:val="262626"/>
        </w:rPr>
        <w:t>public</w:t>
      </w:r>
      <w:r>
        <w:rPr>
          <w:rFonts w:ascii="Arial" w:cs="Arial" w:eastAsia="Arial" w:hAnsi="Arial"/>
          <w:sz w:val="18"/>
          <w:szCs w:val="18"/>
          <w:color w:val="282828"/>
        </w:rPr>
        <w:t xml:space="preserve"> </w:t>
      </w:r>
      <w:r>
        <w:rPr>
          <w:rFonts w:ascii="Arial" w:cs="Arial" w:eastAsia="Arial" w:hAnsi="Arial"/>
          <w:sz w:val="18"/>
          <w:szCs w:val="18"/>
          <w:color w:val="212121"/>
        </w:rPr>
        <w:t>domain</w:t>
      </w:r>
      <w:r>
        <w:rPr>
          <w:rFonts w:ascii="Arial" w:cs="Arial" w:eastAsia="Arial" w:hAnsi="Arial"/>
          <w:sz w:val="18"/>
          <w:szCs w:val="18"/>
          <w:color w:val="282828"/>
        </w:rPr>
        <w:t xml:space="preserve"> </w:t>
      </w:r>
      <w:r>
        <w:rPr>
          <w:rFonts w:ascii="Arial" w:cs="Arial" w:eastAsia="Arial" w:hAnsi="Arial"/>
          <w:sz w:val="18"/>
          <w:szCs w:val="18"/>
          <w:color w:val="2A2A2A"/>
        </w:rPr>
        <w:t>(other than as</w:t>
      </w:r>
      <w:r>
        <w:rPr>
          <w:rFonts w:ascii="Arial" w:cs="Arial" w:eastAsia="Arial" w:hAnsi="Arial"/>
          <w:sz w:val="18"/>
          <w:szCs w:val="18"/>
          <w:color w:val="282828"/>
        </w:rPr>
        <w:t xml:space="preserve"> a </w:t>
      </w:r>
      <w:r>
        <w:rPr>
          <w:rFonts w:ascii="Arial" w:cs="Arial" w:eastAsia="Arial" w:hAnsi="Arial"/>
          <w:sz w:val="18"/>
          <w:szCs w:val="18"/>
          <w:color w:val="2A2A2A"/>
        </w:rPr>
        <w:t>result</w:t>
      </w:r>
      <w:r>
        <w:rPr>
          <w:rFonts w:ascii="Arial" w:cs="Arial" w:eastAsia="Arial" w:hAnsi="Arial"/>
          <w:sz w:val="18"/>
          <w:szCs w:val="18"/>
          <w:color w:val="282828"/>
        </w:rPr>
        <w:t xml:space="preserve"> </w:t>
      </w:r>
      <w:r>
        <w:rPr>
          <w:rFonts w:ascii="Arial" w:cs="Arial" w:eastAsia="Arial" w:hAnsi="Arial"/>
          <w:sz w:val="18"/>
          <w:szCs w:val="18"/>
          <w:color w:val="2D2D2D"/>
        </w:rPr>
        <w:t>of</w:t>
      </w:r>
      <w:r>
        <w:rPr>
          <w:rFonts w:ascii="Arial" w:cs="Arial" w:eastAsia="Arial" w:hAnsi="Arial"/>
          <w:sz w:val="18"/>
          <w:szCs w:val="18"/>
          <w:color w:val="282828"/>
        </w:rPr>
        <w:t xml:space="preserve"> </w:t>
      </w:r>
      <w:r>
        <w:rPr>
          <w:rFonts w:ascii="Arial" w:cs="Arial" w:eastAsia="Arial" w:hAnsi="Arial"/>
          <w:sz w:val="18"/>
          <w:szCs w:val="18"/>
          <w:color w:val="3D3D3D"/>
        </w:rPr>
        <w:t>a</w:t>
      </w:r>
      <w:r>
        <w:rPr>
          <w:rFonts w:ascii="Arial" w:cs="Arial" w:eastAsia="Arial" w:hAnsi="Arial"/>
          <w:sz w:val="18"/>
          <w:szCs w:val="18"/>
          <w:color w:val="282828"/>
        </w:rPr>
        <w:t xml:space="preserve"> </w:t>
      </w:r>
      <w:r>
        <w:rPr>
          <w:rFonts w:ascii="Arial" w:cs="Arial" w:eastAsia="Arial" w:hAnsi="Arial"/>
          <w:sz w:val="18"/>
          <w:szCs w:val="18"/>
          <w:color w:val="232323"/>
        </w:rPr>
        <w:t>breach</w:t>
      </w:r>
      <w:r>
        <w:rPr>
          <w:rFonts w:ascii="Arial" w:cs="Arial" w:eastAsia="Arial" w:hAnsi="Arial"/>
          <w:sz w:val="18"/>
          <w:szCs w:val="18"/>
          <w:color w:val="282828"/>
        </w:rPr>
        <w:t xml:space="preserve"> </w:t>
      </w:r>
      <w:r>
        <w:rPr>
          <w:rFonts w:ascii="Arial" w:cs="Arial" w:eastAsia="Arial" w:hAnsi="Arial"/>
          <w:sz w:val="18"/>
          <w:szCs w:val="18"/>
          <w:color w:val="262626"/>
        </w:rPr>
        <w:t>by the</w:t>
      </w:r>
      <w:r>
        <w:rPr>
          <w:rFonts w:ascii="Arial" w:cs="Arial" w:eastAsia="Arial" w:hAnsi="Arial"/>
          <w:sz w:val="18"/>
          <w:szCs w:val="18"/>
          <w:color w:val="282828"/>
        </w:rPr>
        <w:t xml:space="preserve"> </w:t>
      </w:r>
      <w:r>
        <w:rPr>
          <w:rFonts w:ascii="Arial" w:cs="Arial" w:eastAsia="Arial" w:hAnsi="Arial"/>
          <w:sz w:val="18"/>
          <w:szCs w:val="18"/>
          <w:color w:val="1C1C1C"/>
        </w:rPr>
        <w:t>Director</w:t>
      </w:r>
      <w:r>
        <w:rPr>
          <w:rFonts w:ascii="Arial" w:cs="Arial" w:eastAsia="Arial" w:hAnsi="Arial"/>
          <w:sz w:val="18"/>
          <w:szCs w:val="18"/>
          <w:color w:val="282828"/>
        </w:rPr>
        <w:t xml:space="preserve"> </w:t>
      </w:r>
      <w:r>
        <w:rPr>
          <w:rFonts w:ascii="Arial" w:cs="Arial" w:eastAsia="Arial" w:hAnsi="Arial"/>
          <w:sz w:val="18"/>
          <w:szCs w:val="18"/>
          <w:color w:val="2A2A2A"/>
        </w:rPr>
        <w:t>of</w:t>
      </w:r>
      <w:r>
        <w:rPr>
          <w:rFonts w:ascii="Arial" w:cs="Arial" w:eastAsia="Arial" w:hAnsi="Arial"/>
          <w:sz w:val="18"/>
          <w:szCs w:val="18"/>
          <w:color w:val="282828"/>
        </w:rPr>
        <w:t xml:space="preserve"> </w:t>
      </w:r>
      <w:r>
        <w:rPr>
          <w:rFonts w:ascii="Arial" w:cs="Arial" w:eastAsia="Arial" w:hAnsi="Arial"/>
          <w:sz w:val="18"/>
          <w:szCs w:val="18"/>
          <w:color w:val="242424"/>
        </w:rPr>
        <w:t>this</w:t>
      </w:r>
      <w:r>
        <w:rPr>
          <w:rFonts w:ascii="Arial" w:cs="Arial" w:eastAsia="Arial" w:hAnsi="Arial"/>
          <w:sz w:val="18"/>
          <w:szCs w:val="18"/>
          <w:color w:val="282828"/>
        </w:rPr>
        <w:t xml:space="preserve"> </w:t>
      </w:r>
      <w:r>
        <w:rPr>
          <w:rFonts w:ascii="Arial" w:cs="Arial" w:eastAsia="Arial" w:hAnsi="Arial"/>
          <w:sz w:val="18"/>
          <w:szCs w:val="18"/>
          <w:color w:val="232323"/>
        </w:rPr>
        <w:t>document);</w:t>
      </w:r>
    </w:p>
    <w:p>
      <w:pPr>
        <w:spacing w:after="0" w:line="183" w:lineRule="exact"/>
        <w:rPr>
          <w:rFonts w:ascii="Arial" w:cs="Arial" w:eastAsia="Arial" w:hAnsi="Arial"/>
          <w:sz w:val="18"/>
          <w:szCs w:val="18"/>
          <w:color w:val="313131"/>
        </w:rPr>
      </w:pPr>
    </w:p>
    <w:p>
      <w:pPr>
        <w:ind w:left="1300" w:hanging="644"/>
        <w:spacing w:after="0"/>
        <w:tabs>
          <w:tab w:leader="none" w:pos="1300" w:val="left"/>
        </w:tabs>
        <w:numPr>
          <w:ilvl w:val="0"/>
          <w:numId w:val="197"/>
        </w:numPr>
        <w:rPr>
          <w:rFonts w:ascii="Arial" w:cs="Arial" w:eastAsia="Arial" w:hAnsi="Arial"/>
          <w:sz w:val="18"/>
          <w:szCs w:val="18"/>
          <w:color w:val="282828"/>
        </w:rPr>
      </w:pPr>
      <w:r>
        <w:rPr>
          <w:rFonts w:ascii="Arial" w:cs="Arial" w:eastAsia="Arial" w:hAnsi="Arial"/>
          <w:sz w:val="18"/>
          <w:szCs w:val="18"/>
          <w:color w:val="212121"/>
        </w:rPr>
        <w:t xml:space="preserve">disclosure </w:t>
      </w:r>
      <w:r>
        <w:rPr>
          <w:rFonts w:ascii="Arial" w:cs="Arial" w:eastAsia="Arial" w:hAnsi="Arial"/>
          <w:sz w:val="18"/>
          <w:szCs w:val="18"/>
          <w:color w:val="262626"/>
        </w:rPr>
        <w:t>of</w:t>
      </w:r>
      <w:r>
        <w:rPr>
          <w:rFonts w:ascii="Arial" w:cs="Arial" w:eastAsia="Arial" w:hAnsi="Arial"/>
          <w:sz w:val="18"/>
          <w:szCs w:val="18"/>
          <w:color w:val="212121"/>
        </w:rPr>
        <w:t xml:space="preserve"> </w:t>
      </w:r>
      <w:r>
        <w:rPr>
          <w:rFonts w:ascii="Arial" w:cs="Arial" w:eastAsia="Arial" w:hAnsi="Arial"/>
          <w:sz w:val="18"/>
          <w:szCs w:val="18"/>
          <w:color w:val="232323"/>
        </w:rPr>
        <w:t>the</w:t>
      </w:r>
      <w:r>
        <w:rPr>
          <w:rFonts w:ascii="Arial" w:cs="Arial" w:eastAsia="Arial" w:hAnsi="Arial"/>
          <w:sz w:val="18"/>
          <w:szCs w:val="18"/>
          <w:color w:val="212121"/>
        </w:rPr>
        <w:t xml:space="preserve"> </w:t>
      </w:r>
      <w:r>
        <w:rPr>
          <w:rFonts w:ascii="Arial" w:cs="Arial" w:eastAsia="Arial" w:hAnsi="Arial"/>
          <w:sz w:val="18"/>
          <w:szCs w:val="18"/>
          <w:color w:val="282828"/>
        </w:rPr>
        <w:t>Information</w:t>
      </w:r>
      <w:r>
        <w:rPr>
          <w:rFonts w:ascii="Arial" w:cs="Arial" w:eastAsia="Arial" w:hAnsi="Arial"/>
          <w:sz w:val="18"/>
          <w:szCs w:val="18"/>
          <w:color w:val="212121"/>
        </w:rPr>
        <w:t xml:space="preserve"> </w:t>
      </w:r>
      <w:r>
        <w:rPr>
          <w:rFonts w:ascii="Arial" w:cs="Arial" w:eastAsia="Arial" w:hAnsi="Arial"/>
          <w:sz w:val="18"/>
          <w:szCs w:val="18"/>
          <w:color w:val="313131"/>
        </w:rPr>
        <w:t>is</w:t>
      </w:r>
      <w:r>
        <w:rPr>
          <w:rFonts w:ascii="Arial" w:cs="Arial" w:eastAsia="Arial" w:hAnsi="Arial"/>
          <w:sz w:val="18"/>
          <w:szCs w:val="18"/>
          <w:color w:val="212121"/>
        </w:rPr>
        <w:t xml:space="preserve"> </w:t>
      </w:r>
      <w:r>
        <w:rPr>
          <w:rFonts w:ascii="Arial" w:cs="Arial" w:eastAsia="Arial" w:hAnsi="Arial"/>
          <w:sz w:val="18"/>
          <w:szCs w:val="18"/>
          <w:color w:val="2D2D2D"/>
        </w:rPr>
        <w:t>required</w:t>
      </w:r>
      <w:r>
        <w:rPr>
          <w:rFonts w:ascii="Arial" w:cs="Arial" w:eastAsia="Arial" w:hAnsi="Arial"/>
          <w:sz w:val="18"/>
          <w:szCs w:val="18"/>
          <w:color w:val="212121"/>
        </w:rPr>
        <w:t xml:space="preserve"> </w:t>
      </w:r>
      <w:r>
        <w:rPr>
          <w:rFonts w:ascii="Arial" w:cs="Arial" w:eastAsia="Arial" w:hAnsi="Arial"/>
          <w:sz w:val="18"/>
          <w:szCs w:val="18"/>
          <w:color w:val="262626"/>
        </w:rPr>
        <w:t>by</w:t>
      </w:r>
      <w:r>
        <w:rPr>
          <w:rFonts w:ascii="Arial" w:cs="Arial" w:eastAsia="Arial" w:hAnsi="Arial"/>
          <w:sz w:val="18"/>
          <w:szCs w:val="18"/>
          <w:color w:val="212121"/>
        </w:rPr>
        <w:t xml:space="preserve"> </w:t>
      </w:r>
      <w:r>
        <w:rPr>
          <w:rFonts w:ascii="Arial" w:cs="Arial" w:eastAsia="Arial" w:hAnsi="Arial"/>
          <w:sz w:val="18"/>
          <w:szCs w:val="18"/>
          <w:color w:val="2A2A2A"/>
        </w:rPr>
        <w:t>law;</w:t>
      </w:r>
    </w:p>
    <w:p>
      <w:pPr>
        <w:spacing w:after="0" w:line="198" w:lineRule="exact"/>
        <w:rPr>
          <w:rFonts w:ascii="Arial" w:cs="Arial" w:eastAsia="Arial" w:hAnsi="Arial"/>
          <w:sz w:val="18"/>
          <w:szCs w:val="18"/>
          <w:color w:val="282828"/>
        </w:rPr>
      </w:pPr>
    </w:p>
    <w:p>
      <w:pPr>
        <w:ind w:left="1300" w:hanging="644"/>
        <w:spacing w:after="0"/>
        <w:tabs>
          <w:tab w:leader="none" w:pos="1300" w:val="left"/>
        </w:tabs>
        <w:numPr>
          <w:ilvl w:val="0"/>
          <w:numId w:val="197"/>
        </w:numPr>
        <w:rPr>
          <w:rFonts w:ascii="Arial" w:cs="Arial" w:eastAsia="Arial" w:hAnsi="Arial"/>
          <w:sz w:val="18"/>
          <w:szCs w:val="18"/>
          <w:color w:val="161616"/>
        </w:rPr>
      </w:pPr>
      <w:r>
        <w:rPr>
          <w:rFonts w:ascii="Arial" w:cs="Arial" w:eastAsia="Arial" w:hAnsi="Arial"/>
          <w:sz w:val="18"/>
          <w:szCs w:val="18"/>
          <w:color w:val="1D1D1D"/>
        </w:rPr>
        <w:t xml:space="preserve">subject </w:t>
      </w:r>
      <w:r>
        <w:rPr>
          <w:rFonts w:ascii="Arial" w:cs="Arial" w:eastAsia="Arial" w:hAnsi="Arial"/>
          <w:sz w:val="18"/>
          <w:szCs w:val="18"/>
          <w:color w:val="181818"/>
        </w:rPr>
        <w:t>to</w:t>
      </w:r>
      <w:r>
        <w:rPr>
          <w:rFonts w:ascii="Arial" w:cs="Arial" w:eastAsia="Arial" w:hAnsi="Arial"/>
          <w:sz w:val="18"/>
          <w:szCs w:val="18"/>
          <w:color w:val="1D1D1D"/>
        </w:rPr>
        <w:t xml:space="preserve"> </w:t>
      </w:r>
      <w:r>
        <w:rPr>
          <w:rFonts w:ascii="Arial" w:cs="Arial" w:eastAsia="Arial" w:hAnsi="Arial"/>
          <w:sz w:val="18"/>
          <w:szCs w:val="18"/>
          <w:color w:val="212121"/>
        </w:rPr>
        <w:t>clause</w:t>
      </w:r>
      <w:r>
        <w:rPr>
          <w:rFonts w:ascii="Arial" w:cs="Arial" w:eastAsia="Arial" w:hAnsi="Arial"/>
          <w:sz w:val="18"/>
          <w:szCs w:val="18"/>
          <w:color w:val="1D1D1D"/>
        </w:rPr>
        <w:t xml:space="preserve"> </w:t>
      </w:r>
      <w:r>
        <w:rPr>
          <w:rFonts w:ascii="Arial" w:cs="Arial" w:eastAsia="Arial" w:hAnsi="Arial"/>
          <w:sz w:val="18"/>
          <w:szCs w:val="18"/>
          <w:color w:val="282828"/>
        </w:rPr>
        <w:t>7.2,</w:t>
      </w:r>
      <w:r>
        <w:rPr>
          <w:rFonts w:ascii="Arial" w:cs="Arial" w:eastAsia="Arial" w:hAnsi="Arial"/>
          <w:sz w:val="18"/>
          <w:szCs w:val="18"/>
          <w:color w:val="1D1D1D"/>
        </w:rPr>
        <w:t xml:space="preserve"> </w:t>
      </w:r>
      <w:r>
        <w:rPr>
          <w:rFonts w:ascii="Arial" w:cs="Arial" w:eastAsia="Arial" w:hAnsi="Arial"/>
          <w:sz w:val="18"/>
          <w:szCs w:val="18"/>
          <w:color w:val="212121"/>
        </w:rPr>
        <w:t>disclosure</w:t>
      </w:r>
      <w:r>
        <w:rPr>
          <w:rFonts w:ascii="Arial" w:cs="Arial" w:eastAsia="Arial" w:hAnsi="Arial"/>
          <w:sz w:val="18"/>
          <w:szCs w:val="18"/>
          <w:color w:val="1D1D1D"/>
        </w:rPr>
        <w:t xml:space="preserve"> </w:t>
      </w:r>
      <w:r>
        <w:rPr>
          <w:rFonts w:ascii="Arial" w:cs="Arial" w:eastAsia="Arial" w:hAnsi="Arial"/>
          <w:sz w:val="18"/>
          <w:szCs w:val="18"/>
          <w:color w:val="2B2B2B"/>
        </w:rPr>
        <w:t>of</w:t>
      </w:r>
      <w:r>
        <w:rPr>
          <w:rFonts w:ascii="Arial" w:cs="Arial" w:eastAsia="Arial" w:hAnsi="Arial"/>
          <w:sz w:val="18"/>
          <w:szCs w:val="18"/>
          <w:color w:val="1D1D1D"/>
        </w:rPr>
        <w:t xml:space="preserve"> </w:t>
      </w:r>
      <w:r>
        <w:rPr>
          <w:rFonts w:ascii="Arial" w:cs="Arial" w:eastAsia="Arial" w:hAnsi="Arial"/>
          <w:sz w:val="18"/>
          <w:szCs w:val="18"/>
          <w:color w:val="262626"/>
        </w:rPr>
        <w:t>the</w:t>
      </w:r>
      <w:r>
        <w:rPr>
          <w:rFonts w:ascii="Arial" w:cs="Arial" w:eastAsia="Arial" w:hAnsi="Arial"/>
          <w:sz w:val="18"/>
          <w:szCs w:val="18"/>
          <w:color w:val="1D1D1D"/>
        </w:rPr>
        <w:t xml:space="preserve"> </w:t>
      </w:r>
      <w:r>
        <w:rPr>
          <w:rFonts w:ascii="Arial" w:cs="Arial" w:eastAsia="Arial" w:hAnsi="Arial"/>
          <w:sz w:val="18"/>
          <w:szCs w:val="18"/>
          <w:color w:val="1F1F1F"/>
        </w:rPr>
        <w:t>Information</w:t>
      </w:r>
      <w:r>
        <w:rPr>
          <w:rFonts w:ascii="Arial" w:cs="Arial" w:eastAsia="Arial" w:hAnsi="Arial"/>
          <w:sz w:val="18"/>
          <w:szCs w:val="18"/>
          <w:color w:val="1D1D1D"/>
        </w:rPr>
        <w:t xml:space="preserve"> </w:t>
      </w:r>
      <w:r>
        <w:rPr>
          <w:rFonts w:ascii="Arial" w:cs="Arial" w:eastAsia="Arial" w:hAnsi="Arial"/>
          <w:sz w:val="18"/>
          <w:szCs w:val="18"/>
          <w:color w:val="212121"/>
        </w:rPr>
        <w:t>is:</w:t>
      </w:r>
    </w:p>
    <w:p>
      <w:pPr>
        <w:spacing w:after="0" w:line="198" w:lineRule="exact"/>
        <w:rPr>
          <w:rFonts w:ascii="Arial" w:cs="Arial" w:eastAsia="Arial" w:hAnsi="Arial"/>
          <w:sz w:val="18"/>
          <w:szCs w:val="18"/>
          <w:color w:val="161616"/>
        </w:rPr>
      </w:pPr>
    </w:p>
    <w:p>
      <w:pPr>
        <w:ind w:left="1960" w:hanging="656"/>
        <w:spacing w:after="0"/>
        <w:tabs>
          <w:tab w:leader="none" w:pos="1960" w:val="left"/>
        </w:tabs>
        <w:numPr>
          <w:ilvl w:val="1"/>
          <w:numId w:val="197"/>
        </w:numPr>
        <w:rPr>
          <w:rFonts w:ascii="Arial" w:cs="Arial" w:eastAsia="Arial" w:hAnsi="Arial"/>
          <w:sz w:val="18"/>
          <w:szCs w:val="18"/>
          <w:color w:val="1F1F1F"/>
        </w:rPr>
      </w:pPr>
      <w:r>
        <w:rPr>
          <w:rFonts w:ascii="Arial" w:cs="Arial" w:eastAsia="Arial" w:hAnsi="Arial"/>
          <w:sz w:val="18"/>
          <w:szCs w:val="18"/>
          <w:color w:val="212121"/>
        </w:rPr>
        <w:t xml:space="preserve">reasonably </w:t>
      </w:r>
      <w:r>
        <w:rPr>
          <w:rFonts w:ascii="Arial" w:cs="Arial" w:eastAsia="Arial" w:hAnsi="Arial"/>
          <w:sz w:val="18"/>
          <w:szCs w:val="18"/>
          <w:color w:val="232323"/>
        </w:rPr>
        <w:t>necessary</w:t>
      </w:r>
      <w:r>
        <w:rPr>
          <w:rFonts w:ascii="Arial" w:cs="Arial" w:eastAsia="Arial" w:hAnsi="Arial"/>
          <w:sz w:val="18"/>
          <w:szCs w:val="18"/>
          <w:color w:val="212121"/>
        </w:rPr>
        <w:t xml:space="preserve"> </w:t>
      </w:r>
      <w:r>
        <w:rPr>
          <w:rFonts w:ascii="Arial" w:cs="Arial" w:eastAsia="Arial" w:hAnsi="Arial"/>
          <w:sz w:val="18"/>
          <w:szCs w:val="18"/>
          <w:color w:val="313131"/>
        </w:rPr>
        <w:t>for</w:t>
      </w:r>
      <w:r>
        <w:rPr>
          <w:rFonts w:ascii="Arial" w:cs="Arial" w:eastAsia="Arial" w:hAnsi="Arial"/>
          <w:sz w:val="18"/>
          <w:szCs w:val="18"/>
          <w:color w:val="212121"/>
        </w:rPr>
        <w:t xml:space="preserve"> </w:t>
      </w:r>
      <w:r>
        <w:rPr>
          <w:rFonts w:ascii="Arial" w:cs="Arial" w:eastAsia="Arial" w:hAnsi="Arial"/>
          <w:sz w:val="18"/>
          <w:szCs w:val="18"/>
          <w:color w:val="262626"/>
        </w:rPr>
        <w:t>a</w:t>
      </w:r>
      <w:r>
        <w:rPr>
          <w:rFonts w:ascii="Arial" w:cs="Arial" w:eastAsia="Arial" w:hAnsi="Arial"/>
          <w:sz w:val="18"/>
          <w:szCs w:val="18"/>
          <w:color w:val="212121"/>
        </w:rPr>
        <w:t xml:space="preserve"> </w:t>
      </w:r>
      <w:r>
        <w:rPr>
          <w:rFonts w:ascii="Arial" w:cs="Arial" w:eastAsia="Arial" w:hAnsi="Arial"/>
          <w:sz w:val="18"/>
          <w:szCs w:val="18"/>
          <w:color w:val="232323"/>
        </w:rPr>
        <w:t>Permitted</w:t>
      </w:r>
      <w:r>
        <w:rPr>
          <w:rFonts w:ascii="Arial" w:cs="Arial" w:eastAsia="Arial" w:hAnsi="Arial"/>
          <w:sz w:val="18"/>
          <w:szCs w:val="18"/>
          <w:color w:val="212121"/>
        </w:rPr>
        <w:t xml:space="preserve"> Purpose; or</w:t>
      </w:r>
    </w:p>
    <w:p>
      <w:pPr>
        <w:spacing w:after="0" w:line="198" w:lineRule="exact"/>
        <w:rPr>
          <w:rFonts w:ascii="Arial" w:cs="Arial" w:eastAsia="Arial" w:hAnsi="Arial"/>
          <w:sz w:val="18"/>
          <w:szCs w:val="18"/>
          <w:color w:val="1F1F1F"/>
        </w:rPr>
      </w:pPr>
    </w:p>
    <w:p>
      <w:pPr>
        <w:ind w:left="1960" w:hanging="656"/>
        <w:spacing w:after="0"/>
        <w:tabs>
          <w:tab w:leader="none" w:pos="1960" w:val="left"/>
        </w:tabs>
        <w:numPr>
          <w:ilvl w:val="1"/>
          <w:numId w:val="197"/>
        </w:numPr>
        <w:rPr>
          <w:rFonts w:ascii="Arial" w:cs="Arial" w:eastAsia="Arial" w:hAnsi="Arial"/>
          <w:sz w:val="18"/>
          <w:szCs w:val="18"/>
          <w:color w:val="282828"/>
        </w:rPr>
      </w:pPr>
      <w:r>
        <w:rPr>
          <w:rFonts w:ascii="Arial" w:cs="Arial" w:eastAsia="Arial" w:hAnsi="Arial"/>
          <w:sz w:val="18"/>
          <w:szCs w:val="18"/>
          <w:color w:val="1A1A1A"/>
        </w:rPr>
        <w:t xml:space="preserve">made </w:t>
      </w:r>
      <w:r>
        <w:rPr>
          <w:rFonts w:ascii="Arial" w:cs="Arial" w:eastAsia="Arial" w:hAnsi="Arial"/>
          <w:sz w:val="18"/>
          <w:szCs w:val="18"/>
          <w:color w:val="2D2D2D"/>
        </w:rPr>
        <w:t>in</w:t>
      </w:r>
      <w:r>
        <w:rPr>
          <w:rFonts w:ascii="Arial" w:cs="Arial" w:eastAsia="Arial" w:hAnsi="Arial"/>
          <w:sz w:val="18"/>
          <w:szCs w:val="18"/>
          <w:color w:val="1A1A1A"/>
        </w:rPr>
        <w:t xml:space="preserve"> </w:t>
      </w:r>
      <w:r>
        <w:rPr>
          <w:rFonts w:ascii="Arial" w:cs="Arial" w:eastAsia="Arial" w:hAnsi="Arial"/>
          <w:sz w:val="18"/>
          <w:szCs w:val="18"/>
          <w:color w:val="1C1C1C"/>
        </w:rPr>
        <w:t>confidence</w:t>
      </w:r>
      <w:r>
        <w:rPr>
          <w:rFonts w:ascii="Arial" w:cs="Arial" w:eastAsia="Arial" w:hAnsi="Arial"/>
          <w:sz w:val="18"/>
          <w:szCs w:val="18"/>
          <w:color w:val="1A1A1A"/>
        </w:rPr>
        <w:t xml:space="preserve"> </w:t>
      </w:r>
      <w:r>
        <w:rPr>
          <w:rFonts w:ascii="Arial" w:cs="Arial" w:eastAsia="Arial" w:hAnsi="Arial"/>
          <w:sz w:val="18"/>
          <w:szCs w:val="18"/>
          <w:color w:val="212121"/>
        </w:rPr>
        <w:t>to</w:t>
      </w:r>
      <w:r>
        <w:rPr>
          <w:rFonts w:ascii="Arial" w:cs="Arial" w:eastAsia="Arial" w:hAnsi="Arial"/>
          <w:sz w:val="18"/>
          <w:szCs w:val="18"/>
          <w:color w:val="1A1A1A"/>
        </w:rPr>
        <w:t xml:space="preserve"> </w:t>
      </w:r>
      <w:r>
        <w:rPr>
          <w:rFonts w:ascii="Arial" w:cs="Arial" w:eastAsia="Arial" w:hAnsi="Arial"/>
          <w:sz w:val="18"/>
          <w:szCs w:val="18"/>
          <w:color w:val="313131"/>
        </w:rPr>
        <w:t>the</w:t>
      </w:r>
      <w:r>
        <w:rPr>
          <w:rFonts w:ascii="Arial" w:cs="Arial" w:eastAsia="Arial" w:hAnsi="Arial"/>
          <w:sz w:val="18"/>
          <w:szCs w:val="18"/>
          <w:color w:val="1A1A1A"/>
        </w:rPr>
        <w:t xml:space="preserve"> </w:t>
      </w:r>
      <w:r>
        <w:rPr>
          <w:rFonts w:ascii="Arial" w:cs="Arial" w:eastAsia="Arial" w:hAnsi="Arial"/>
          <w:sz w:val="18"/>
          <w:szCs w:val="18"/>
          <w:color w:val="242424"/>
        </w:rPr>
        <w:t>legal,</w:t>
      </w:r>
      <w:r>
        <w:rPr>
          <w:rFonts w:ascii="Arial" w:cs="Arial" w:eastAsia="Arial" w:hAnsi="Arial"/>
          <w:sz w:val="18"/>
          <w:szCs w:val="18"/>
          <w:color w:val="1A1A1A"/>
        </w:rPr>
        <w:t xml:space="preserve"> </w:t>
      </w:r>
      <w:r>
        <w:rPr>
          <w:rFonts w:ascii="Arial" w:cs="Arial" w:eastAsia="Arial" w:hAnsi="Arial"/>
          <w:sz w:val="18"/>
          <w:szCs w:val="18"/>
          <w:color w:val="232323"/>
        </w:rPr>
        <w:t>financial</w:t>
      </w:r>
      <w:r>
        <w:rPr>
          <w:rFonts w:ascii="Arial" w:cs="Arial" w:eastAsia="Arial" w:hAnsi="Arial"/>
          <w:sz w:val="18"/>
          <w:szCs w:val="18"/>
          <w:color w:val="1A1A1A"/>
        </w:rPr>
        <w:t xml:space="preserve"> </w:t>
      </w:r>
      <w:r>
        <w:rPr>
          <w:rFonts w:ascii="Arial" w:cs="Arial" w:eastAsia="Arial" w:hAnsi="Arial"/>
          <w:sz w:val="18"/>
          <w:szCs w:val="18"/>
          <w:color w:val="2D2D2D"/>
        </w:rPr>
        <w:t>or</w:t>
      </w:r>
      <w:r>
        <w:rPr>
          <w:rFonts w:ascii="Arial" w:cs="Arial" w:eastAsia="Arial" w:hAnsi="Arial"/>
          <w:sz w:val="18"/>
          <w:szCs w:val="18"/>
          <w:color w:val="1A1A1A"/>
        </w:rPr>
        <w:t xml:space="preserve"> </w:t>
      </w:r>
      <w:r>
        <w:rPr>
          <w:rFonts w:ascii="Arial" w:cs="Arial" w:eastAsia="Arial" w:hAnsi="Arial"/>
          <w:sz w:val="18"/>
          <w:szCs w:val="18"/>
          <w:color w:val="212121"/>
        </w:rPr>
        <w:t>taxation</w:t>
      </w:r>
      <w:r>
        <w:rPr>
          <w:rFonts w:ascii="Arial" w:cs="Arial" w:eastAsia="Arial" w:hAnsi="Arial"/>
          <w:sz w:val="18"/>
          <w:szCs w:val="18"/>
          <w:color w:val="1A1A1A"/>
        </w:rPr>
        <w:t xml:space="preserve"> </w:t>
      </w:r>
      <w:r>
        <w:rPr>
          <w:rFonts w:ascii="Arial" w:cs="Arial" w:eastAsia="Arial" w:hAnsi="Arial"/>
          <w:sz w:val="18"/>
          <w:szCs w:val="18"/>
          <w:color w:val="232323"/>
        </w:rPr>
        <w:t>advisers</w:t>
      </w:r>
      <w:r>
        <w:rPr>
          <w:rFonts w:ascii="Arial" w:cs="Arial" w:eastAsia="Arial" w:hAnsi="Arial"/>
          <w:sz w:val="18"/>
          <w:szCs w:val="18"/>
          <w:color w:val="1A1A1A"/>
        </w:rPr>
        <w:t xml:space="preserve"> </w:t>
      </w:r>
      <w:r>
        <w:rPr>
          <w:rFonts w:ascii="Arial" w:cs="Arial" w:eastAsia="Arial" w:hAnsi="Arial"/>
          <w:sz w:val="18"/>
          <w:szCs w:val="18"/>
          <w:color w:val="2D2D2D"/>
        </w:rPr>
        <w:t>of</w:t>
      </w:r>
      <w:r>
        <w:rPr>
          <w:rFonts w:ascii="Arial" w:cs="Arial" w:eastAsia="Arial" w:hAnsi="Arial"/>
          <w:sz w:val="18"/>
          <w:szCs w:val="18"/>
          <w:color w:val="1A1A1A"/>
        </w:rPr>
        <w:t xml:space="preserve"> </w:t>
      </w:r>
      <w:r>
        <w:rPr>
          <w:rFonts w:ascii="Arial" w:cs="Arial" w:eastAsia="Arial" w:hAnsi="Arial"/>
          <w:sz w:val="18"/>
          <w:szCs w:val="18"/>
          <w:color w:val="212121"/>
        </w:rPr>
        <w:t>the</w:t>
      </w:r>
      <w:r>
        <w:rPr>
          <w:rFonts w:ascii="Arial" w:cs="Arial" w:eastAsia="Arial" w:hAnsi="Arial"/>
          <w:sz w:val="18"/>
          <w:szCs w:val="18"/>
          <w:color w:val="1A1A1A"/>
        </w:rPr>
        <w:t xml:space="preserve"> </w:t>
      </w:r>
      <w:r>
        <w:rPr>
          <w:rFonts w:ascii="Arial" w:cs="Arial" w:eastAsia="Arial" w:hAnsi="Arial"/>
          <w:sz w:val="18"/>
          <w:szCs w:val="18"/>
          <w:color w:val="2A2A2A"/>
        </w:rPr>
        <w:t>Director;</w:t>
      </w:r>
    </w:p>
    <w:p>
      <w:pPr>
        <w:spacing w:after="0" w:line="198" w:lineRule="exact"/>
        <w:rPr>
          <w:rFonts w:ascii="Arial" w:cs="Arial" w:eastAsia="Arial" w:hAnsi="Arial"/>
          <w:sz w:val="18"/>
          <w:szCs w:val="18"/>
          <w:color w:val="282828"/>
        </w:rPr>
      </w:pPr>
    </w:p>
    <w:p>
      <w:pPr>
        <w:ind w:left="1300" w:right="880" w:hanging="644"/>
        <w:spacing w:after="0" w:line="246" w:lineRule="auto"/>
        <w:tabs>
          <w:tab w:leader="none" w:pos="1300" w:val="left"/>
        </w:tabs>
        <w:numPr>
          <w:ilvl w:val="0"/>
          <w:numId w:val="197"/>
        </w:numPr>
        <w:rPr>
          <w:rFonts w:ascii="Arial" w:cs="Arial" w:eastAsia="Arial" w:hAnsi="Arial"/>
          <w:sz w:val="18"/>
          <w:szCs w:val="18"/>
          <w:color w:val="2F2F2F"/>
        </w:rPr>
      </w:pPr>
      <w:r>
        <w:rPr>
          <w:rFonts w:ascii="Arial" w:cs="Arial" w:eastAsia="Arial" w:hAnsi="Arial"/>
          <w:sz w:val="18"/>
          <w:szCs w:val="18"/>
          <w:color w:val="212121"/>
        </w:rPr>
        <w:t xml:space="preserve">disclosure </w:t>
      </w:r>
      <w:r>
        <w:rPr>
          <w:rFonts w:ascii="Arial" w:cs="Arial" w:eastAsia="Arial" w:hAnsi="Arial"/>
          <w:sz w:val="18"/>
          <w:szCs w:val="18"/>
          <w:color w:val="1F1F1F"/>
        </w:rPr>
        <w:t>of</w:t>
      </w:r>
      <w:r>
        <w:rPr>
          <w:rFonts w:ascii="Arial" w:cs="Arial" w:eastAsia="Arial" w:hAnsi="Arial"/>
          <w:sz w:val="18"/>
          <w:szCs w:val="18"/>
          <w:color w:val="212121"/>
        </w:rPr>
        <w:t xml:space="preserve"> </w:t>
      </w:r>
      <w:r>
        <w:rPr>
          <w:rFonts w:ascii="Arial" w:cs="Arial" w:eastAsia="Arial" w:hAnsi="Arial"/>
          <w:sz w:val="18"/>
          <w:szCs w:val="18"/>
          <w:color w:val="1C1C1C"/>
        </w:rPr>
        <w:t>the</w:t>
      </w:r>
      <w:r>
        <w:rPr>
          <w:rFonts w:ascii="Arial" w:cs="Arial" w:eastAsia="Arial" w:hAnsi="Arial"/>
          <w:sz w:val="18"/>
          <w:szCs w:val="18"/>
          <w:color w:val="212121"/>
        </w:rPr>
        <w:t xml:space="preserve"> </w:t>
      </w:r>
      <w:r>
        <w:rPr>
          <w:rFonts w:ascii="Arial" w:cs="Arial" w:eastAsia="Arial" w:hAnsi="Arial"/>
          <w:sz w:val="18"/>
          <w:szCs w:val="18"/>
          <w:color w:val="232323"/>
        </w:rPr>
        <w:t>Information</w:t>
      </w:r>
      <w:r>
        <w:rPr>
          <w:rFonts w:ascii="Arial" w:cs="Arial" w:eastAsia="Arial" w:hAnsi="Arial"/>
          <w:sz w:val="18"/>
          <w:szCs w:val="18"/>
          <w:color w:val="212121"/>
        </w:rPr>
        <w:t xml:space="preserve"> </w:t>
      </w:r>
      <w:r>
        <w:rPr>
          <w:rFonts w:ascii="Arial" w:cs="Arial" w:eastAsia="Arial" w:hAnsi="Arial"/>
          <w:sz w:val="18"/>
          <w:szCs w:val="18"/>
          <w:color w:val="2D2D2D"/>
        </w:rPr>
        <w:t>is</w:t>
      </w:r>
      <w:r>
        <w:rPr>
          <w:rFonts w:ascii="Arial" w:cs="Arial" w:eastAsia="Arial" w:hAnsi="Arial"/>
          <w:sz w:val="18"/>
          <w:szCs w:val="18"/>
          <w:color w:val="212121"/>
        </w:rPr>
        <w:t xml:space="preserve"> </w:t>
      </w:r>
      <w:r>
        <w:rPr>
          <w:rFonts w:ascii="Arial" w:cs="Arial" w:eastAsia="Arial" w:hAnsi="Arial"/>
          <w:sz w:val="18"/>
          <w:szCs w:val="18"/>
          <w:color w:val="262626"/>
        </w:rPr>
        <w:t>reasonably</w:t>
      </w:r>
      <w:r>
        <w:rPr>
          <w:rFonts w:ascii="Arial" w:cs="Arial" w:eastAsia="Arial" w:hAnsi="Arial"/>
          <w:sz w:val="18"/>
          <w:szCs w:val="18"/>
          <w:color w:val="212121"/>
        </w:rPr>
        <w:t xml:space="preserve"> necessary </w:t>
      </w:r>
      <w:r>
        <w:rPr>
          <w:rFonts w:ascii="Arial" w:cs="Arial" w:eastAsia="Arial" w:hAnsi="Arial"/>
          <w:sz w:val="18"/>
          <w:szCs w:val="18"/>
          <w:color w:val="1C1C1C"/>
        </w:rPr>
        <w:t>for</w:t>
      </w:r>
      <w:r>
        <w:rPr>
          <w:rFonts w:ascii="Arial" w:cs="Arial" w:eastAsia="Arial" w:hAnsi="Arial"/>
          <w:sz w:val="18"/>
          <w:szCs w:val="18"/>
          <w:color w:val="212121"/>
        </w:rPr>
        <w:t xml:space="preserve"> </w:t>
      </w:r>
      <w:r>
        <w:rPr>
          <w:rFonts w:ascii="Arial" w:cs="Arial" w:eastAsia="Arial" w:hAnsi="Arial"/>
          <w:sz w:val="18"/>
          <w:szCs w:val="18"/>
          <w:color w:val="242424"/>
        </w:rPr>
        <w:t>the discharge</w:t>
      </w:r>
      <w:r>
        <w:rPr>
          <w:rFonts w:ascii="Arial" w:cs="Arial" w:eastAsia="Arial" w:hAnsi="Arial"/>
          <w:sz w:val="18"/>
          <w:szCs w:val="18"/>
          <w:color w:val="212121"/>
        </w:rPr>
        <w:t xml:space="preserve"> </w:t>
      </w:r>
      <w:r>
        <w:rPr>
          <w:rFonts w:ascii="Arial" w:cs="Arial" w:eastAsia="Arial" w:hAnsi="Arial"/>
          <w:sz w:val="18"/>
          <w:szCs w:val="18"/>
          <w:color w:val="2B2B2B"/>
        </w:rPr>
        <w:t>of</w:t>
      </w:r>
      <w:r>
        <w:rPr>
          <w:rFonts w:ascii="Arial" w:cs="Arial" w:eastAsia="Arial" w:hAnsi="Arial"/>
          <w:sz w:val="18"/>
          <w:szCs w:val="18"/>
          <w:color w:val="212121"/>
        </w:rPr>
        <w:t xml:space="preserve"> </w:t>
      </w:r>
      <w:r>
        <w:rPr>
          <w:rFonts w:ascii="Arial" w:cs="Arial" w:eastAsia="Arial" w:hAnsi="Arial"/>
          <w:sz w:val="18"/>
          <w:szCs w:val="18"/>
          <w:color w:val="1F1F1F"/>
        </w:rPr>
        <w:t>the</w:t>
      </w:r>
      <w:r>
        <w:rPr>
          <w:rFonts w:ascii="Arial" w:cs="Arial" w:eastAsia="Arial" w:hAnsi="Arial"/>
          <w:sz w:val="18"/>
          <w:szCs w:val="18"/>
          <w:color w:val="212121"/>
        </w:rPr>
        <w:t xml:space="preserve"> </w:t>
      </w:r>
      <w:r>
        <w:rPr>
          <w:rFonts w:ascii="Arial" w:cs="Arial" w:eastAsia="Arial" w:hAnsi="Arial"/>
          <w:sz w:val="18"/>
          <w:szCs w:val="18"/>
          <w:color w:val="262626"/>
        </w:rPr>
        <w:t>duties</w:t>
      </w:r>
      <w:r>
        <w:rPr>
          <w:rFonts w:ascii="Arial" w:cs="Arial" w:eastAsia="Arial" w:hAnsi="Arial"/>
          <w:sz w:val="18"/>
          <w:szCs w:val="18"/>
          <w:color w:val="212121"/>
        </w:rPr>
        <w:t xml:space="preserve"> </w:t>
      </w:r>
      <w:r>
        <w:rPr>
          <w:rFonts w:ascii="Arial" w:cs="Arial" w:eastAsia="Arial" w:hAnsi="Arial"/>
          <w:sz w:val="18"/>
          <w:szCs w:val="18"/>
          <w:color w:val="232323"/>
        </w:rPr>
        <w:t>of</w:t>
      </w:r>
      <w:r>
        <w:rPr>
          <w:rFonts w:ascii="Arial" w:cs="Arial" w:eastAsia="Arial" w:hAnsi="Arial"/>
          <w:sz w:val="18"/>
          <w:szCs w:val="18"/>
          <w:color w:val="212121"/>
        </w:rPr>
        <w:t xml:space="preserve"> </w:t>
      </w:r>
      <w:r>
        <w:rPr>
          <w:rFonts w:ascii="Arial" w:cs="Arial" w:eastAsia="Arial" w:hAnsi="Arial"/>
          <w:sz w:val="18"/>
          <w:szCs w:val="18"/>
          <w:color w:val="2F2F2F"/>
        </w:rPr>
        <w:t>the</w:t>
      </w:r>
      <w:r>
        <w:rPr>
          <w:rFonts w:ascii="Arial" w:cs="Arial" w:eastAsia="Arial" w:hAnsi="Arial"/>
          <w:sz w:val="18"/>
          <w:szCs w:val="18"/>
          <w:color w:val="212121"/>
        </w:rPr>
        <w:t xml:space="preserve"> </w:t>
      </w:r>
      <w:r>
        <w:rPr>
          <w:rFonts w:ascii="Arial" w:cs="Arial" w:eastAsia="Arial" w:hAnsi="Arial"/>
          <w:sz w:val="18"/>
          <w:szCs w:val="18"/>
          <w:color w:val="282828"/>
        </w:rPr>
        <w:t>Director as</w:t>
      </w:r>
      <w:r>
        <w:rPr>
          <w:rFonts w:ascii="Arial" w:cs="Arial" w:eastAsia="Arial" w:hAnsi="Arial"/>
          <w:sz w:val="18"/>
          <w:szCs w:val="18"/>
          <w:color w:val="212121"/>
        </w:rPr>
        <w:t xml:space="preserve"> </w:t>
      </w:r>
      <w:r>
        <w:rPr>
          <w:rFonts w:ascii="Arial" w:cs="Arial" w:eastAsia="Arial" w:hAnsi="Arial"/>
          <w:sz w:val="18"/>
          <w:szCs w:val="18"/>
          <w:color w:val="1F1F1F"/>
        </w:rPr>
        <w:t>an officer</w:t>
      </w:r>
      <w:r>
        <w:rPr>
          <w:rFonts w:ascii="Arial" w:cs="Arial" w:eastAsia="Arial" w:hAnsi="Arial"/>
          <w:sz w:val="18"/>
          <w:szCs w:val="18"/>
          <w:color w:val="212121"/>
        </w:rPr>
        <w:t xml:space="preserve"> </w:t>
      </w:r>
      <w:r>
        <w:rPr>
          <w:rFonts w:ascii="Arial" w:cs="Arial" w:eastAsia="Arial" w:hAnsi="Arial"/>
          <w:sz w:val="18"/>
          <w:szCs w:val="18"/>
          <w:color w:val="242424"/>
        </w:rPr>
        <w:t>of</w:t>
      </w:r>
      <w:r>
        <w:rPr>
          <w:rFonts w:ascii="Arial" w:cs="Arial" w:eastAsia="Arial" w:hAnsi="Arial"/>
          <w:sz w:val="18"/>
          <w:szCs w:val="18"/>
          <w:color w:val="212121"/>
        </w:rPr>
        <w:t xml:space="preserve"> </w:t>
      </w:r>
      <w:r>
        <w:rPr>
          <w:rFonts w:ascii="Arial" w:cs="Arial" w:eastAsia="Arial" w:hAnsi="Arial"/>
          <w:sz w:val="18"/>
          <w:szCs w:val="18"/>
          <w:color w:val="2A2A2A"/>
        </w:rPr>
        <w:t>the Company; or</w:t>
      </w:r>
    </w:p>
    <w:p>
      <w:pPr>
        <w:spacing w:after="0" w:line="183" w:lineRule="exact"/>
        <w:rPr>
          <w:rFonts w:ascii="Arial" w:cs="Arial" w:eastAsia="Arial" w:hAnsi="Arial"/>
          <w:sz w:val="18"/>
          <w:szCs w:val="18"/>
          <w:color w:val="2F2F2F"/>
        </w:rPr>
      </w:pPr>
    </w:p>
    <w:p>
      <w:pPr>
        <w:ind w:left="1300" w:right="1660" w:hanging="644"/>
        <w:spacing w:after="0" w:line="246" w:lineRule="auto"/>
        <w:tabs>
          <w:tab w:leader="none" w:pos="1300" w:val="left"/>
        </w:tabs>
        <w:numPr>
          <w:ilvl w:val="0"/>
          <w:numId w:val="197"/>
        </w:numPr>
        <w:rPr>
          <w:rFonts w:ascii="Arial" w:cs="Arial" w:eastAsia="Arial" w:hAnsi="Arial"/>
          <w:sz w:val="18"/>
          <w:szCs w:val="18"/>
          <w:color w:val="282828"/>
        </w:rPr>
      </w:pPr>
      <w:r>
        <w:rPr>
          <w:rFonts w:ascii="Arial" w:cs="Arial" w:eastAsia="Arial" w:hAnsi="Arial"/>
          <w:sz w:val="18"/>
          <w:szCs w:val="18"/>
          <w:color w:val="242424"/>
        </w:rPr>
        <w:t xml:space="preserve">the </w:t>
      </w:r>
      <w:r>
        <w:rPr>
          <w:rFonts w:ascii="Arial" w:cs="Arial" w:eastAsia="Arial" w:hAnsi="Arial"/>
          <w:sz w:val="18"/>
          <w:szCs w:val="18"/>
          <w:color w:val="262626"/>
        </w:rPr>
        <w:t>Company</w:t>
      </w:r>
      <w:r>
        <w:rPr>
          <w:rFonts w:ascii="Arial" w:cs="Arial" w:eastAsia="Arial" w:hAnsi="Arial"/>
          <w:sz w:val="18"/>
          <w:szCs w:val="18"/>
          <w:color w:val="242424"/>
        </w:rPr>
        <w:t xml:space="preserve"> </w:t>
      </w:r>
      <w:r>
        <w:rPr>
          <w:rFonts w:ascii="Arial" w:cs="Arial" w:eastAsia="Arial" w:hAnsi="Arial"/>
          <w:sz w:val="18"/>
          <w:szCs w:val="18"/>
          <w:color w:val="2F2F2F"/>
        </w:rPr>
        <w:t>has</w:t>
      </w:r>
      <w:r>
        <w:rPr>
          <w:rFonts w:ascii="Arial" w:cs="Arial" w:eastAsia="Arial" w:hAnsi="Arial"/>
          <w:sz w:val="18"/>
          <w:szCs w:val="18"/>
          <w:color w:val="242424"/>
        </w:rPr>
        <w:t xml:space="preserve"> </w:t>
      </w:r>
      <w:r>
        <w:rPr>
          <w:rFonts w:ascii="Arial" w:cs="Arial" w:eastAsia="Arial" w:hAnsi="Arial"/>
          <w:sz w:val="18"/>
          <w:szCs w:val="18"/>
          <w:color w:val="262626"/>
        </w:rPr>
        <w:t>given</w:t>
      </w:r>
      <w:r>
        <w:rPr>
          <w:rFonts w:ascii="Arial" w:cs="Arial" w:eastAsia="Arial" w:hAnsi="Arial"/>
          <w:sz w:val="18"/>
          <w:szCs w:val="18"/>
          <w:color w:val="242424"/>
        </w:rPr>
        <w:t xml:space="preserve"> its </w:t>
      </w:r>
      <w:r>
        <w:rPr>
          <w:rFonts w:ascii="Arial" w:cs="Arial" w:eastAsia="Arial" w:hAnsi="Arial"/>
          <w:sz w:val="18"/>
          <w:szCs w:val="18"/>
          <w:color w:val="2B2B2B"/>
        </w:rPr>
        <w:t>prior</w:t>
      </w:r>
      <w:r>
        <w:rPr>
          <w:rFonts w:ascii="Arial" w:cs="Arial" w:eastAsia="Arial" w:hAnsi="Arial"/>
          <w:sz w:val="18"/>
          <w:szCs w:val="18"/>
          <w:color w:val="242424"/>
        </w:rPr>
        <w:t xml:space="preserve"> </w:t>
      </w:r>
      <w:r>
        <w:rPr>
          <w:rFonts w:ascii="Arial" w:cs="Arial" w:eastAsia="Arial" w:hAnsi="Arial"/>
          <w:sz w:val="18"/>
          <w:szCs w:val="18"/>
          <w:color w:val="212121"/>
        </w:rPr>
        <w:t>written</w:t>
      </w:r>
      <w:r>
        <w:rPr>
          <w:rFonts w:ascii="Arial" w:cs="Arial" w:eastAsia="Arial" w:hAnsi="Arial"/>
          <w:sz w:val="18"/>
          <w:szCs w:val="18"/>
          <w:color w:val="242424"/>
        </w:rPr>
        <w:t xml:space="preserve"> </w:t>
      </w:r>
      <w:r>
        <w:rPr>
          <w:rFonts w:ascii="Arial" w:cs="Arial" w:eastAsia="Arial" w:hAnsi="Arial"/>
          <w:sz w:val="18"/>
          <w:szCs w:val="18"/>
          <w:color w:val="282828"/>
        </w:rPr>
        <w:t>consent</w:t>
      </w:r>
      <w:r>
        <w:rPr>
          <w:rFonts w:ascii="Arial" w:cs="Arial" w:eastAsia="Arial" w:hAnsi="Arial"/>
          <w:sz w:val="18"/>
          <w:szCs w:val="18"/>
          <w:color w:val="242424"/>
        </w:rPr>
        <w:t xml:space="preserve"> </w:t>
      </w:r>
      <w:r>
        <w:rPr>
          <w:rFonts w:ascii="Arial" w:cs="Arial" w:eastAsia="Arial" w:hAnsi="Arial"/>
          <w:sz w:val="18"/>
          <w:szCs w:val="18"/>
          <w:color w:val="262626"/>
        </w:rPr>
        <w:t>to the</w:t>
      </w:r>
      <w:r>
        <w:rPr>
          <w:rFonts w:ascii="Arial" w:cs="Arial" w:eastAsia="Arial" w:hAnsi="Arial"/>
          <w:sz w:val="18"/>
          <w:szCs w:val="18"/>
          <w:color w:val="242424"/>
        </w:rPr>
        <w:t xml:space="preserve"> disclosure </w:t>
      </w:r>
      <w:r>
        <w:rPr>
          <w:rFonts w:ascii="Arial" w:cs="Arial" w:eastAsia="Arial" w:hAnsi="Arial"/>
          <w:sz w:val="18"/>
          <w:szCs w:val="18"/>
          <w:color w:val="232323"/>
        </w:rPr>
        <w:t>of</w:t>
      </w:r>
      <w:r>
        <w:rPr>
          <w:rFonts w:ascii="Arial" w:cs="Arial" w:eastAsia="Arial" w:hAnsi="Arial"/>
          <w:sz w:val="18"/>
          <w:szCs w:val="18"/>
          <w:color w:val="242424"/>
        </w:rPr>
        <w:t xml:space="preserve"> </w:t>
      </w:r>
      <w:r>
        <w:rPr>
          <w:rFonts w:ascii="Arial" w:cs="Arial" w:eastAsia="Arial" w:hAnsi="Arial"/>
          <w:sz w:val="18"/>
          <w:szCs w:val="18"/>
          <w:color w:val="262626"/>
        </w:rPr>
        <w:t>the</w:t>
      </w:r>
      <w:r>
        <w:rPr>
          <w:rFonts w:ascii="Arial" w:cs="Arial" w:eastAsia="Arial" w:hAnsi="Arial"/>
          <w:sz w:val="18"/>
          <w:szCs w:val="18"/>
          <w:color w:val="242424"/>
        </w:rPr>
        <w:t xml:space="preserve"> </w:t>
      </w:r>
      <w:r>
        <w:rPr>
          <w:rFonts w:ascii="Arial" w:cs="Arial" w:eastAsia="Arial" w:hAnsi="Arial"/>
          <w:sz w:val="18"/>
          <w:szCs w:val="18"/>
          <w:color w:val="282828"/>
        </w:rPr>
        <w:t>Information,</w:t>
      </w:r>
      <w:r>
        <w:rPr>
          <w:rFonts w:ascii="Arial" w:cs="Arial" w:eastAsia="Arial" w:hAnsi="Arial"/>
          <w:sz w:val="18"/>
          <w:szCs w:val="18"/>
          <w:color w:val="242424"/>
        </w:rPr>
        <w:t xml:space="preserve"> </w:t>
      </w:r>
      <w:r>
        <w:rPr>
          <w:rFonts w:ascii="Arial" w:cs="Arial" w:eastAsia="Arial" w:hAnsi="Arial"/>
          <w:sz w:val="18"/>
          <w:szCs w:val="18"/>
          <w:color w:val="1D1D1D"/>
        </w:rPr>
        <w:t>which</w:t>
      </w:r>
      <w:r>
        <w:rPr>
          <w:rFonts w:ascii="Arial" w:cs="Arial" w:eastAsia="Arial" w:hAnsi="Arial"/>
          <w:sz w:val="18"/>
          <w:szCs w:val="18"/>
          <w:color w:val="242424"/>
        </w:rPr>
        <w:t xml:space="preserve"> </w:t>
      </w:r>
      <w:r>
        <w:rPr>
          <w:rFonts w:ascii="Arial" w:cs="Arial" w:eastAsia="Arial" w:hAnsi="Arial"/>
          <w:sz w:val="18"/>
          <w:szCs w:val="18"/>
          <w:color w:val="282828"/>
        </w:rPr>
        <w:t>may</w:t>
      </w:r>
      <w:r>
        <w:rPr>
          <w:rFonts w:ascii="Arial" w:cs="Arial" w:eastAsia="Arial" w:hAnsi="Arial"/>
          <w:sz w:val="18"/>
          <w:szCs w:val="18"/>
          <w:color w:val="242424"/>
        </w:rPr>
        <w:t xml:space="preserve"> be </w:t>
      </w:r>
      <w:r>
        <w:rPr>
          <w:rFonts w:ascii="Arial" w:cs="Arial" w:eastAsia="Arial" w:hAnsi="Arial"/>
          <w:sz w:val="18"/>
          <w:szCs w:val="18"/>
          <w:color w:val="262626"/>
        </w:rPr>
        <w:t>given</w:t>
      </w:r>
      <w:r>
        <w:rPr>
          <w:rFonts w:ascii="Arial" w:cs="Arial" w:eastAsia="Arial" w:hAnsi="Arial"/>
          <w:sz w:val="18"/>
          <w:szCs w:val="18"/>
          <w:color w:val="242424"/>
        </w:rPr>
        <w:t xml:space="preserve"> </w:t>
      </w:r>
      <w:r>
        <w:rPr>
          <w:rFonts w:ascii="Arial" w:cs="Arial" w:eastAsia="Arial" w:hAnsi="Arial"/>
          <w:sz w:val="18"/>
          <w:szCs w:val="18"/>
          <w:color w:val="1C1C1C"/>
        </w:rPr>
        <w:t xml:space="preserve">conditionally </w:t>
      </w:r>
      <w:r>
        <w:rPr>
          <w:rFonts w:ascii="Arial" w:cs="Arial" w:eastAsia="Arial" w:hAnsi="Arial"/>
          <w:sz w:val="18"/>
          <w:szCs w:val="18"/>
          <w:color w:val="2A2A2A"/>
        </w:rPr>
        <w:t>or</w:t>
      </w:r>
      <w:r>
        <w:rPr>
          <w:rFonts w:ascii="Arial" w:cs="Arial" w:eastAsia="Arial" w:hAnsi="Arial"/>
          <w:sz w:val="18"/>
          <w:szCs w:val="18"/>
          <w:color w:val="1C1C1C"/>
        </w:rPr>
        <w:t xml:space="preserve"> </w:t>
      </w:r>
      <w:r>
        <w:rPr>
          <w:rFonts w:ascii="Arial" w:cs="Arial" w:eastAsia="Arial" w:hAnsi="Arial"/>
          <w:sz w:val="18"/>
          <w:szCs w:val="18"/>
          <w:color w:val="262626"/>
        </w:rPr>
        <w:t>unconditionally</w:t>
      </w:r>
      <w:r>
        <w:rPr>
          <w:rFonts w:ascii="Arial" w:cs="Arial" w:eastAsia="Arial" w:hAnsi="Arial"/>
          <w:sz w:val="18"/>
          <w:szCs w:val="18"/>
          <w:color w:val="1C1C1C"/>
        </w:rPr>
        <w:t xml:space="preserve"> </w:t>
      </w:r>
      <w:r>
        <w:rPr>
          <w:rFonts w:ascii="Arial" w:cs="Arial" w:eastAsia="Arial" w:hAnsi="Arial"/>
          <w:sz w:val="18"/>
          <w:szCs w:val="18"/>
          <w:color w:val="2D2D2D"/>
        </w:rPr>
        <w:t>or</w:t>
      </w:r>
      <w:r>
        <w:rPr>
          <w:rFonts w:ascii="Arial" w:cs="Arial" w:eastAsia="Arial" w:hAnsi="Arial"/>
          <w:sz w:val="18"/>
          <w:szCs w:val="18"/>
          <w:color w:val="1C1C1C"/>
        </w:rPr>
        <w:t xml:space="preserve"> </w:t>
      </w:r>
      <w:r>
        <w:rPr>
          <w:rFonts w:ascii="Arial" w:cs="Arial" w:eastAsia="Arial" w:hAnsi="Arial"/>
          <w:sz w:val="18"/>
          <w:szCs w:val="18"/>
          <w:color w:val="212121"/>
        </w:rPr>
        <w:t>withheld</w:t>
      </w:r>
      <w:r>
        <w:rPr>
          <w:rFonts w:ascii="Arial" w:cs="Arial" w:eastAsia="Arial" w:hAnsi="Arial"/>
          <w:sz w:val="18"/>
          <w:szCs w:val="18"/>
          <w:color w:val="1C1C1C"/>
        </w:rPr>
        <w:t xml:space="preserve"> </w:t>
      </w:r>
      <w:r>
        <w:rPr>
          <w:rFonts w:ascii="Arial" w:cs="Arial" w:eastAsia="Arial" w:hAnsi="Arial"/>
          <w:sz w:val="18"/>
          <w:szCs w:val="18"/>
          <w:color w:val="2A2A2A"/>
        </w:rPr>
        <w:t>by the Company in</w:t>
      </w:r>
      <w:r>
        <w:rPr>
          <w:rFonts w:ascii="Arial" w:cs="Arial" w:eastAsia="Arial" w:hAnsi="Arial"/>
          <w:sz w:val="18"/>
          <w:szCs w:val="18"/>
          <w:color w:val="1C1C1C"/>
        </w:rPr>
        <w:t xml:space="preserve"> </w:t>
      </w:r>
      <w:r>
        <w:rPr>
          <w:rFonts w:ascii="Arial" w:cs="Arial" w:eastAsia="Arial" w:hAnsi="Arial"/>
          <w:sz w:val="18"/>
          <w:szCs w:val="18"/>
          <w:color w:val="1F1F1F"/>
        </w:rPr>
        <w:t>its</w:t>
      </w:r>
      <w:r>
        <w:rPr>
          <w:rFonts w:ascii="Arial" w:cs="Arial" w:eastAsia="Arial" w:hAnsi="Arial"/>
          <w:sz w:val="18"/>
          <w:szCs w:val="18"/>
          <w:color w:val="1C1C1C"/>
        </w:rPr>
        <w:t xml:space="preserve"> </w:t>
      </w:r>
      <w:r>
        <w:rPr>
          <w:rFonts w:ascii="Arial" w:cs="Arial" w:eastAsia="Arial" w:hAnsi="Arial"/>
          <w:sz w:val="18"/>
          <w:szCs w:val="18"/>
          <w:color w:val="212121"/>
        </w:rPr>
        <w:t>absolute</w:t>
      </w:r>
      <w:r>
        <w:rPr>
          <w:rFonts w:ascii="Arial" w:cs="Arial" w:eastAsia="Arial" w:hAnsi="Arial"/>
          <w:sz w:val="18"/>
          <w:szCs w:val="18"/>
          <w:color w:val="1C1C1C"/>
        </w:rPr>
        <w:t xml:space="preserve"> </w:t>
      </w:r>
      <w:r>
        <w:rPr>
          <w:rFonts w:ascii="Arial" w:cs="Arial" w:eastAsia="Arial" w:hAnsi="Arial"/>
          <w:sz w:val="18"/>
          <w:szCs w:val="18"/>
          <w:color w:val="1F1F1F"/>
        </w:rPr>
        <w:t>discretion.</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D2D2D"/>
        </w:rPr>
        <w:t>7.2</w:t>
      </w:r>
      <w:r>
        <w:rPr>
          <w:sz w:val="20"/>
          <w:szCs w:val="20"/>
          <w:color w:val="auto"/>
        </w:rPr>
        <w:tab/>
      </w:r>
      <w:r>
        <w:rPr>
          <w:rFonts w:ascii="Arial" w:cs="Arial" w:eastAsia="Arial" w:hAnsi="Arial"/>
          <w:sz w:val="17"/>
          <w:szCs w:val="17"/>
          <w:b w:val="1"/>
          <w:bCs w:val="1"/>
          <w:color w:val="232323"/>
        </w:rPr>
        <w:t>Privilege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212121"/>
        </w:rPr>
        <w:t xml:space="preserve">For </w:t>
      </w:r>
      <w:r>
        <w:rPr>
          <w:rFonts w:ascii="Arial" w:cs="Arial" w:eastAsia="Arial" w:hAnsi="Arial"/>
          <w:sz w:val="18"/>
          <w:szCs w:val="18"/>
          <w:color w:val="262626"/>
        </w:rPr>
        <w:t>the</w:t>
      </w:r>
      <w:r>
        <w:rPr>
          <w:rFonts w:ascii="Arial" w:cs="Arial" w:eastAsia="Arial" w:hAnsi="Arial"/>
          <w:sz w:val="18"/>
          <w:szCs w:val="18"/>
          <w:color w:val="212121"/>
        </w:rPr>
        <w:t xml:space="preserve"> </w:t>
      </w:r>
      <w:r>
        <w:rPr>
          <w:rFonts w:ascii="Arial" w:cs="Arial" w:eastAsia="Arial" w:hAnsi="Arial"/>
          <w:sz w:val="18"/>
          <w:szCs w:val="18"/>
          <w:color w:val="1D1D1D"/>
        </w:rPr>
        <w:t>purposes</w:t>
      </w:r>
      <w:r>
        <w:rPr>
          <w:rFonts w:ascii="Arial" w:cs="Arial" w:eastAsia="Arial" w:hAnsi="Arial"/>
          <w:sz w:val="18"/>
          <w:szCs w:val="18"/>
          <w:color w:val="212121"/>
        </w:rPr>
        <w:t xml:space="preserve"> </w:t>
      </w:r>
      <w:r>
        <w:rPr>
          <w:rFonts w:ascii="Arial" w:cs="Arial" w:eastAsia="Arial" w:hAnsi="Arial"/>
          <w:sz w:val="18"/>
          <w:szCs w:val="18"/>
          <w:color w:val="1F1F1F"/>
        </w:rPr>
        <w:t>of</w:t>
      </w:r>
      <w:r>
        <w:rPr>
          <w:rFonts w:ascii="Arial" w:cs="Arial" w:eastAsia="Arial" w:hAnsi="Arial"/>
          <w:sz w:val="18"/>
          <w:szCs w:val="18"/>
          <w:color w:val="212121"/>
        </w:rPr>
        <w:t xml:space="preserve"> </w:t>
      </w:r>
      <w:r>
        <w:rPr>
          <w:rFonts w:ascii="Arial" w:cs="Arial" w:eastAsia="Arial" w:hAnsi="Arial"/>
          <w:sz w:val="18"/>
          <w:szCs w:val="18"/>
          <w:color w:val="242424"/>
        </w:rPr>
        <w:t>clause</w:t>
      </w:r>
      <w:r>
        <w:rPr>
          <w:rFonts w:ascii="Arial" w:cs="Arial" w:eastAsia="Arial" w:hAnsi="Arial"/>
          <w:sz w:val="18"/>
          <w:szCs w:val="18"/>
          <w:color w:val="212121"/>
        </w:rPr>
        <w:t xml:space="preserve"> </w:t>
      </w:r>
      <w:r>
        <w:rPr>
          <w:rFonts w:ascii="Arial" w:cs="Arial" w:eastAsia="Arial" w:hAnsi="Arial"/>
          <w:sz w:val="18"/>
          <w:szCs w:val="18"/>
          <w:color w:val="232323"/>
        </w:rPr>
        <w:t>7.1(c),</w:t>
      </w:r>
      <w:r>
        <w:rPr>
          <w:rFonts w:ascii="Arial" w:cs="Arial" w:eastAsia="Arial" w:hAnsi="Arial"/>
          <w:sz w:val="18"/>
          <w:szCs w:val="18"/>
          <w:color w:val="212121"/>
        </w:rPr>
        <w:t xml:space="preserve"> </w:t>
      </w:r>
      <w:r>
        <w:rPr>
          <w:rFonts w:ascii="Arial" w:cs="Arial" w:eastAsia="Arial" w:hAnsi="Arial"/>
          <w:sz w:val="18"/>
          <w:szCs w:val="18"/>
          <w:color w:val="262626"/>
        </w:rPr>
        <w:t>the</w:t>
      </w:r>
      <w:r>
        <w:rPr>
          <w:rFonts w:ascii="Arial" w:cs="Arial" w:eastAsia="Arial" w:hAnsi="Arial"/>
          <w:sz w:val="18"/>
          <w:szCs w:val="18"/>
          <w:color w:val="212121"/>
        </w:rPr>
        <w:t xml:space="preserve"> </w:t>
      </w:r>
      <w:r>
        <w:rPr>
          <w:rFonts w:ascii="Arial" w:cs="Arial" w:eastAsia="Arial" w:hAnsi="Arial"/>
          <w:sz w:val="18"/>
          <w:szCs w:val="18"/>
          <w:color w:val="242424"/>
        </w:rPr>
        <w:t>Director</w:t>
      </w:r>
      <w:r>
        <w:rPr>
          <w:rFonts w:ascii="Arial" w:cs="Arial" w:eastAsia="Arial" w:hAnsi="Arial"/>
          <w:sz w:val="18"/>
          <w:szCs w:val="18"/>
          <w:color w:val="212121"/>
        </w:rPr>
        <w:t xml:space="preserve"> </w:t>
      </w:r>
      <w:r>
        <w:rPr>
          <w:rFonts w:ascii="Arial" w:cs="Arial" w:eastAsia="Arial" w:hAnsi="Arial"/>
          <w:sz w:val="18"/>
          <w:szCs w:val="18"/>
          <w:color w:val="2A2A2A"/>
        </w:rPr>
        <w:t>is</w:t>
      </w:r>
      <w:r>
        <w:rPr>
          <w:rFonts w:ascii="Arial" w:cs="Arial" w:eastAsia="Arial" w:hAnsi="Arial"/>
          <w:sz w:val="18"/>
          <w:szCs w:val="18"/>
          <w:color w:val="212121"/>
        </w:rPr>
        <w:t xml:space="preserve"> </w:t>
      </w:r>
      <w:r>
        <w:rPr>
          <w:rFonts w:ascii="Arial" w:cs="Arial" w:eastAsia="Arial" w:hAnsi="Arial"/>
          <w:sz w:val="18"/>
          <w:szCs w:val="18"/>
          <w:color w:val="1C1C1C"/>
        </w:rPr>
        <w:t>required</w:t>
      </w:r>
      <w:r>
        <w:rPr>
          <w:rFonts w:ascii="Arial" w:cs="Arial" w:eastAsia="Arial" w:hAnsi="Arial"/>
          <w:sz w:val="18"/>
          <w:szCs w:val="18"/>
          <w:color w:val="212121"/>
        </w:rPr>
        <w:t xml:space="preserve"> </w:t>
      </w:r>
      <w:r>
        <w:rPr>
          <w:rFonts w:ascii="Arial" w:cs="Arial" w:eastAsia="Arial" w:hAnsi="Arial"/>
          <w:sz w:val="18"/>
          <w:szCs w:val="18"/>
          <w:color w:val="2A2A2A"/>
        </w:rPr>
        <w:t>to keep</w:t>
      </w:r>
      <w:r>
        <w:rPr>
          <w:rFonts w:ascii="Arial" w:cs="Arial" w:eastAsia="Arial" w:hAnsi="Arial"/>
          <w:sz w:val="18"/>
          <w:szCs w:val="18"/>
          <w:color w:val="212121"/>
        </w:rPr>
        <w:t xml:space="preserve"> </w:t>
      </w:r>
      <w:r>
        <w:rPr>
          <w:rFonts w:ascii="Arial" w:cs="Arial" w:eastAsia="Arial" w:hAnsi="Arial"/>
          <w:sz w:val="18"/>
          <w:szCs w:val="18"/>
          <w:color w:val="1D1D1D"/>
        </w:rPr>
        <w:t>Information confidential</w:t>
      </w:r>
      <w:r>
        <w:rPr>
          <w:rFonts w:ascii="Arial" w:cs="Arial" w:eastAsia="Arial" w:hAnsi="Arial"/>
          <w:sz w:val="18"/>
          <w:szCs w:val="18"/>
          <w:color w:val="212121"/>
        </w:rPr>
        <w:t xml:space="preserve"> </w:t>
      </w:r>
      <w:r>
        <w:rPr>
          <w:rFonts w:ascii="Arial" w:cs="Arial" w:eastAsia="Arial" w:hAnsi="Arial"/>
          <w:sz w:val="18"/>
          <w:szCs w:val="18"/>
          <w:color w:val="232323"/>
        </w:rPr>
        <w:t>unless:</w:t>
      </w:r>
    </w:p>
    <w:p>
      <w:pPr>
        <w:spacing w:after="0" w:line="198" w:lineRule="exact"/>
        <w:rPr>
          <w:sz w:val="20"/>
          <w:szCs w:val="20"/>
          <w:color w:val="auto"/>
        </w:rPr>
      </w:pPr>
    </w:p>
    <w:p>
      <w:pPr>
        <w:ind w:left="1300" w:hanging="644"/>
        <w:spacing w:after="0"/>
        <w:tabs>
          <w:tab w:leader="none" w:pos="1300" w:val="left"/>
        </w:tabs>
        <w:numPr>
          <w:ilvl w:val="0"/>
          <w:numId w:val="198"/>
        </w:numPr>
        <w:rPr>
          <w:rFonts w:ascii="Arial" w:cs="Arial" w:eastAsia="Arial" w:hAnsi="Arial"/>
          <w:sz w:val="18"/>
          <w:szCs w:val="18"/>
          <w:color w:val="2B2B2B"/>
        </w:rPr>
      </w:pPr>
      <w:r>
        <w:rPr>
          <w:rFonts w:ascii="Arial" w:cs="Arial" w:eastAsia="Arial" w:hAnsi="Arial"/>
          <w:sz w:val="18"/>
          <w:szCs w:val="18"/>
          <w:color w:val="232323"/>
        </w:rPr>
        <w:t xml:space="preserve">the Company </w:t>
      </w:r>
      <w:r>
        <w:rPr>
          <w:rFonts w:ascii="Arial" w:cs="Arial" w:eastAsia="Arial" w:hAnsi="Arial"/>
          <w:sz w:val="18"/>
          <w:szCs w:val="18"/>
          <w:color w:val="1A1A1A"/>
        </w:rPr>
        <w:t>does</w:t>
      </w:r>
      <w:r>
        <w:rPr>
          <w:rFonts w:ascii="Arial" w:cs="Arial" w:eastAsia="Arial" w:hAnsi="Arial"/>
          <w:sz w:val="18"/>
          <w:szCs w:val="18"/>
          <w:color w:val="232323"/>
        </w:rPr>
        <w:t xml:space="preserve"> </w:t>
      </w:r>
      <w:r>
        <w:rPr>
          <w:rFonts w:ascii="Arial" w:cs="Arial" w:eastAsia="Arial" w:hAnsi="Arial"/>
          <w:sz w:val="18"/>
          <w:szCs w:val="18"/>
          <w:color w:val="2D2D2D"/>
        </w:rPr>
        <w:t>not</w:t>
      </w:r>
      <w:r>
        <w:rPr>
          <w:rFonts w:ascii="Arial" w:cs="Arial" w:eastAsia="Arial" w:hAnsi="Arial"/>
          <w:sz w:val="18"/>
          <w:szCs w:val="18"/>
          <w:color w:val="232323"/>
        </w:rPr>
        <w:t xml:space="preserve"> </w:t>
      </w:r>
      <w:r>
        <w:rPr>
          <w:rFonts w:ascii="Arial" w:cs="Arial" w:eastAsia="Arial" w:hAnsi="Arial"/>
          <w:sz w:val="18"/>
          <w:szCs w:val="18"/>
          <w:color w:val="2A2A2A"/>
        </w:rPr>
        <w:t>have</w:t>
      </w:r>
      <w:r>
        <w:rPr>
          <w:rFonts w:ascii="Arial" w:cs="Arial" w:eastAsia="Arial" w:hAnsi="Arial"/>
          <w:sz w:val="18"/>
          <w:szCs w:val="18"/>
          <w:color w:val="232323"/>
        </w:rPr>
        <w:t xml:space="preserve"> </w:t>
      </w:r>
      <w:r>
        <w:rPr>
          <w:rFonts w:ascii="Arial" w:cs="Arial" w:eastAsia="Arial" w:hAnsi="Arial"/>
          <w:sz w:val="18"/>
          <w:szCs w:val="18"/>
          <w:color w:val="2F2F2F"/>
        </w:rPr>
        <w:t>the</w:t>
      </w:r>
      <w:r>
        <w:rPr>
          <w:rFonts w:ascii="Arial" w:cs="Arial" w:eastAsia="Arial" w:hAnsi="Arial"/>
          <w:sz w:val="18"/>
          <w:szCs w:val="18"/>
          <w:color w:val="232323"/>
        </w:rPr>
        <w:t xml:space="preserve"> </w:t>
      </w:r>
      <w:r>
        <w:rPr>
          <w:rFonts w:ascii="Arial" w:cs="Arial" w:eastAsia="Arial" w:hAnsi="Arial"/>
          <w:sz w:val="18"/>
          <w:szCs w:val="18"/>
          <w:color w:val="2B2B2B"/>
        </w:rPr>
        <w:t>right</w:t>
      </w:r>
      <w:r>
        <w:rPr>
          <w:rFonts w:ascii="Arial" w:cs="Arial" w:eastAsia="Arial" w:hAnsi="Arial"/>
          <w:sz w:val="18"/>
          <w:szCs w:val="18"/>
          <w:color w:val="232323"/>
        </w:rPr>
        <w:t xml:space="preserve"> </w:t>
      </w:r>
      <w:r>
        <w:rPr>
          <w:rFonts w:ascii="Arial" w:cs="Arial" w:eastAsia="Arial" w:hAnsi="Arial"/>
          <w:sz w:val="18"/>
          <w:szCs w:val="18"/>
          <w:color w:val="262626"/>
        </w:rPr>
        <w:t>to</w:t>
      </w:r>
      <w:r>
        <w:rPr>
          <w:rFonts w:ascii="Arial" w:cs="Arial" w:eastAsia="Arial" w:hAnsi="Arial"/>
          <w:sz w:val="18"/>
          <w:szCs w:val="18"/>
          <w:color w:val="232323"/>
        </w:rPr>
        <w:t xml:space="preserve"> claim legal </w:t>
      </w:r>
      <w:r>
        <w:rPr>
          <w:rFonts w:ascii="Arial" w:cs="Arial" w:eastAsia="Arial" w:hAnsi="Arial"/>
          <w:sz w:val="18"/>
          <w:szCs w:val="18"/>
          <w:color w:val="1F1F1F"/>
        </w:rPr>
        <w:t>privilege</w:t>
      </w:r>
      <w:r>
        <w:rPr>
          <w:rFonts w:ascii="Arial" w:cs="Arial" w:eastAsia="Arial" w:hAnsi="Arial"/>
          <w:sz w:val="18"/>
          <w:szCs w:val="18"/>
          <w:color w:val="232323"/>
        </w:rPr>
        <w:t xml:space="preserve"> </w:t>
      </w:r>
      <w:r>
        <w:rPr>
          <w:rFonts w:ascii="Arial" w:cs="Arial" w:eastAsia="Arial" w:hAnsi="Arial"/>
          <w:sz w:val="18"/>
          <w:szCs w:val="18"/>
          <w:color w:val="2A2A2A"/>
        </w:rPr>
        <w:t>in</w:t>
      </w:r>
      <w:r>
        <w:rPr>
          <w:rFonts w:ascii="Arial" w:cs="Arial" w:eastAsia="Arial" w:hAnsi="Arial"/>
          <w:sz w:val="18"/>
          <w:szCs w:val="18"/>
          <w:color w:val="232323"/>
        </w:rPr>
        <w:t xml:space="preserve"> </w:t>
      </w:r>
      <w:r>
        <w:rPr>
          <w:rFonts w:ascii="Arial" w:cs="Arial" w:eastAsia="Arial" w:hAnsi="Arial"/>
          <w:sz w:val="18"/>
          <w:szCs w:val="18"/>
          <w:color w:val="2B2B2B"/>
        </w:rPr>
        <w:t>some</w:t>
      </w:r>
      <w:r>
        <w:rPr>
          <w:rFonts w:ascii="Arial" w:cs="Arial" w:eastAsia="Arial" w:hAnsi="Arial"/>
          <w:sz w:val="18"/>
          <w:szCs w:val="18"/>
          <w:color w:val="232323"/>
        </w:rPr>
        <w:t xml:space="preserve"> or </w:t>
      </w:r>
      <w:r>
        <w:rPr>
          <w:rFonts w:ascii="Arial" w:cs="Arial" w:eastAsia="Arial" w:hAnsi="Arial"/>
          <w:sz w:val="18"/>
          <w:szCs w:val="18"/>
          <w:color w:val="282828"/>
        </w:rPr>
        <w:t>all</w:t>
      </w:r>
      <w:r>
        <w:rPr>
          <w:rFonts w:ascii="Arial" w:cs="Arial" w:eastAsia="Arial" w:hAnsi="Arial"/>
          <w:sz w:val="18"/>
          <w:szCs w:val="18"/>
          <w:color w:val="232323"/>
        </w:rPr>
        <w:t xml:space="preserve"> </w:t>
      </w:r>
      <w:r>
        <w:rPr>
          <w:rFonts w:ascii="Arial" w:cs="Arial" w:eastAsia="Arial" w:hAnsi="Arial"/>
          <w:sz w:val="18"/>
          <w:szCs w:val="18"/>
          <w:color w:val="1A1A1A"/>
        </w:rPr>
        <w:t>of</w:t>
      </w:r>
      <w:r>
        <w:rPr>
          <w:rFonts w:ascii="Arial" w:cs="Arial" w:eastAsia="Arial" w:hAnsi="Arial"/>
          <w:sz w:val="18"/>
          <w:szCs w:val="18"/>
          <w:color w:val="232323"/>
        </w:rPr>
        <w:t xml:space="preserve"> </w:t>
      </w:r>
      <w:r>
        <w:rPr>
          <w:rFonts w:ascii="Arial" w:cs="Arial" w:eastAsia="Arial" w:hAnsi="Arial"/>
          <w:sz w:val="18"/>
          <w:szCs w:val="18"/>
          <w:color w:val="262626"/>
        </w:rPr>
        <w:t>that Information;</w:t>
      </w:r>
    </w:p>
    <w:p>
      <w:pPr>
        <w:spacing w:after="0" w:line="198" w:lineRule="exact"/>
        <w:rPr>
          <w:rFonts w:ascii="Arial" w:cs="Arial" w:eastAsia="Arial" w:hAnsi="Arial"/>
          <w:sz w:val="18"/>
          <w:szCs w:val="18"/>
          <w:color w:val="2B2B2B"/>
        </w:rPr>
      </w:pPr>
    </w:p>
    <w:p>
      <w:pPr>
        <w:ind w:left="1300" w:right="1500" w:hanging="644"/>
        <w:spacing w:after="0" w:line="246" w:lineRule="auto"/>
        <w:tabs>
          <w:tab w:leader="none" w:pos="1300" w:val="left"/>
        </w:tabs>
        <w:numPr>
          <w:ilvl w:val="0"/>
          <w:numId w:val="198"/>
        </w:numPr>
        <w:rPr>
          <w:rFonts w:ascii="Arial" w:cs="Arial" w:eastAsia="Arial" w:hAnsi="Arial"/>
          <w:sz w:val="18"/>
          <w:szCs w:val="18"/>
          <w:color w:val="2A2A2A"/>
        </w:rPr>
      </w:pPr>
      <w:r>
        <w:rPr>
          <w:rFonts w:ascii="Arial" w:cs="Arial" w:eastAsia="Arial" w:hAnsi="Arial"/>
          <w:sz w:val="18"/>
          <w:szCs w:val="18"/>
          <w:color w:val="212121"/>
        </w:rPr>
        <w:t xml:space="preserve">the </w:t>
      </w:r>
      <w:r>
        <w:rPr>
          <w:rFonts w:ascii="Arial" w:cs="Arial" w:eastAsia="Arial" w:hAnsi="Arial"/>
          <w:sz w:val="18"/>
          <w:szCs w:val="18"/>
          <w:color w:val="0F0F0F"/>
        </w:rPr>
        <w:t>proposed</w:t>
      </w:r>
      <w:r>
        <w:rPr>
          <w:rFonts w:ascii="Arial" w:cs="Arial" w:eastAsia="Arial" w:hAnsi="Arial"/>
          <w:sz w:val="18"/>
          <w:szCs w:val="18"/>
          <w:color w:val="212121"/>
        </w:rPr>
        <w:t xml:space="preserve"> </w:t>
      </w:r>
      <w:r>
        <w:rPr>
          <w:rFonts w:ascii="Arial" w:cs="Arial" w:eastAsia="Arial" w:hAnsi="Arial"/>
          <w:sz w:val="18"/>
          <w:szCs w:val="18"/>
          <w:color w:val="1F1F1F"/>
        </w:rPr>
        <w:t>disclosure</w:t>
      </w:r>
      <w:r>
        <w:rPr>
          <w:rFonts w:ascii="Arial" w:cs="Arial" w:eastAsia="Arial" w:hAnsi="Arial"/>
          <w:sz w:val="18"/>
          <w:szCs w:val="18"/>
          <w:color w:val="212121"/>
        </w:rPr>
        <w:t xml:space="preserve"> </w:t>
      </w:r>
      <w:r>
        <w:rPr>
          <w:rFonts w:ascii="Arial" w:cs="Arial" w:eastAsia="Arial" w:hAnsi="Arial"/>
          <w:sz w:val="18"/>
          <w:szCs w:val="18"/>
          <w:color w:val="2A2A2A"/>
        </w:rPr>
        <w:t>of</w:t>
      </w:r>
      <w:r>
        <w:rPr>
          <w:rFonts w:ascii="Arial" w:cs="Arial" w:eastAsia="Arial" w:hAnsi="Arial"/>
          <w:sz w:val="18"/>
          <w:szCs w:val="18"/>
          <w:color w:val="212121"/>
        </w:rPr>
        <w:t xml:space="preserve"> the Information </w:t>
      </w:r>
      <w:r>
        <w:rPr>
          <w:rFonts w:ascii="Arial" w:cs="Arial" w:eastAsia="Arial" w:hAnsi="Arial"/>
          <w:sz w:val="18"/>
          <w:szCs w:val="18"/>
          <w:color w:val="1F1F1F"/>
        </w:rPr>
        <w:t>could not reasonably</w:t>
      </w:r>
      <w:r>
        <w:rPr>
          <w:rFonts w:ascii="Arial" w:cs="Arial" w:eastAsia="Arial" w:hAnsi="Arial"/>
          <w:sz w:val="18"/>
          <w:szCs w:val="18"/>
          <w:color w:val="212121"/>
        </w:rPr>
        <w:t xml:space="preserve"> </w:t>
      </w:r>
      <w:r>
        <w:rPr>
          <w:rFonts w:ascii="Arial" w:cs="Arial" w:eastAsia="Arial" w:hAnsi="Arial"/>
          <w:sz w:val="18"/>
          <w:szCs w:val="18"/>
          <w:color w:val="2F2F2F"/>
        </w:rPr>
        <w:t>be</w:t>
      </w:r>
      <w:r>
        <w:rPr>
          <w:rFonts w:ascii="Arial" w:cs="Arial" w:eastAsia="Arial" w:hAnsi="Arial"/>
          <w:sz w:val="18"/>
          <w:szCs w:val="18"/>
          <w:color w:val="212121"/>
        </w:rPr>
        <w:t xml:space="preserve"> </w:t>
      </w:r>
      <w:r>
        <w:rPr>
          <w:rFonts w:ascii="Arial" w:cs="Arial" w:eastAsia="Arial" w:hAnsi="Arial"/>
          <w:sz w:val="18"/>
          <w:szCs w:val="18"/>
          <w:color w:val="2D2D2D"/>
        </w:rPr>
        <w:t>expected</w:t>
      </w:r>
      <w:r>
        <w:rPr>
          <w:rFonts w:ascii="Arial" w:cs="Arial" w:eastAsia="Arial" w:hAnsi="Arial"/>
          <w:sz w:val="18"/>
          <w:szCs w:val="18"/>
          <w:color w:val="212121"/>
        </w:rPr>
        <w:t xml:space="preserve"> </w:t>
      </w:r>
      <w:r>
        <w:rPr>
          <w:rFonts w:ascii="Arial" w:cs="Arial" w:eastAsia="Arial" w:hAnsi="Arial"/>
          <w:sz w:val="18"/>
          <w:szCs w:val="18"/>
          <w:color w:val="282828"/>
        </w:rPr>
        <w:t>to</w:t>
      </w:r>
      <w:r>
        <w:rPr>
          <w:rFonts w:ascii="Arial" w:cs="Arial" w:eastAsia="Arial" w:hAnsi="Arial"/>
          <w:sz w:val="18"/>
          <w:szCs w:val="18"/>
          <w:color w:val="212121"/>
        </w:rPr>
        <w:t xml:space="preserve"> </w:t>
      </w:r>
      <w:r>
        <w:rPr>
          <w:rFonts w:ascii="Arial" w:cs="Arial" w:eastAsia="Arial" w:hAnsi="Arial"/>
          <w:sz w:val="18"/>
          <w:szCs w:val="18"/>
          <w:color w:val="181818"/>
        </w:rPr>
        <w:t>jeopardise</w:t>
      </w:r>
      <w:r>
        <w:rPr>
          <w:rFonts w:ascii="Arial" w:cs="Arial" w:eastAsia="Arial" w:hAnsi="Arial"/>
          <w:sz w:val="18"/>
          <w:szCs w:val="18"/>
          <w:color w:val="212121"/>
        </w:rPr>
        <w:t xml:space="preserve"> </w:t>
      </w:r>
      <w:r>
        <w:rPr>
          <w:rFonts w:ascii="Arial" w:cs="Arial" w:eastAsia="Arial" w:hAnsi="Arial"/>
          <w:sz w:val="18"/>
          <w:szCs w:val="18"/>
          <w:color w:val="1C1C1C"/>
        </w:rPr>
        <w:t>the</w:t>
      </w:r>
      <w:r>
        <w:rPr>
          <w:rFonts w:ascii="Arial" w:cs="Arial" w:eastAsia="Arial" w:hAnsi="Arial"/>
          <w:sz w:val="18"/>
          <w:szCs w:val="18"/>
          <w:color w:val="212121"/>
        </w:rPr>
        <w:t xml:space="preserve"> </w:t>
      </w:r>
      <w:r>
        <w:rPr>
          <w:rFonts w:ascii="Arial" w:cs="Arial" w:eastAsia="Arial" w:hAnsi="Arial"/>
          <w:sz w:val="18"/>
          <w:szCs w:val="18"/>
          <w:color w:val="1F1F1F"/>
        </w:rPr>
        <w:t>Company’s</w:t>
      </w:r>
      <w:r>
        <w:rPr>
          <w:rFonts w:ascii="Arial" w:cs="Arial" w:eastAsia="Arial" w:hAnsi="Arial"/>
          <w:sz w:val="18"/>
          <w:szCs w:val="18"/>
          <w:color w:val="212121"/>
        </w:rPr>
        <w:t xml:space="preserve"> </w:t>
      </w:r>
      <w:r>
        <w:rPr>
          <w:rFonts w:ascii="Arial" w:cs="Arial" w:eastAsia="Arial" w:hAnsi="Arial"/>
          <w:sz w:val="18"/>
          <w:szCs w:val="18"/>
          <w:color w:val="242424"/>
        </w:rPr>
        <w:t xml:space="preserve">ability </w:t>
      </w:r>
      <w:r>
        <w:rPr>
          <w:rFonts w:ascii="Arial" w:cs="Arial" w:eastAsia="Arial" w:hAnsi="Arial"/>
          <w:sz w:val="18"/>
          <w:szCs w:val="18"/>
          <w:color w:val="181818"/>
        </w:rPr>
        <w:t>to</w:t>
      </w:r>
      <w:r>
        <w:rPr>
          <w:rFonts w:ascii="Arial" w:cs="Arial" w:eastAsia="Arial" w:hAnsi="Arial"/>
          <w:sz w:val="18"/>
          <w:szCs w:val="18"/>
          <w:color w:val="242424"/>
        </w:rPr>
        <w:t xml:space="preserve"> </w:t>
      </w:r>
      <w:r>
        <w:rPr>
          <w:rFonts w:ascii="Arial" w:cs="Arial" w:eastAsia="Arial" w:hAnsi="Arial"/>
          <w:sz w:val="18"/>
          <w:szCs w:val="18"/>
          <w:color w:val="1D1D1D"/>
        </w:rPr>
        <w:t>claim</w:t>
      </w:r>
      <w:r>
        <w:rPr>
          <w:rFonts w:ascii="Arial" w:cs="Arial" w:eastAsia="Arial" w:hAnsi="Arial"/>
          <w:sz w:val="18"/>
          <w:szCs w:val="18"/>
          <w:color w:val="242424"/>
        </w:rPr>
        <w:t xml:space="preserve"> </w:t>
      </w:r>
      <w:r>
        <w:rPr>
          <w:rFonts w:ascii="Arial" w:cs="Arial" w:eastAsia="Arial" w:hAnsi="Arial"/>
          <w:sz w:val="18"/>
          <w:szCs w:val="18"/>
          <w:color w:val="1F1F1F"/>
        </w:rPr>
        <w:t>legal</w:t>
      </w:r>
      <w:r>
        <w:rPr>
          <w:rFonts w:ascii="Arial" w:cs="Arial" w:eastAsia="Arial" w:hAnsi="Arial"/>
          <w:sz w:val="18"/>
          <w:szCs w:val="18"/>
          <w:color w:val="242424"/>
        </w:rPr>
        <w:t xml:space="preserve"> </w:t>
      </w:r>
      <w:r>
        <w:rPr>
          <w:rFonts w:ascii="Arial" w:cs="Arial" w:eastAsia="Arial" w:hAnsi="Arial"/>
          <w:sz w:val="18"/>
          <w:szCs w:val="18"/>
          <w:color w:val="212121"/>
        </w:rPr>
        <w:t>privilege</w:t>
      </w:r>
      <w:r>
        <w:rPr>
          <w:rFonts w:ascii="Arial" w:cs="Arial" w:eastAsia="Arial" w:hAnsi="Arial"/>
          <w:sz w:val="18"/>
          <w:szCs w:val="18"/>
          <w:color w:val="242424"/>
        </w:rPr>
        <w:t xml:space="preserve"> </w:t>
      </w:r>
      <w:r>
        <w:rPr>
          <w:rFonts w:ascii="Arial" w:cs="Arial" w:eastAsia="Arial" w:hAnsi="Arial"/>
          <w:sz w:val="18"/>
          <w:szCs w:val="18"/>
          <w:color w:val="262626"/>
        </w:rPr>
        <w:t>in</w:t>
      </w:r>
      <w:r>
        <w:rPr>
          <w:rFonts w:ascii="Arial" w:cs="Arial" w:eastAsia="Arial" w:hAnsi="Arial"/>
          <w:sz w:val="18"/>
          <w:szCs w:val="18"/>
          <w:color w:val="242424"/>
        </w:rPr>
        <w:t xml:space="preserve"> </w:t>
      </w:r>
      <w:r>
        <w:rPr>
          <w:rFonts w:ascii="Arial" w:cs="Arial" w:eastAsia="Arial" w:hAnsi="Arial"/>
          <w:sz w:val="18"/>
          <w:szCs w:val="18"/>
          <w:color w:val="161616"/>
        </w:rPr>
        <w:t>some</w:t>
      </w:r>
      <w:r>
        <w:rPr>
          <w:rFonts w:ascii="Arial" w:cs="Arial" w:eastAsia="Arial" w:hAnsi="Arial"/>
          <w:sz w:val="18"/>
          <w:szCs w:val="18"/>
          <w:color w:val="242424"/>
        </w:rPr>
        <w:t xml:space="preserve"> </w:t>
      </w:r>
      <w:r>
        <w:rPr>
          <w:rFonts w:ascii="Arial" w:cs="Arial" w:eastAsia="Arial" w:hAnsi="Arial"/>
          <w:sz w:val="18"/>
          <w:szCs w:val="18"/>
          <w:color w:val="1F1F1F"/>
        </w:rPr>
        <w:t>or</w:t>
      </w:r>
      <w:r>
        <w:rPr>
          <w:rFonts w:ascii="Arial" w:cs="Arial" w:eastAsia="Arial" w:hAnsi="Arial"/>
          <w:sz w:val="18"/>
          <w:szCs w:val="18"/>
          <w:color w:val="242424"/>
        </w:rPr>
        <w:t xml:space="preserve"> </w:t>
      </w:r>
      <w:r>
        <w:rPr>
          <w:rFonts w:ascii="Arial" w:cs="Arial" w:eastAsia="Arial" w:hAnsi="Arial"/>
          <w:sz w:val="18"/>
          <w:szCs w:val="18"/>
          <w:color w:val="262626"/>
        </w:rPr>
        <w:t>all of</w:t>
      </w:r>
      <w:r>
        <w:rPr>
          <w:rFonts w:ascii="Arial" w:cs="Arial" w:eastAsia="Arial" w:hAnsi="Arial"/>
          <w:sz w:val="18"/>
          <w:szCs w:val="18"/>
          <w:color w:val="242424"/>
        </w:rPr>
        <w:t xml:space="preserve"> </w:t>
      </w:r>
      <w:r>
        <w:rPr>
          <w:rFonts w:ascii="Arial" w:cs="Arial" w:eastAsia="Arial" w:hAnsi="Arial"/>
          <w:sz w:val="18"/>
          <w:szCs w:val="18"/>
          <w:color w:val="232323"/>
        </w:rPr>
        <w:t>that</w:t>
      </w:r>
      <w:r>
        <w:rPr>
          <w:rFonts w:ascii="Arial" w:cs="Arial" w:eastAsia="Arial" w:hAnsi="Arial"/>
          <w:sz w:val="18"/>
          <w:szCs w:val="18"/>
          <w:color w:val="242424"/>
        </w:rPr>
        <w:t xml:space="preserve"> </w:t>
      </w:r>
      <w:r>
        <w:rPr>
          <w:rFonts w:ascii="Arial" w:cs="Arial" w:eastAsia="Arial" w:hAnsi="Arial"/>
          <w:sz w:val="18"/>
          <w:szCs w:val="18"/>
          <w:color w:val="1A1A1A"/>
        </w:rPr>
        <w:t>Information;</w:t>
      </w:r>
      <w:r>
        <w:rPr>
          <w:rFonts w:ascii="Arial" w:cs="Arial" w:eastAsia="Arial" w:hAnsi="Arial"/>
          <w:sz w:val="18"/>
          <w:szCs w:val="18"/>
          <w:color w:val="242424"/>
        </w:rPr>
        <w:t xml:space="preserve"> </w:t>
      </w:r>
      <w:r>
        <w:rPr>
          <w:rFonts w:ascii="Arial" w:cs="Arial" w:eastAsia="Arial" w:hAnsi="Arial"/>
          <w:sz w:val="18"/>
          <w:szCs w:val="18"/>
          <w:color w:val="1D1D1D"/>
        </w:rPr>
        <w:t>or</w:t>
      </w:r>
    </w:p>
    <w:p>
      <w:pPr>
        <w:spacing w:after="0" w:line="183" w:lineRule="exact"/>
        <w:rPr>
          <w:rFonts w:ascii="Arial" w:cs="Arial" w:eastAsia="Arial" w:hAnsi="Arial"/>
          <w:sz w:val="18"/>
          <w:szCs w:val="18"/>
          <w:color w:val="2A2A2A"/>
        </w:rPr>
      </w:pPr>
    </w:p>
    <w:p>
      <w:pPr>
        <w:ind w:left="1300" w:right="800" w:hanging="644"/>
        <w:spacing w:after="0" w:line="246" w:lineRule="auto"/>
        <w:tabs>
          <w:tab w:leader="none" w:pos="1300" w:val="left"/>
        </w:tabs>
        <w:numPr>
          <w:ilvl w:val="0"/>
          <w:numId w:val="198"/>
        </w:numPr>
        <w:rPr>
          <w:rFonts w:ascii="Arial" w:cs="Arial" w:eastAsia="Arial" w:hAnsi="Arial"/>
          <w:sz w:val="18"/>
          <w:szCs w:val="18"/>
          <w:color w:val="2B2B2B"/>
        </w:rPr>
      </w:pPr>
      <w:r>
        <w:rPr>
          <w:rFonts w:ascii="Arial" w:cs="Arial" w:eastAsia="Arial" w:hAnsi="Arial"/>
          <w:sz w:val="18"/>
          <w:szCs w:val="18"/>
          <w:color w:val="242424"/>
        </w:rPr>
        <w:t xml:space="preserve">the </w:t>
      </w:r>
      <w:r>
        <w:rPr>
          <w:rFonts w:ascii="Arial" w:cs="Arial" w:eastAsia="Arial" w:hAnsi="Arial"/>
          <w:sz w:val="18"/>
          <w:szCs w:val="18"/>
          <w:color w:val="232323"/>
        </w:rPr>
        <w:t>Company</w:t>
      </w:r>
      <w:r>
        <w:rPr>
          <w:rFonts w:ascii="Arial" w:cs="Arial" w:eastAsia="Arial" w:hAnsi="Arial"/>
          <w:sz w:val="18"/>
          <w:szCs w:val="18"/>
          <w:color w:val="242424"/>
        </w:rPr>
        <w:t xml:space="preserve"> has </w:t>
      </w:r>
      <w:r>
        <w:rPr>
          <w:rFonts w:ascii="Arial" w:cs="Arial" w:eastAsia="Arial" w:hAnsi="Arial"/>
          <w:sz w:val="18"/>
          <w:szCs w:val="18"/>
          <w:color w:val="2A2A2A"/>
        </w:rPr>
        <w:t>the</w:t>
      </w:r>
      <w:r>
        <w:rPr>
          <w:rFonts w:ascii="Arial" w:cs="Arial" w:eastAsia="Arial" w:hAnsi="Arial"/>
          <w:sz w:val="18"/>
          <w:szCs w:val="18"/>
          <w:color w:val="242424"/>
        </w:rPr>
        <w:t xml:space="preserve"> </w:t>
      </w:r>
      <w:r>
        <w:rPr>
          <w:rFonts w:ascii="Arial" w:cs="Arial" w:eastAsia="Arial" w:hAnsi="Arial"/>
          <w:sz w:val="18"/>
          <w:szCs w:val="18"/>
          <w:color w:val="1A1A1A"/>
        </w:rPr>
        <w:t>right</w:t>
      </w:r>
      <w:r>
        <w:rPr>
          <w:rFonts w:ascii="Arial" w:cs="Arial" w:eastAsia="Arial" w:hAnsi="Arial"/>
          <w:sz w:val="18"/>
          <w:szCs w:val="18"/>
          <w:color w:val="242424"/>
        </w:rPr>
        <w:t xml:space="preserve"> </w:t>
      </w:r>
      <w:r>
        <w:rPr>
          <w:rFonts w:ascii="Arial" w:cs="Arial" w:eastAsia="Arial" w:hAnsi="Arial"/>
          <w:sz w:val="18"/>
          <w:szCs w:val="18"/>
          <w:color w:val="1F1F1F"/>
        </w:rPr>
        <w:t>to</w:t>
      </w:r>
      <w:r>
        <w:rPr>
          <w:rFonts w:ascii="Arial" w:cs="Arial" w:eastAsia="Arial" w:hAnsi="Arial"/>
          <w:sz w:val="18"/>
          <w:szCs w:val="18"/>
          <w:color w:val="242424"/>
        </w:rPr>
        <w:t xml:space="preserve"> </w:t>
      </w:r>
      <w:r>
        <w:rPr>
          <w:rFonts w:ascii="Arial" w:cs="Arial" w:eastAsia="Arial" w:hAnsi="Arial"/>
          <w:sz w:val="18"/>
          <w:szCs w:val="18"/>
          <w:color w:val="232323"/>
        </w:rPr>
        <w:t>claim</w:t>
      </w:r>
      <w:r>
        <w:rPr>
          <w:rFonts w:ascii="Arial" w:cs="Arial" w:eastAsia="Arial" w:hAnsi="Arial"/>
          <w:sz w:val="18"/>
          <w:szCs w:val="18"/>
          <w:color w:val="242424"/>
        </w:rPr>
        <w:t xml:space="preserve"> </w:t>
      </w:r>
      <w:r>
        <w:rPr>
          <w:rFonts w:ascii="Arial" w:cs="Arial" w:eastAsia="Arial" w:hAnsi="Arial"/>
          <w:sz w:val="18"/>
          <w:szCs w:val="18"/>
          <w:color w:val="1D1D1D"/>
        </w:rPr>
        <w:t>legal</w:t>
      </w:r>
      <w:r>
        <w:rPr>
          <w:rFonts w:ascii="Arial" w:cs="Arial" w:eastAsia="Arial" w:hAnsi="Arial"/>
          <w:sz w:val="18"/>
          <w:szCs w:val="18"/>
          <w:color w:val="242424"/>
        </w:rPr>
        <w:t xml:space="preserve"> privilege </w:t>
      </w:r>
      <w:r>
        <w:rPr>
          <w:rFonts w:ascii="Arial" w:cs="Arial" w:eastAsia="Arial" w:hAnsi="Arial"/>
          <w:sz w:val="18"/>
          <w:szCs w:val="18"/>
          <w:color w:val="232323"/>
        </w:rPr>
        <w:t>in</w:t>
      </w:r>
      <w:r>
        <w:rPr>
          <w:rFonts w:ascii="Arial" w:cs="Arial" w:eastAsia="Arial" w:hAnsi="Arial"/>
          <w:sz w:val="18"/>
          <w:szCs w:val="18"/>
          <w:color w:val="242424"/>
        </w:rPr>
        <w:t xml:space="preserve"> </w:t>
      </w:r>
      <w:r>
        <w:rPr>
          <w:rFonts w:ascii="Arial" w:cs="Arial" w:eastAsia="Arial" w:hAnsi="Arial"/>
          <w:sz w:val="18"/>
          <w:szCs w:val="18"/>
          <w:color w:val="1F1F1F"/>
        </w:rPr>
        <w:t>all</w:t>
      </w:r>
      <w:r>
        <w:rPr>
          <w:rFonts w:ascii="Arial" w:cs="Arial" w:eastAsia="Arial" w:hAnsi="Arial"/>
          <w:sz w:val="18"/>
          <w:szCs w:val="18"/>
          <w:color w:val="242424"/>
        </w:rPr>
        <w:t xml:space="preserve"> </w:t>
      </w:r>
      <w:r>
        <w:rPr>
          <w:rFonts w:ascii="Arial" w:cs="Arial" w:eastAsia="Arial" w:hAnsi="Arial"/>
          <w:sz w:val="18"/>
          <w:szCs w:val="18"/>
          <w:color w:val="181818"/>
        </w:rPr>
        <w:t>or</w:t>
      </w:r>
      <w:r>
        <w:rPr>
          <w:rFonts w:ascii="Arial" w:cs="Arial" w:eastAsia="Arial" w:hAnsi="Arial"/>
          <w:sz w:val="18"/>
          <w:szCs w:val="18"/>
          <w:color w:val="242424"/>
        </w:rPr>
        <w:t xml:space="preserve"> </w:t>
      </w:r>
      <w:r>
        <w:rPr>
          <w:rFonts w:ascii="Arial" w:cs="Arial" w:eastAsia="Arial" w:hAnsi="Arial"/>
          <w:sz w:val="18"/>
          <w:szCs w:val="18"/>
          <w:color w:val="2A2A2A"/>
        </w:rPr>
        <w:t>any</w:t>
      </w:r>
      <w:r>
        <w:rPr>
          <w:rFonts w:ascii="Arial" w:cs="Arial" w:eastAsia="Arial" w:hAnsi="Arial"/>
          <w:sz w:val="18"/>
          <w:szCs w:val="18"/>
          <w:color w:val="242424"/>
        </w:rPr>
        <w:t xml:space="preserve"> </w:t>
      </w:r>
      <w:r>
        <w:rPr>
          <w:rFonts w:ascii="Arial" w:cs="Arial" w:eastAsia="Arial" w:hAnsi="Arial"/>
          <w:sz w:val="18"/>
          <w:szCs w:val="18"/>
          <w:color w:val="2D2D2D"/>
        </w:rPr>
        <w:t>of</w:t>
      </w:r>
      <w:r>
        <w:rPr>
          <w:rFonts w:ascii="Arial" w:cs="Arial" w:eastAsia="Arial" w:hAnsi="Arial"/>
          <w:sz w:val="18"/>
          <w:szCs w:val="18"/>
          <w:color w:val="242424"/>
        </w:rPr>
        <w:t xml:space="preserve"> </w:t>
      </w:r>
      <w:r>
        <w:rPr>
          <w:rFonts w:ascii="Arial" w:cs="Arial" w:eastAsia="Arial" w:hAnsi="Arial"/>
          <w:sz w:val="18"/>
          <w:szCs w:val="18"/>
          <w:color w:val="212121"/>
        </w:rPr>
        <w:t>that Information</w:t>
      </w:r>
      <w:r>
        <w:rPr>
          <w:rFonts w:ascii="Arial" w:cs="Arial" w:eastAsia="Arial" w:hAnsi="Arial"/>
          <w:sz w:val="18"/>
          <w:szCs w:val="18"/>
          <w:color w:val="242424"/>
        </w:rPr>
        <w:t xml:space="preserve"> </w:t>
      </w:r>
      <w:r>
        <w:rPr>
          <w:rFonts w:ascii="Arial" w:cs="Arial" w:eastAsia="Arial" w:hAnsi="Arial"/>
          <w:sz w:val="18"/>
          <w:szCs w:val="18"/>
          <w:color w:val="1D1D1D"/>
        </w:rPr>
        <w:t>(if</w:t>
      </w:r>
      <w:r>
        <w:rPr>
          <w:rFonts w:ascii="Arial" w:cs="Arial" w:eastAsia="Arial" w:hAnsi="Arial"/>
          <w:sz w:val="18"/>
          <w:szCs w:val="18"/>
          <w:color w:val="242424"/>
        </w:rPr>
        <w:t xml:space="preserve"> any) </w:t>
      </w:r>
      <w:r>
        <w:rPr>
          <w:rFonts w:ascii="Arial" w:cs="Arial" w:eastAsia="Arial" w:hAnsi="Arial"/>
          <w:sz w:val="18"/>
          <w:szCs w:val="18"/>
          <w:color w:val="2A2A2A"/>
        </w:rPr>
        <w:t>and</w:t>
      </w:r>
      <w:r>
        <w:rPr>
          <w:rFonts w:ascii="Arial" w:cs="Arial" w:eastAsia="Arial" w:hAnsi="Arial"/>
          <w:sz w:val="18"/>
          <w:szCs w:val="18"/>
          <w:color w:val="242424"/>
        </w:rPr>
        <w:t xml:space="preserve"> </w:t>
      </w:r>
      <w:r>
        <w:rPr>
          <w:rFonts w:ascii="Arial" w:cs="Arial" w:eastAsia="Arial" w:hAnsi="Arial"/>
          <w:sz w:val="18"/>
          <w:szCs w:val="18"/>
          <w:color w:val="1F1F1F"/>
        </w:rPr>
        <w:t>has</w:t>
      </w:r>
      <w:r>
        <w:rPr>
          <w:rFonts w:ascii="Arial" w:cs="Arial" w:eastAsia="Arial" w:hAnsi="Arial"/>
          <w:sz w:val="18"/>
          <w:szCs w:val="18"/>
          <w:color w:val="242424"/>
        </w:rPr>
        <w:t xml:space="preserve"> </w:t>
      </w:r>
      <w:r>
        <w:rPr>
          <w:rFonts w:ascii="Arial" w:cs="Arial" w:eastAsia="Arial" w:hAnsi="Arial"/>
          <w:sz w:val="18"/>
          <w:szCs w:val="18"/>
          <w:color w:val="212121"/>
        </w:rPr>
        <w:t>waived</w:t>
      </w:r>
      <w:r>
        <w:rPr>
          <w:rFonts w:ascii="Arial" w:cs="Arial" w:eastAsia="Arial" w:hAnsi="Arial"/>
          <w:sz w:val="18"/>
          <w:szCs w:val="18"/>
          <w:color w:val="242424"/>
        </w:rPr>
        <w:t xml:space="preserve"> </w:t>
      </w:r>
      <w:r>
        <w:rPr>
          <w:rFonts w:ascii="Arial" w:cs="Arial" w:eastAsia="Arial" w:hAnsi="Arial"/>
          <w:sz w:val="18"/>
          <w:szCs w:val="18"/>
          <w:color w:val="1D1D1D"/>
        </w:rPr>
        <w:t>its</w:t>
      </w:r>
      <w:r>
        <w:rPr>
          <w:rFonts w:ascii="Arial" w:cs="Arial" w:eastAsia="Arial" w:hAnsi="Arial"/>
          <w:sz w:val="18"/>
          <w:szCs w:val="18"/>
          <w:color w:val="242424"/>
        </w:rPr>
        <w:t xml:space="preserve"> </w:t>
      </w:r>
      <w:r>
        <w:rPr>
          <w:rFonts w:ascii="Arial" w:cs="Arial" w:eastAsia="Arial" w:hAnsi="Arial"/>
          <w:sz w:val="18"/>
          <w:szCs w:val="18"/>
          <w:color w:val="111111"/>
        </w:rPr>
        <w:t>right</w:t>
      </w:r>
      <w:r>
        <w:rPr>
          <w:rFonts w:ascii="Arial" w:cs="Arial" w:eastAsia="Arial" w:hAnsi="Arial"/>
          <w:sz w:val="18"/>
          <w:szCs w:val="18"/>
          <w:color w:val="242424"/>
        </w:rPr>
        <w:t xml:space="preserve"> </w:t>
      </w:r>
      <w:r>
        <w:rPr>
          <w:rFonts w:ascii="Arial" w:cs="Arial" w:eastAsia="Arial" w:hAnsi="Arial"/>
          <w:sz w:val="18"/>
          <w:szCs w:val="18"/>
          <w:color w:val="212121"/>
        </w:rPr>
        <w:t>to</w:t>
      </w:r>
      <w:r>
        <w:rPr>
          <w:rFonts w:ascii="Arial" w:cs="Arial" w:eastAsia="Arial" w:hAnsi="Arial"/>
          <w:sz w:val="18"/>
          <w:szCs w:val="18"/>
          <w:color w:val="242424"/>
        </w:rPr>
        <w:t xml:space="preserve"> </w:t>
      </w:r>
      <w:r>
        <w:rPr>
          <w:rFonts w:ascii="Arial" w:cs="Arial" w:eastAsia="Arial" w:hAnsi="Arial"/>
          <w:sz w:val="18"/>
          <w:szCs w:val="18"/>
          <w:color w:val="232323"/>
        </w:rPr>
        <w:t xml:space="preserve">claim </w:t>
      </w:r>
      <w:r>
        <w:rPr>
          <w:rFonts w:ascii="Arial" w:cs="Arial" w:eastAsia="Arial" w:hAnsi="Arial"/>
          <w:sz w:val="18"/>
          <w:szCs w:val="18"/>
          <w:color w:val="1C1C1C"/>
        </w:rPr>
        <w:t>that</w:t>
      </w:r>
      <w:r>
        <w:rPr>
          <w:rFonts w:ascii="Arial" w:cs="Arial" w:eastAsia="Arial" w:hAnsi="Arial"/>
          <w:sz w:val="18"/>
          <w:szCs w:val="18"/>
          <w:color w:val="232323"/>
        </w:rPr>
        <w:t xml:space="preserve"> </w:t>
      </w:r>
      <w:r>
        <w:rPr>
          <w:rFonts w:ascii="Arial" w:cs="Arial" w:eastAsia="Arial" w:hAnsi="Arial"/>
          <w:sz w:val="18"/>
          <w:szCs w:val="18"/>
          <w:color w:val="212121"/>
        </w:rPr>
        <w:t>legal</w:t>
      </w:r>
      <w:r>
        <w:rPr>
          <w:rFonts w:ascii="Arial" w:cs="Arial" w:eastAsia="Arial" w:hAnsi="Arial"/>
          <w:sz w:val="18"/>
          <w:szCs w:val="18"/>
          <w:color w:val="232323"/>
        </w:rPr>
        <w:t xml:space="preserve"> </w:t>
      </w:r>
      <w:r>
        <w:rPr>
          <w:rFonts w:ascii="Arial" w:cs="Arial" w:eastAsia="Arial" w:hAnsi="Arial"/>
          <w:sz w:val="18"/>
          <w:szCs w:val="18"/>
          <w:color w:val="2A2A2A"/>
        </w:rPr>
        <w:t>privilege</w:t>
      </w:r>
      <w:r>
        <w:rPr>
          <w:rFonts w:ascii="Arial" w:cs="Arial" w:eastAsia="Arial" w:hAnsi="Arial"/>
          <w:sz w:val="18"/>
          <w:szCs w:val="18"/>
          <w:color w:val="232323"/>
        </w:rPr>
        <w:t xml:space="preserve"> </w:t>
      </w:r>
      <w:r>
        <w:rPr>
          <w:rFonts w:ascii="Arial" w:cs="Arial" w:eastAsia="Arial" w:hAnsi="Arial"/>
          <w:sz w:val="18"/>
          <w:szCs w:val="18"/>
          <w:color w:val="181818"/>
        </w:rPr>
        <w:t>to</w:t>
      </w:r>
      <w:r>
        <w:rPr>
          <w:rFonts w:ascii="Arial" w:cs="Arial" w:eastAsia="Arial" w:hAnsi="Arial"/>
          <w:sz w:val="18"/>
          <w:szCs w:val="18"/>
          <w:color w:val="232323"/>
        </w:rPr>
        <w:t xml:space="preserve"> </w:t>
      </w:r>
      <w:r>
        <w:rPr>
          <w:rFonts w:ascii="Arial" w:cs="Arial" w:eastAsia="Arial" w:hAnsi="Arial"/>
          <w:sz w:val="18"/>
          <w:szCs w:val="18"/>
          <w:color w:val="131313"/>
        </w:rPr>
        <w:t>the</w:t>
      </w:r>
      <w:r>
        <w:rPr>
          <w:rFonts w:ascii="Arial" w:cs="Arial" w:eastAsia="Arial" w:hAnsi="Arial"/>
          <w:sz w:val="18"/>
          <w:szCs w:val="18"/>
          <w:color w:val="232323"/>
        </w:rPr>
        <w:t xml:space="preserve"> </w:t>
      </w:r>
      <w:r>
        <w:rPr>
          <w:rFonts w:ascii="Arial" w:cs="Arial" w:eastAsia="Arial" w:hAnsi="Arial"/>
          <w:sz w:val="18"/>
          <w:szCs w:val="18"/>
          <w:color w:val="181818"/>
        </w:rPr>
        <w:t>extent</w:t>
      </w:r>
      <w:r>
        <w:rPr>
          <w:rFonts w:ascii="Arial" w:cs="Arial" w:eastAsia="Arial" w:hAnsi="Arial"/>
          <w:sz w:val="18"/>
          <w:szCs w:val="18"/>
          <w:color w:val="232323"/>
        </w:rPr>
        <w:t xml:space="preserve"> </w:t>
      </w:r>
      <w:r>
        <w:rPr>
          <w:rFonts w:ascii="Arial" w:cs="Arial" w:eastAsia="Arial" w:hAnsi="Arial"/>
          <w:sz w:val="18"/>
          <w:szCs w:val="18"/>
          <w:color w:val="1C1C1C"/>
        </w:rPr>
        <w:t>required</w:t>
      </w:r>
      <w:r>
        <w:rPr>
          <w:rFonts w:ascii="Arial" w:cs="Arial" w:eastAsia="Arial" w:hAnsi="Arial"/>
          <w:sz w:val="18"/>
          <w:szCs w:val="18"/>
          <w:color w:val="232323"/>
        </w:rPr>
        <w:t xml:space="preserve"> </w:t>
      </w:r>
      <w:r>
        <w:rPr>
          <w:rFonts w:ascii="Arial" w:cs="Arial" w:eastAsia="Arial" w:hAnsi="Arial"/>
          <w:sz w:val="18"/>
          <w:szCs w:val="18"/>
          <w:color w:val="1D1D1D"/>
        </w:rPr>
        <w:t>under</w:t>
      </w:r>
      <w:r>
        <w:rPr>
          <w:rFonts w:ascii="Arial" w:cs="Arial" w:eastAsia="Arial" w:hAnsi="Arial"/>
          <w:sz w:val="18"/>
          <w:szCs w:val="18"/>
          <w:color w:val="232323"/>
        </w:rPr>
        <w:t xml:space="preserve"> </w:t>
      </w:r>
      <w:r>
        <w:rPr>
          <w:rFonts w:ascii="Arial" w:cs="Arial" w:eastAsia="Arial" w:hAnsi="Arial"/>
          <w:sz w:val="18"/>
          <w:szCs w:val="18"/>
          <w:color w:val="131313"/>
        </w:rPr>
        <w:t>clause</w:t>
      </w:r>
      <w:r>
        <w:rPr>
          <w:rFonts w:ascii="Arial" w:cs="Arial" w:eastAsia="Arial" w:hAnsi="Arial"/>
          <w:sz w:val="18"/>
          <w:szCs w:val="18"/>
          <w:color w:val="232323"/>
        </w:rPr>
        <w:t xml:space="preserve"> </w:t>
      </w:r>
      <w:r>
        <w:rPr>
          <w:rFonts w:ascii="Arial" w:cs="Arial" w:eastAsia="Arial" w:hAnsi="Arial"/>
          <w:sz w:val="18"/>
          <w:szCs w:val="18"/>
          <w:color w:val="1C1C1C"/>
        </w:rPr>
        <w:t>6.6,</w:t>
      </w:r>
    </w:p>
    <w:p>
      <w:pPr>
        <w:spacing w:after="0" w:line="183"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262626"/>
        </w:rPr>
        <w:t xml:space="preserve">and </w:t>
      </w:r>
      <w:r>
        <w:rPr>
          <w:rFonts w:ascii="Arial" w:cs="Arial" w:eastAsia="Arial" w:hAnsi="Arial"/>
          <w:sz w:val="18"/>
          <w:szCs w:val="18"/>
          <w:color w:val="1D1D1D"/>
        </w:rPr>
        <w:t>disclosure</w:t>
      </w:r>
      <w:r>
        <w:rPr>
          <w:rFonts w:ascii="Arial" w:cs="Arial" w:eastAsia="Arial" w:hAnsi="Arial"/>
          <w:sz w:val="18"/>
          <w:szCs w:val="18"/>
          <w:color w:val="262626"/>
        </w:rPr>
        <w:t xml:space="preserve"> </w:t>
      </w:r>
      <w:r>
        <w:rPr>
          <w:rFonts w:ascii="Arial" w:cs="Arial" w:eastAsia="Arial" w:hAnsi="Arial"/>
          <w:sz w:val="18"/>
          <w:szCs w:val="18"/>
          <w:color w:val="1F1F1F"/>
        </w:rPr>
        <w:t>of</w:t>
      </w:r>
      <w:r>
        <w:rPr>
          <w:rFonts w:ascii="Arial" w:cs="Arial" w:eastAsia="Arial" w:hAnsi="Arial"/>
          <w:sz w:val="18"/>
          <w:szCs w:val="18"/>
          <w:color w:val="262626"/>
        </w:rPr>
        <w:t xml:space="preserve"> </w:t>
      </w:r>
      <w:r>
        <w:rPr>
          <w:rFonts w:ascii="Arial" w:cs="Arial" w:eastAsia="Arial" w:hAnsi="Arial"/>
          <w:sz w:val="18"/>
          <w:szCs w:val="18"/>
          <w:color w:val="2D2D2D"/>
        </w:rPr>
        <w:t>the</w:t>
      </w:r>
      <w:r>
        <w:rPr>
          <w:rFonts w:ascii="Arial" w:cs="Arial" w:eastAsia="Arial" w:hAnsi="Arial"/>
          <w:sz w:val="18"/>
          <w:szCs w:val="18"/>
          <w:color w:val="262626"/>
        </w:rPr>
        <w:t xml:space="preserve"> </w:t>
      </w:r>
      <w:r>
        <w:rPr>
          <w:rFonts w:ascii="Arial" w:cs="Arial" w:eastAsia="Arial" w:hAnsi="Arial"/>
          <w:sz w:val="18"/>
          <w:szCs w:val="18"/>
          <w:color w:val="1F1F1F"/>
        </w:rPr>
        <w:t>Information</w:t>
      </w:r>
      <w:r>
        <w:rPr>
          <w:rFonts w:ascii="Arial" w:cs="Arial" w:eastAsia="Arial" w:hAnsi="Arial"/>
          <w:sz w:val="18"/>
          <w:szCs w:val="18"/>
          <w:color w:val="262626"/>
        </w:rPr>
        <w:t xml:space="preserve"> will </w:t>
      </w:r>
      <w:r>
        <w:rPr>
          <w:rFonts w:ascii="Arial" w:cs="Arial" w:eastAsia="Arial" w:hAnsi="Arial"/>
          <w:sz w:val="18"/>
          <w:szCs w:val="18"/>
          <w:color w:val="2A2A2A"/>
        </w:rPr>
        <w:t>not</w:t>
      </w:r>
      <w:r>
        <w:rPr>
          <w:rFonts w:ascii="Arial" w:cs="Arial" w:eastAsia="Arial" w:hAnsi="Arial"/>
          <w:sz w:val="18"/>
          <w:szCs w:val="18"/>
          <w:color w:val="262626"/>
        </w:rPr>
        <w:t xml:space="preserve"> </w:t>
      </w:r>
      <w:r>
        <w:rPr>
          <w:rFonts w:ascii="Arial" w:cs="Arial" w:eastAsia="Arial" w:hAnsi="Arial"/>
          <w:sz w:val="18"/>
          <w:szCs w:val="18"/>
          <w:color w:val="1A1A1A"/>
        </w:rPr>
        <w:t>cause</w:t>
      </w:r>
      <w:r>
        <w:rPr>
          <w:rFonts w:ascii="Arial" w:cs="Arial" w:eastAsia="Arial" w:hAnsi="Arial"/>
          <w:sz w:val="18"/>
          <w:szCs w:val="18"/>
          <w:color w:val="262626"/>
        </w:rPr>
        <w:t xml:space="preserve"> </w:t>
      </w:r>
      <w:r>
        <w:rPr>
          <w:rFonts w:ascii="Arial" w:cs="Arial" w:eastAsia="Arial" w:hAnsi="Arial"/>
          <w:sz w:val="18"/>
          <w:szCs w:val="18"/>
          <w:color w:val="282828"/>
        </w:rPr>
        <w:t>the</w:t>
      </w:r>
      <w:r>
        <w:rPr>
          <w:rFonts w:ascii="Arial" w:cs="Arial" w:eastAsia="Arial" w:hAnsi="Arial"/>
          <w:sz w:val="18"/>
          <w:szCs w:val="18"/>
          <w:color w:val="262626"/>
        </w:rPr>
        <w:t xml:space="preserve"> </w:t>
      </w:r>
      <w:r>
        <w:rPr>
          <w:rFonts w:ascii="Arial" w:cs="Arial" w:eastAsia="Arial" w:hAnsi="Arial"/>
          <w:sz w:val="18"/>
          <w:szCs w:val="18"/>
          <w:color w:val="1C1C1C"/>
        </w:rPr>
        <w:t>Company’s</w:t>
      </w:r>
      <w:r>
        <w:rPr>
          <w:rFonts w:ascii="Arial" w:cs="Arial" w:eastAsia="Arial" w:hAnsi="Arial"/>
          <w:sz w:val="18"/>
          <w:szCs w:val="18"/>
          <w:color w:val="262626"/>
        </w:rPr>
        <w:t xml:space="preserve"> right </w:t>
      </w:r>
      <w:r>
        <w:rPr>
          <w:rFonts w:ascii="Arial" w:cs="Arial" w:eastAsia="Arial" w:hAnsi="Arial"/>
          <w:sz w:val="18"/>
          <w:szCs w:val="18"/>
          <w:color w:val="1A1A1A"/>
        </w:rPr>
        <w:t>to</w:t>
      </w:r>
      <w:r>
        <w:rPr>
          <w:rFonts w:ascii="Arial" w:cs="Arial" w:eastAsia="Arial" w:hAnsi="Arial"/>
          <w:sz w:val="18"/>
          <w:szCs w:val="18"/>
          <w:color w:val="262626"/>
        </w:rPr>
        <w:t xml:space="preserve"> claim </w:t>
      </w:r>
      <w:r>
        <w:rPr>
          <w:rFonts w:ascii="Arial" w:cs="Arial" w:eastAsia="Arial" w:hAnsi="Arial"/>
          <w:sz w:val="18"/>
          <w:szCs w:val="18"/>
          <w:color w:val="242424"/>
        </w:rPr>
        <w:t>legal</w:t>
      </w:r>
      <w:r>
        <w:rPr>
          <w:rFonts w:ascii="Arial" w:cs="Arial" w:eastAsia="Arial" w:hAnsi="Arial"/>
          <w:sz w:val="18"/>
          <w:szCs w:val="18"/>
          <w:color w:val="262626"/>
        </w:rPr>
        <w:t xml:space="preserve"> privilege </w:t>
      </w:r>
      <w:r>
        <w:rPr>
          <w:rFonts w:ascii="Arial" w:cs="Arial" w:eastAsia="Arial" w:hAnsi="Arial"/>
          <w:sz w:val="18"/>
          <w:szCs w:val="18"/>
          <w:color w:val="343434"/>
        </w:rPr>
        <w:t>in</w:t>
      </w:r>
      <w:r>
        <w:rPr>
          <w:rFonts w:ascii="Arial" w:cs="Arial" w:eastAsia="Arial" w:hAnsi="Arial"/>
          <w:sz w:val="18"/>
          <w:szCs w:val="18"/>
          <w:color w:val="262626"/>
        </w:rPr>
        <w:t xml:space="preserve"> </w:t>
      </w:r>
      <w:r>
        <w:rPr>
          <w:rFonts w:ascii="Arial" w:cs="Arial" w:eastAsia="Arial" w:hAnsi="Arial"/>
          <w:sz w:val="18"/>
          <w:szCs w:val="18"/>
          <w:color w:val="242424"/>
        </w:rPr>
        <w:t>any</w:t>
      </w:r>
      <w:r>
        <w:rPr>
          <w:rFonts w:ascii="Arial" w:cs="Arial" w:eastAsia="Arial" w:hAnsi="Arial"/>
          <w:sz w:val="18"/>
          <w:szCs w:val="18"/>
          <w:color w:val="262626"/>
        </w:rPr>
        <w:t xml:space="preserve"> other </w:t>
      </w:r>
      <w:r>
        <w:rPr>
          <w:rFonts w:ascii="Arial" w:cs="Arial" w:eastAsia="Arial" w:hAnsi="Arial"/>
          <w:sz w:val="18"/>
          <w:szCs w:val="18"/>
          <w:color w:val="1A1A1A"/>
        </w:rPr>
        <w:t>Information</w:t>
      </w:r>
      <w:r>
        <w:rPr>
          <w:rFonts w:ascii="Arial" w:cs="Arial" w:eastAsia="Arial" w:hAnsi="Arial"/>
          <w:sz w:val="18"/>
          <w:szCs w:val="18"/>
          <w:color w:val="262626"/>
        </w:rPr>
        <w:t xml:space="preserve"> </w:t>
      </w:r>
      <w:r>
        <w:rPr>
          <w:rFonts w:ascii="Arial" w:cs="Arial" w:eastAsia="Arial" w:hAnsi="Arial"/>
          <w:sz w:val="18"/>
          <w:szCs w:val="18"/>
          <w:color w:val="1F1F1F"/>
        </w:rPr>
        <w:t>or documents</w:t>
      </w:r>
      <w:r>
        <w:rPr>
          <w:rFonts w:ascii="Arial" w:cs="Arial" w:eastAsia="Arial" w:hAnsi="Arial"/>
          <w:sz w:val="18"/>
          <w:szCs w:val="18"/>
          <w:color w:val="262626"/>
        </w:rPr>
        <w:t xml:space="preserve"> to be </w:t>
      </w:r>
      <w:r>
        <w:rPr>
          <w:rFonts w:ascii="Arial" w:cs="Arial" w:eastAsia="Arial" w:hAnsi="Arial"/>
          <w:sz w:val="18"/>
          <w:szCs w:val="18"/>
          <w:color w:val="282828"/>
        </w:rPr>
        <w:t>waived.</w:t>
      </w:r>
    </w:p>
    <w:p>
      <w:pPr>
        <w:spacing w:after="0" w:line="161" w:lineRule="exact"/>
        <w:rPr>
          <w:sz w:val="20"/>
          <w:szCs w:val="20"/>
          <w:color w:val="auto"/>
        </w:rPr>
      </w:pPr>
    </w:p>
    <w:p>
      <w:pPr>
        <w:ind w:left="660" w:hanging="652"/>
        <w:spacing w:after="0"/>
        <w:tabs>
          <w:tab w:leader="none" w:pos="660" w:val="left"/>
        </w:tabs>
        <w:numPr>
          <w:ilvl w:val="0"/>
          <w:numId w:val="199"/>
        </w:numPr>
        <w:rPr>
          <w:rFonts w:ascii="Arial" w:cs="Arial" w:eastAsia="Arial" w:hAnsi="Arial"/>
          <w:sz w:val="18"/>
          <w:szCs w:val="18"/>
          <w:b w:val="1"/>
          <w:bCs w:val="1"/>
          <w:color w:val="2B2B2B"/>
        </w:rPr>
      </w:pPr>
      <w:r>
        <w:rPr>
          <w:rFonts w:ascii="Arial" w:cs="Arial" w:eastAsia="Arial" w:hAnsi="Arial"/>
          <w:sz w:val="18"/>
          <w:szCs w:val="18"/>
          <w:b w:val="1"/>
          <w:bCs w:val="1"/>
          <w:color w:val="262626"/>
        </w:rPr>
        <w:t xml:space="preserve">Company </w:t>
      </w:r>
      <w:r>
        <w:rPr>
          <w:rFonts w:ascii="Arial" w:cs="Arial" w:eastAsia="Arial" w:hAnsi="Arial"/>
          <w:sz w:val="18"/>
          <w:szCs w:val="18"/>
          <w:b w:val="1"/>
          <w:bCs w:val="1"/>
          <w:color w:val="282828"/>
        </w:rPr>
        <w:t>can</w:t>
      </w:r>
      <w:r>
        <w:rPr>
          <w:rFonts w:ascii="Arial" w:cs="Arial" w:eastAsia="Arial" w:hAnsi="Arial"/>
          <w:sz w:val="18"/>
          <w:szCs w:val="18"/>
          <w:b w:val="1"/>
          <w:bCs w:val="1"/>
          <w:color w:val="262626"/>
        </w:rPr>
        <w:t xml:space="preserve"> </w:t>
      </w:r>
      <w:r>
        <w:rPr>
          <w:rFonts w:ascii="Arial" w:cs="Arial" w:eastAsia="Arial" w:hAnsi="Arial"/>
          <w:sz w:val="18"/>
          <w:szCs w:val="18"/>
          <w:b w:val="1"/>
          <w:bCs w:val="1"/>
          <w:color w:val="242424"/>
        </w:rPr>
        <w:t>act</w:t>
      </w:r>
      <w:r>
        <w:rPr>
          <w:rFonts w:ascii="Arial" w:cs="Arial" w:eastAsia="Arial" w:hAnsi="Arial"/>
          <w:sz w:val="18"/>
          <w:szCs w:val="18"/>
          <w:b w:val="1"/>
          <w:bCs w:val="1"/>
          <w:color w:val="262626"/>
        </w:rPr>
        <w:t xml:space="preserve"> </w:t>
      </w:r>
      <w:r>
        <w:rPr>
          <w:rFonts w:ascii="Arial" w:cs="Arial" w:eastAsia="Arial" w:hAnsi="Arial"/>
          <w:sz w:val="18"/>
          <w:szCs w:val="18"/>
          <w:b w:val="1"/>
          <w:bCs w:val="1"/>
          <w:color w:val="2D2D2D"/>
        </w:rPr>
        <w:t>through</w:t>
      </w:r>
      <w:r>
        <w:rPr>
          <w:rFonts w:ascii="Arial" w:cs="Arial" w:eastAsia="Arial" w:hAnsi="Arial"/>
          <w:sz w:val="18"/>
          <w:szCs w:val="18"/>
          <w:b w:val="1"/>
          <w:bCs w:val="1"/>
          <w:color w:val="262626"/>
        </w:rPr>
        <w:t xml:space="preserve"> </w:t>
      </w:r>
      <w:r>
        <w:rPr>
          <w:rFonts w:ascii="Arial" w:cs="Arial" w:eastAsia="Arial" w:hAnsi="Arial"/>
          <w:sz w:val="18"/>
          <w:szCs w:val="18"/>
          <w:b w:val="1"/>
          <w:bCs w:val="1"/>
          <w:color w:val="282828"/>
        </w:rPr>
        <w:t>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left="660" w:right="180"/>
        <w:spacing w:after="0"/>
        <w:rPr>
          <w:sz w:val="20"/>
          <w:szCs w:val="20"/>
          <w:color w:val="auto"/>
        </w:rPr>
      </w:pPr>
      <w:r>
        <w:rPr>
          <w:rFonts w:ascii="Arial" w:cs="Arial" w:eastAsia="Arial" w:hAnsi="Arial"/>
          <w:sz w:val="18"/>
          <w:szCs w:val="18"/>
          <w:color w:val="242424"/>
        </w:rPr>
        <w:t xml:space="preserve">The </w:t>
      </w:r>
      <w:r>
        <w:rPr>
          <w:rFonts w:ascii="Arial" w:cs="Arial" w:eastAsia="Arial" w:hAnsi="Arial"/>
          <w:sz w:val="18"/>
          <w:szCs w:val="18"/>
          <w:color w:val="1C1C1C"/>
        </w:rPr>
        <w:t>parties</w:t>
      </w:r>
      <w:r>
        <w:rPr>
          <w:rFonts w:ascii="Arial" w:cs="Arial" w:eastAsia="Arial" w:hAnsi="Arial"/>
          <w:sz w:val="18"/>
          <w:szCs w:val="18"/>
          <w:color w:val="242424"/>
        </w:rPr>
        <w:t xml:space="preserve"> agree </w:t>
      </w:r>
      <w:r>
        <w:rPr>
          <w:rFonts w:ascii="Arial" w:cs="Arial" w:eastAsia="Arial" w:hAnsi="Arial"/>
          <w:sz w:val="18"/>
          <w:szCs w:val="18"/>
          <w:color w:val="1C1C1C"/>
        </w:rPr>
        <w:t>that</w:t>
      </w:r>
      <w:r>
        <w:rPr>
          <w:rFonts w:ascii="Arial" w:cs="Arial" w:eastAsia="Arial" w:hAnsi="Arial"/>
          <w:sz w:val="18"/>
          <w:szCs w:val="18"/>
          <w:color w:val="242424"/>
        </w:rPr>
        <w:t xml:space="preserve"> </w:t>
      </w:r>
      <w:r>
        <w:rPr>
          <w:rFonts w:ascii="Arial" w:cs="Arial" w:eastAsia="Arial" w:hAnsi="Arial"/>
          <w:sz w:val="18"/>
          <w:szCs w:val="18"/>
          <w:color w:val="262626"/>
        </w:rPr>
        <w:t>if,</w:t>
      </w:r>
      <w:r>
        <w:rPr>
          <w:rFonts w:ascii="Arial" w:cs="Arial" w:eastAsia="Arial" w:hAnsi="Arial"/>
          <w:sz w:val="18"/>
          <w:szCs w:val="18"/>
          <w:color w:val="242424"/>
        </w:rPr>
        <w:t xml:space="preserve"> </w:t>
      </w:r>
      <w:r>
        <w:rPr>
          <w:rFonts w:ascii="Arial" w:cs="Arial" w:eastAsia="Arial" w:hAnsi="Arial"/>
          <w:sz w:val="18"/>
          <w:szCs w:val="18"/>
          <w:color w:val="282828"/>
        </w:rPr>
        <w:t>at</w:t>
      </w:r>
      <w:r>
        <w:rPr>
          <w:rFonts w:ascii="Arial" w:cs="Arial" w:eastAsia="Arial" w:hAnsi="Arial"/>
          <w:sz w:val="18"/>
          <w:szCs w:val="18"/>
          <w:color w:val="242424"/>
        </w:rPr>
        <w:t xml:space="preserve"> </w:t>
      </w:r>
      <w:r>
        <w:rPr>
          <w:rFonts w:ascii="Arial" w:cs="Arial" w:eastAsia="Arial" w:hAnsi="Arial"/>
          <w:sz w:val="18"/>
          <w:szCs w:val="18"/>
          <w:color w:val="262626"/>
        </w:rPr>
        <w:t>any</w:t>
      </w:r>
      <w:r>
        <w:rPr>
          <w:rFonts w:ascii="Arial" w:cs="Arial" w:eastAsia="Arial" w:hAnsi="Arial"/>
          <w:sz w:val="18"/>
          <w:szCs w:val="18"/>
          <w:color w:val="242424"/>
        </w:rPr>
        <w:t xml:space="preserve"> time, </w:t>
      </w:r>
      <w:r>
        <w:rPr>
          <w:rFonts w:ascii="Arial" w:cs="Arial" w:eastAsia="Arial" w:hAnsi="Arial"/>
          <w:sz w:val="18"/>
          <w:szCs w:val="18"/>
          <w:color w:val="232323"/>
        </w:rPr>
        <w:t>the</w:t>
      </w:r>
      <w:r>
        <w:rPr>
          <w:rFonts w:ascii="Arial" w:cs="Arial" w:eastAsia="Arial" w:hAnsi="Arial"/>
          <w:sz w:val="18"/>
          <w:szCs w:val="18"/>
          <w:color w:val="242424"/>
        </w:rPr>
        <w:t xml:space="preserve"> </w:t>
      </w:r>
      <w:r>
        <w:rPr>
          <w:rFonts w:ascii="Arial" w:cs="Arial" w:eastAsia="Arial" w:hAnsi="Arial"/>
          <w:sz w:val="18"/>
          <w:szCs w:val="18"/>
          <w:color w:val="262626"/>
        </w:rPr>
        <w:t>Company</w:t>
      </w:r>
      <w:r>
        <w:rPr>
          <w:rFonts w:ascii="Arial" w:cs="Arial" w:eastAsia="Arial" w:hAnsi="Arial"/>
          <w:sz w:val="18"/>
          <w:szCs w:val="18"/>
          <w:color w:val="242424"/>
        </w:rPr>
        <w:t xml:space="preserve"> is </w:t>
      </w:r>
      <w:r>
        <w:rPr>
          <w:rFonts w:ascii="Arial" w:cs="Arial" w:eastAsia="Arial" w:hAnsi="Arial"/>
          <w:sz w:val="18"/>
          <w:szCs w:val="18"/>
          <w:color w:val="232323"/>
        </w:rPr>
        <w:t>required</w:t>
      </w:r>
      <w:r>
        <w:rPr>
          <w:rFonts w:ascii="Arial" w:cs="Arial" w:eastAsia="Arial" w:hAnsi="Arial"/>
          <w:sz w:val="18"/>
          <w:szCs w:val="18"/>
          <w:color w:val="242424"/>
        </w:rPr>
        <w:t xml:space="preserve"> </w:t>
      </w:r>
      <w:r>
        <w:rPr>
          <w:rFonts w:ascii="Arial" w:cs="Arial" w:eastAsia="Arial" w:hAnsi="Arial"/>
          <w:sz w:val="18"/>
          <w:szCs w:val="18"/>
          <w:color w:val="2D2D2D"/>
        </w:rPr>
        <w:t>to</w:t>
      </w:r>
      <w:r>
        <w:rPr>
          <w:rFonts w:ascii="Arial" w:cs="Arial" w:eastAsia="Arial" w:hAnsi="Arial"/>
          <w:sz w:val="18"/>
          <w:szCs w:val="18"/>
          <w:color w:val="242424"/>
        </w:rPr>
        <w:t xml:space="preserve"> </w:t>
      </w:r>
      <w:r>
        <w:rPr>
          <w:rFonts w:ascii="Arial" w:cs="Arial" w:eastAsia="Arial" w:hAnsi="Arial"/>
          <w:sz w:val="18"/>
          <w:szCs w:val="18"/>
          <w:color w:val="212121"/>
        </w:rPr>
        <w:t>make</w:t>
      </w:r>
      <w:r>
        <w:rPr>
          <w:rFonts w:ascii="Arial" w:cs="Arial" w:eastAsia="Arial" w:hAnsi="Arial"/>
          <w:sz w:val="18"/>
          <w:szCs w:val="18"/>
          <w:color w:val="242424"/>
        </w:rPr>
        <w:t xml:space="preserve"> </w:t>
      </w:r>
      <w:r>
        <w:rPr>
          <w:rFonts w:ascii="Arial" w:cs="Arial" w:eastAsia="Arial" w:hAnsi="Arial"/>
          <w:sz w:val="18"/>
          <w:szCs w:val="18"/>
          <w:color w:val="282828"/>
        </w:rPr>
        <w:t>a</w:t>
      </w:r>
      <w:r>
        <w:rPr>
          <w:rFonts w:ascii="Arial" w:cs="Arial" w:eastAsia="Arial" w:hAnsi="Arial"/>
          <w:sz w:val="18"/>
          <w:szCs w:val="18"/>
          <w:color w:val="242424"/>
        </w:rPr>
        <w:t xml:space="preserve"> </w:t>
      </w:r>
      <w:r>
        <w:rPr>
          <w:rFonts w:ascii="Arial" w:cs="Arial" w:eastAsia="Arial" w:hAnsi="Arial"/>
          <w:sz w:val="18"/>
          <w:szCs w:val="18"/>
          <w:color w:val="262626"/>
        </w:rPr>
        <w:t>payment,</w:t>
      </w:r>
      <w:r>
        <w:rPr>
          <w:rFonts w:ascii="Arial" w:cs="Arial" w:eastAsia="Arial" w:hAnsi="Arial"/>
          <w:sz w:val="18"/>
          <w:szCs w:val="18"/>
          <w:color w:val="242424"/>
        </w:rPr>
        <w:t xml:space="preserve"> </w:t>
      </w:r>
      <w:r>
        <w:rPr>
          <w:rFonts w:ascii="Arial" w:cs="Arial" w:eastAsia="Arial" w:hAnsi="Arial"/>
          <w:sz w:val="18"/>
          <w:szCs w:val="18"/>
          <w:color w:val="282828"/>
        </w:rPr>
        <w:t>satisfy</w:t>
      </w:r>
      <w:r>
        <w:rPr>
          <w:rFonts w:ascii="Arial" w:cs="Arial" w:eastAsia="Arial" w:hAnsi="Arial"/>
          <w:sz w:val="18"/>
          <w:szCs w:val="18"/>
          <w:color w:val="242424"/>
        </w:rPr>
        <w:t xml:space="preserve"> </w:t>
      </w:r>
      <w:r>
        <w:rPr>
          <w:rFonts w:ascii="Arial" w:cs="Arial" w:eastAsia="Arial" w:hAnsi="Arial"/>
          <w:sz w:val="18"/>
          <w:szCs w:val="18"/>
          <w:color w:val="2B2B2B"/>
        </w:rPr>
        <w:t>an</w:t>
      </w:r>
      <w:r>
        <w:rPr>
          <w:rFonts w:ascii="Arial" w:cs="Arial" w:eastAsia="Arial" w:hAnsi="Arial"/>
          <w:sz w:val="18"/>
          <w:szCs w:val="18"/>
          <w:color w:val="242424"/>
        </w:rPr>
        <w:t xml:space="preserve"> </w:t>
      </w:r>
      <w:r>
        <w:rPr>
          <w:rFonts w:ascii="Arial" w:cs="Arial" w:eastAsia="Arial" w:hAnsi="Arial"/>
          <w:sz w:val="18"/>
          <w:szCs w:val="18"/>
          <w:color w:val="1C1C1C"/>
        </w:rPr>
        <w:t>obligation</w:t>
      </w:r>
      <w:r>
        <w:rPr>
          <w:rFonts w:ascii="Arial" w:cs="Arial" w:eastAsia="Arial" w:hAnsi="Arial"/>
          <w:sz w:val="18"/>
          <w:szCs w:val="18"/>
          <w:color w:val="242424"/>
        </w:rPr>
        <w:t xml:space="preserve"> </w:t>
      </w:r>
      <w:r>
        <w:rPr>
          <w:rFonts w:ascii="Arial" w:cs="Arial" w:eastAsia="Arial" w:hAnsi="Arial"/>
          <w:sz w:val="18"/>
          <w:szCs w:val="18"/>
          <w:color w:val="282828"/>
        </w:rPr>
        <w:t>or</w:t>
      </w:r>
      <w:r>
        <w:rPr>
          <w:rFonts w:ascii="Arial" w:cs="Arial" w:eastAsia="Arial" w:hAnsi="Arial"/>
          <w:sz w:val="18"/>
          <w:szCs w:val="18"/>
          <w:color w:val="242424"/>
        </w:rPr>
        <w:t xml:space="preserve"> </w:t>
      </w:r>
      <w:r>
        <w:rPr>
          <w:rFonts w:ascii="Arial" w:cs="Arial" w:eastAsia="Arial" w:hAnsi="Arial"/>
          <w:sz w:val="18"/>
          <w:szCs w:val="18"/>
          <w:color w:val="262626"/>
        </w:rPr>
        <w:t>do</w:t>
      </w:r>
      <w:r>
        <w:rPr>
          <w:rFonts w:ascii="Arial" w:cs="Arial" w:eastAsia="Arial" w:hAnsi="Arial"/>
          <w:sz w:val="18"/>
          <w:szCs w:val="18"/>
          <w:color w:val="242424"/>
        </w:rPr>
        <w:t xml:space="preserve"> </w:t>
      </w:r>
      <w:r>
        <w:rPr>
          <w:rFonts w:ascii="Arial" w:cs="Arial" w:eastAsia="Arial" w:hAnsi="Arial"/>
          <w:sz w:val="18"/>
          <w:szCs w:val="18"/>
          <w:color w:val="1D1D1D"/>
        </w:rPr>
        <w:t>any</w:t>
      </w:r>
      <w:r>
        <w:rPr>
          <w:rFonts w:ascii="Arial" w:cs="Arial" w:eastAsia="Arial" w:hAnsi="Arial"/>
          <w:sz w:val="18"/>
          <w:szCs w:val="18"/>
          <w:color w:val="242424"/>
        </w:rPr>
        <w:t xml:space="preserve"> </w:t>
      </w:r>
      <w:r>
        <w:rPr>
          <w:rFonts w:ascii="Arial" w:cs="Arial" w:eastAsia="Arial" w:hAnsi="Arial"/>
          <w:sz w:val="18"/>
          <w:szCs w:val="18"/>
          <w:color w:val="232323"/>
        </w:rPr>
        <w:t>other</w:t>
      </w:r>
      <w:r>
        <w:rPr>
          <w:rFonts w:ascii="Arial" w:cs="Arial" w:eastAsia="Arial" w:hAnsi="Arial"/>
          <w:sz w:val="18"/>
          <w:szCs w:val="18"/>
          <w:color w:val="242424"/>
        </w:rPr>
        <w:t xml:space="preserve"> </w:t>
      </w:r>
      <w:r>
        <w:rPr>
          <w:rFonts w:ascii="Arial" w:cs="Arial" w:eastAsia="Arial" w:hAnsi="Arial"/>
          <w:sz w:val="18"/>
          <w:szCs w:val="18"/>
          <w:color w:val="262626"/>
        </w:rPr>
        <w:t>thing under</w:t>
      </w:r>
      <w:r>
        <w:rPr>
          <w:rFonts w:ascii="Arial" w:cs="Arial" w:eastAsia="Arial" w:hAnsi="Arial"/>
          <w:sz w:val="18"/>
          <w:szCs w:val="18"/>
          <w:color w:val="242424"/>
        </w:rPr>
        <w:t xml:space="preserve"> </w:t>
      </w:r>
      <w:r>
        <w:rPr>
          <w:rFonts w:ascii="Arial" w:cs="Arial" w:eastAsia="Arial" w:hAnsi="Arial"/>
          <w:sz w:val="18"/>
          <w:szCs w:val="18"/>
          <w:color w:val="262626"/>
        </w:rPr>
        <w:t xml:space="preserve">this </w:t>
      </w:r>
      <w:r>
        <w:rPr>
          <w:rFonts w:ascii="Arial" w:cs="Arial" w:eastAsia="Arial" w:hAnsi="Arial"/>
          <w:sz w:val="18"/>
          <w:szCs w:val="18"/>
          <w:color w:val="232323"/>
        </w:rPr>
        <w:t>document,</w:t>
      </w:r>
      <w:r>
        <w:rPr>
          <w:rFonts w:ascii="Arial" w:cs="Arial" w:eastAsia="Arial" w:hAnsi="Arial"/>
          <w:sz w:val="18"/>
          <w:szCs w:val="18"/>
          <w:color w:val="262626"/>
        </w:rPr>
        <w:t xml:space="preserve"> the Company </w:t>
      </w:r>
      <w:r>
        <w:rPr>
          <w:rFonts w:ascii="Arial" w:cs="Arial" w:eastAsia="Arial" w:hAnsi="Arial"/>
          <w:sz w:val="18"/>
          <w:szCs w:val="18"/>
          <w:color w:val="242424"/>
        </w:rPr>
        <w:t>may</w:t>
      </w:r>
      <w:r>
        <w:rPr>
          <w:rFonts w:ascii="Arial" w:cs="Arial" w:eastAsia="Arial" w:hAnsi="Arial"/>
          <w:sz w:val="18"/>
          <w:szCs w:val="18"/>
          <w:color w:val="262626"/>
        </w:rPr>
        <w:t xml:space="preserve"> </w:t>
      </w:r>
      <w:r>
        <w:rPr>
          <w:rFonts w:ascii="Arial" w:cs="Arial" w:eastAsia="Arial" w:hAnsi="Arial"/>
          <w:sz w:val="18"/>
          <w:szCs w:val="18"/>
          <w:color w:val="1F1F1F"/>
        </w:rPr>
        <w:t>make</w:t>
      </w:r>
      <w:r>
        <w:rPr>
          <w:rFonts w:ascii="Arial" w:cs="Arial" w:eastAsia="Arial" w:hAnsi="Arial"/>
          <w:sz w:val="18"/>
          <w:szCs w:val="18"/>
          <w:color w:val="262626"/>
        </w:rPr>
        <w:t xml:space="preserve"> </w:t>
      </w:r>
      <w:r>
        <w:rPr>
          <w:rFonts w:ascii="Arial" w:cs="Arial" w:eastAsia="Arial" w:hAnsi="Arial"/>
          <w:sz w:val="18"/>
          <w:szCs w:val="18"/>
          <w:color w:val="232323"/>
        </w:rPr>
        <w:t>that</w:t>
      </w:r>
      <w:r>
        <w:rPr>
          <w:rFonts w:ascii="Arial" w:cs="Arial" w:eastAsia="Arial" w:hAnsi="Arial"/>
          <w:sz w:val="18"/>
          <w:szCs w:val="18"/>
          <w:color w:val="262626"/>
        </w:rPr>
        <w:t xml:space="preserve"> </w:t>
      </w:r>
      <w:r>
        <w:rPr>
          <w:rFonts w:ascii="Arial" w:cs="Arial" w:eastAsia="Arial" w:hAnsi="Arial"/>
          <w:sz w:val="18"/>
          <w:szCs w:val="18"/>
          <w:color w:val="1C1C1C"/>
        </w:rPr>
        <w:t>payment,</w:t>
      </w:r>
      <w:r>
        <w:rPr>
          <w:rFonts w:ascii="Arial" w:cs="Arial" w:eastAsia="Arial" w:hAnsi="Arial"/>
          <w:sz w:val="18"/>
          <w:szCs w:val="18"/>
          <w:color w:val="262626"/>
        </w:rPr>
        <w:t xml:space="preserve"> </w:t>
      </w:r>
      <w:r>
        <w:rPr>
          <w:rFonts w:ascii="Arial" w:cs="Arial" w:eastAsia="Arial" w:hAnsi="Arial"/>
          <w:sz w:val="18"/>
          <w:szCs w:val="18"/>
          <w:color w:val="232323"/>
        </w:rPr>
        <w:t>satisfy that</w:t>
      </w:r>
      <w:r>
        <w:rPr>
          <w:rFonts w:ascii="Arial" w:cs="Arial" w:eastAsia="Arial" w:hAnsi="Arial"/>
          <w:sz w:val="18"/>
          <w:szCs w:val="18"/>
          <w:color w:val="262626"/>
        </w:rPr>
        <w:t xml:space="preserve"> </w:t>
      </w:r>
      <w:r>
        <w:rPr>
          <w:rFonts w:ascii="Arial" w:cs="Arial" w:eastAsia="Arial" w:hAnsi="Arial"/>
          <w:sz w:val="18"/>
          <w:szCs w:val="18"/>
          <w:color w:val="1A1A1A"/>
        </w:rPr>
        <w:t>obligation</w:t>
      </w:r>
      <w:r>
        <w:rPr>
          <w:rFonts w:ascii="Arial" w:cs="Arial" w:eastAsia="Arial" w:hAnsi="Arial"/>
          <w:sz w:val="18"/>
          <w:szCs w:val="18"/>
          <w:color w:val="262626"/>
        </w:rPr>
        <w:t xml:space="preserve"> </w:t>
      </w:r>
      <w:r>
        <w:rPr>
          <w:rFonts w:ascii="Arial" w:cs="Arial" w:eastAsia="Arial" w:hAnsi="Arial"/>
          <w:sz w:val="18"/>
          <w:szCs w:val="18"/>
          <w:color w:val="212121"/>
        </w:rPr>
        <w:t>or</w:t>
      </w:r>
      <w:r>
        <w:rPr>
          <w:rFonts w:ascii="Arial" w:cs="Arial" w:eastAsia="Arial" w:hAnsi="Arial"/>
          <w:sz w:val="18"/>
          <w:szCs w:val="18"/>
          <w:color w:val="262626"/>
        </w:rPr>
        <w:t xml:space="preserve"> </w:t>
      </w:r>
      <w:r>
        <w:rPr>
          <w:rFonts w:ascii="Arial" w:cs="Arial" w:eastAsia="Arial" w:hAnsi="Arial"/>
          <w:sz w:val="18"/>
          <w:szCs w:val="18"/>
          <w:color w:val="2A2A2A"/>
        </w:rPr>
        <w:t>do</w:t>
      </w:r>
      <w:r>
        <w:rPr>
          <w:rFonts w:ascii="Arial" w:cs="Arial" w:eastAsia="Arial" w:hAnsi="Arial"/>
          <w:sz w:val="18"/>
          <w:szCs w:val="18"/>
          <w:color w:val="262626"/>
        </w:rPr>
        <w:t xml:space="preserve"> </w:t>
      </w:r>
      <w:r>
        <w:rPr>
          <w:rFonts w:ascii="Arial" w:cs="Arial" w:eastAsia="Arial" w:hAnsi="Arial"/>
          <w:sz w:val="18"/>
          <w:szCs w:val="18"/>
          <w:color w:val="282828"/>
        </w:rPr>
        <w:t>that other</w:t>
      </w:r>
      <w:r>
        <w:rPr>
          <w:rFonts w:ascii="Arial" w:cs="Arial" w:eastAsia="Arial" w:hAnsi="Arial"/>
          <w:sz w:val="18"/>
          <w:szCs w:val="18"/>
          <w:color w:val="262626"/>
        </w:rPr>
        <w:t xml:space="preserve"> </w:t>
      </w:r>
      <w:r>
        <w:rPr>
          <w:rFonts w:ascii="Arial" w:cs="Arial" w:eastAsia="Arial" w:hAnsi="Arial"/>
          <w:sz w:val="18"/>
          <w:szCs w:val="18"/>
          <w:color w:val="1F1F1F"/>
        </w:rPr>
        <w:t>thing</w:t>
      </w:r>
      <w:r>
        <w:rPr>
          <w:rFonts w:ascii="Arial" w:cs="Arial" w:eastAsia="Arial" w:hAnsi="Arial"/>
          <w:sz w:val="18"/>
          <w:szCs w:val="18"/>
          <w:color w:val="262626"/>
        </w:rPr>
        <w:t xml:space="preserve"> </w:t>
      </w:r>
      <w:r>
        <w:rPr>
          <w:rFonts w:ascii="Arial" w:cs="Arial" w:eastAsia="Arial" w:hAnsi="Arial"/>
          <w:sz w:val="18"/>
          <w:szCs w:val="18"/>
          <w:color w:val="1A1A1A"/>
        </w:rPr>
        <w:t>itself</w:t>
      </w:r>
      <w:r>
        <w:rPr>
          <w:rFonts w:ascii="Arial" w:cs="Arial" w:eastAsia="Arial" w:hAnsi="Arial"/>
          <w:sz w:val="18"/>
          <w:szCs w:val="18"/>
          <w:color w:val="262626"/>
        </w:rPr>
        <w:t xml:space="preserve"> </w:t>
      </w:r>
      <w:r>
        <w:rPr>
          <w:rFonts w:ascii="Arial" w:cs="Arial" w:eastAsia="Arial" w:hAnsi="Arial"/>
          <w:sz w:val="18"/>
          <w:szCs w:val="18"/>
          <w:color w:val="2A2A2A"/>
        </w:rPr>
        <w:t>or</w:t>
      </w:r>
      <w:r>
        <w:rPr>
          <w:rFonts w:ascii="Arial" w:cs="Arial" w:eastAsia="Arial" w:hAnsi="Arial"/>
          <w:sz w:val="18"/>
          <w:szCs w:val="18"/>
          <w:color w:val="262626"/>
        </w:rPr>
        <w:t xml:space="preserve"> </w:t>
      </w:r>
      <w:r>
        <w:rPr>
          <w:rFonts w:ascii="Arial" w:cs="Arial" w:eastAsia="Arial" w:hAnsi="Arial"/>
          <w:sz w:val="18"/>
          <w:szCs w:val="18"/>
          <w:color w:val="1F1F1F"/>
        </w:rPr>
        <w:t>otherwise</w:t>
      </w:r>
      <w:r>
        <w:rPr>
          <w:rFonts w:ascii="Arial" w:cs="Arial" w:eastAsia="Arial" w:hAnsi="Arial"/>
          <w:sz w:val="18"/>
          <w:szCs w:val="18"/>
          <w:color w:val="262626"/>
        </w:rPr>
        <w:t xml:space="preserve"> </w:t>
      </w:r>
      <w:r>
        <w:rPr>
          <w:rFonts w:ascii="Arial" w:cs="Arial" w:eastAsia="Arial" w:hAnsi="Arial"/>
          <w:sz w:val="18"/>
          <w:szCs w:val="18"/>
          <w:color w:val="242424"/>
        </w:rPr>
        <w:t>get</w:t>
      </w:r>
      <w:r>
        <w:rPr>
          <w:rFonts w:ascii="Arial" w:cs="Arial" w:eastAsia="Arial" w:hAnsi="Arial"/>
          <w:sz w:val="18"/>
          <w:szCs w:val="18"/>
          <w:color w:val="262626"/>
        </w:rPr>
        <w:t xml:space="preserve"> </w:t>
      </w:r>
      <w:r>
        <w:rPr>
          <w:rFonts w:ascii="Arial" w:cs="Arial" w:eastAsia="Arial" w:hAnsi="Arial"/>
          <w:sz w:val="18"/>
          <w:szCs w:val="18"/>
          <w:color w:val="282828"/>
        </w:rPr>
        <w:t>one</w:t>
      </w:r>
      <w:r>
        <w:rPr>
          <w:rFonts w:ascii="Arial" w:cs="Arial" w:eastAsia="Arial" w:hAnsi="Arial"/>
          <w:sz w:val="18"/>
          <w:szCs w:val="18"/>
          <w:color w:val="262626"/>
        </w:rPr>
        <w:t xml:space="preserve"> of </w:t>
      </w:r>
      <w:r>
        <w:rPr>
          <w:rFonts w:ascii="Arial" w:cs="Arial" w:eastAsia="Arial" w:hAnsi="Arial"/>
          <w:sz w:val="18"/>
          <w:szCs w:val="18"/>
          <w:color w:val="212121"/>
        </w:rPr>
        <w:t>its</w:t>
      </w:r>
      <w:r>
        <w:rPr>
          <w:rFonts w:ascii="Arial" w:cs="Arial" w:eastAsia="Arial" w:hAnsi="Arial"/>
          <w:sz w:val="18"/>
          <w:szCs w:val="18"/>
          <w:color w:val="262626"/>
        </w:rPr>
        <w:t xml:space="preserve"> </w:t>
      </w:r>
      <w:r>
        <w:rPr>
          <w:rFonts w:ascii="Arial" w:cs="Arial" w:eastAsia="Arial" w:hAnsi="Arial"/>
          <w:sz w:val="18"/>
          <w:szCs w:val="18"/>
          <w:color w:val="232323"/>
        </w:rPr>
        <w:t xml:space="preserve">Subsidiaries </w:t>
      </w:r>
      <w:r>
        <w:rPr>
          <w:rFonts w:ascii="Arial" w:cs="Arial" w:eastAsia="Arial" w:hAnsi="Arial"/>
          <w:sz w:val="18"/>
          <w:szCs w:val="18"/>
          <w:color w:val="2F2F2F"/>
        </w:rPr>
        <w:t>to</w:t>
      </w:r>
      <w:r>
        <w:rPr>
          <w:rFonts w:ascii="Arial" w:cs="Arial" w:eastAsia="Arial" w:hAnsi="Arial"/>
          <w:sz w:val="18"/>
          <w:szCs w:val="18"/>
          <w:color w:val="232323"/>
        </w:rPr>
        <w:t xml:space="preserve"> </w:t>
      </w:r>
      <w:r>
        <w:rPr>
          <w:rFonts w:ascii="Arial" w:cs="Arial" w:eastAsia="Arial" w:hAnsi="Arial"/>
          <w:sz w:val="18"/>
          <w:szCs w:val="18"/>
          <w:color w:val="2B2B2B"/>
        </w:rPr>
        <w:t>do</w:t>
      </w:r>
      <w:r>
        <w:rPr>
          <w:rFonts w:ascii="Arial" w:cs="Arial" w:eastAsia="Arial" w:hAnsi="Arial"/>
          <w:sz w:val="18"/>
          <w:szCs w:val="18"/>
          <w:color w:val="232323"/>
        </w:rPr>
        <w:t xml:space="preserve"> </w:t>
      </w:r>
      <w:r>
        <w:rPr>
          <w:rFonts w:ascii="Arial" w:cs="Arial" w:eastAsia="Arial" w:hAnsi="Arial"/>
          <w:sz w:val="18"/>
          <w:szCs w:val="18"/>
          <w:color w:val="262626"/>
        </w:rPr>
        <w:t>so.</w:t>
      </w:r>
    </w:p>
    <w:p>
      <w:pPr>
        <w:spacing w:after="0" w:line="189" w:lineRule="exact"/>
        <w:rPr>
          <w:sz w:val="20"/>
          <w:szCs w:val="20"/>
          <w:color w:val="auto"/>
        </w:rPr>
      </w:pPr>
    </w:p>
    <w:p>
      <w:pPr>
        <w:spacing w:after="0"/>
        <w:tabs>
          <w:tab w:leader="none" w:pos="1340" w:val="left"/>
          <w:tab w:leader="none" w:pos="1680" w:val="left"/>
          <w:tab w:leader="none" w:pos="110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Deed of access, insurance and indemnity</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p>
      <w:pPr>
        <w:ind w:left="660" w:hanging="652"/>
        <w:spacing w:after="0"/>
        <w:tabs>
          <w:tab w:leader="none" w:pos="660" w:val="left"/>
        </w:tabs>
        <w:numPr>
          <w:ilvl w:val="0"/>
          <w:numId w:val="200"/>
        </w:numPr>
        <w:rPr>
          <w:rFonts w:ascii="Arial" w:cs="Arial" w:eastAsia="Arial" w:hAnsi="Arial"/>
          <w:sz w:val="18"/>
          <w:szCs w:val="18"/>
          <w:b w:val="1"/>
          <w:bCs w:val="1"/>
          <w:color w:val="2F2F2F"/>
        </w:rPr>
      </w:pPr>
      <w:r>
        <w:rPr>
          <w:rFonts w:ascii="Arial" w:cs="Arial" w:eastAsia="Arial" w:hAnsi="Arial"/>
          <w:sz w:val="18"/>
          <w:szCs w:val="18"/>
          <w:b w:val="1"/>
          <w:bCs w:val="1"/>
          <w:color w:val="212121"/>
        </w:rPr>
        <w:drawing>
          <wp:anchor simplePos="0" relativeHeight="251657728" behindDoc="1" locked="0" layoutInCell="0" allowOverlap="1">
            <wp:simplePos x="0" y="0"/>
            <wp:positionH relativeFrom="page">
              <wp:posOffset>5197475</wp:posOffset>
            </wp:positionH>
            <wp:positionV relativeFrom="page">
              <wp:posOffset>243205</wp:posOffset>
            </wp:positionV>
            <wp:extent cx="2143125" cy="3429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 xml:space="preserve">Held </w:t>
      </w:r>
      <w:r>
        <w:rPr>
          <w:rFonts w:ascii="Arial" w:cs="Arial" w:eastAsia="Arial" w:hAnsi="Arial"/>
          <w:sz w:val="18"/>
          <w:szCs w:val="18"/>
          <w:b w:val="1"/>
          <w:bCs w:val="1"/>
          <w:color w:val="232323"/>
        </w:rPr>
        <w:t>on</w:t>
      </w:r>
      <w:r>
        <w:rPr>
          <w:rFonts w:ascii="Arial" w:cs="Arial" w:eastAsia="Arial" w:hAnsi="Arial"/>
          <w:sz w:val="18"/>
          <w:szCs w:val="18"/>
          <w:b w:val="1"/>
          <w:bCs w:val="1"/>
          <w:color w:val="212121"/>
        </w:rPr>
        <w:t xml:space="preserve"> </w:t>
      </w:r>
      <w:r>
        <w:rPr>
          <w:rFonts w:ascii="Arial" w:cs="Arial" w:eastAsia="Arial" w:hAnsi="Arial"/>
          <w:sz w:val="18"/>
          <w:szCs w:val="18"/>
          <w:b w:val="1"/>
          <w:bCs w:val="1"/>
          <w:color w:val="1D1D1D"/>
        </w:rPr>
        <w:t>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left="660" w:right="320"/>
        <w:spacing w:after="0" w:line="271" w:lineRule="auto"/>
        <w:rPr>
          <w:sz w:val="20"/>
          <w:szCs w:val="20"/>
          <w:color w:val="auto"/>
        </w:rPr>
      </w:pPr>
      <w:r>
        <w:rPr>
          <w:rFonts w:ascii="Arial" w:cs="Arial" w:eastAsia="Arial" w:hAnsi="Arial"/>
          <w:sz w:val="18"/>
          <w:szCs w:val="18"/>
          <w:color w:val="212121"/>
        </w:rPr>
        <w:t xml:space="preserve">If a </w:t>
      </w:r>
      <w:r>
        <w:rPr>
          <w:rFonts w:ascii="Arial" w:cs="Arial" w:eastAsia="Arial" w:hAnsi="Arial"/>
          <w:sz w:val="18"/>
          <w:szCs w:val="18"/>
          <w:color w:val="151515"/>
        </w:rPr>
        <w:t>provision of</w:t>
      </w:r>
      <w:r>
        <w:rPr>
          <w:rFonts w:ascii="Arial" w:cs="Arial" w:eastAsia="Arial" w:hAnsi="Arial"/>
          <w:sz w:val="18"/>
          <w:szCs w:val="18"/>
          <w:color w:val="212121"/>
        </w:rPr>
        <w:t xml:space="preserve"> </w:t>
      </w:r>
      <w:r>
        <w:rPr>
          <w:rFonts w:ascii="Arial" w:cs="Arial" w:eastAsia="Arial" w:hAnsi="Arial"/>
          <w:sz w:val="18"/>
          <w:szCs w:val="18"/>
          <w:color w:val="1F1F1F"/>
        </w:rPr>
        <w:t>this</w:t>
      </w:r>
      <w:r>
        <w:rPr>
          <w:rFonts w:ascii="Arial" w:cs="Arial" w:eastAsia="Arial" w:hAnsi="Arial"/>
          <w:sz w:val="18"/>
          <w:szCs w:val="18"/>
          <w:color w:val="212121"/>
        </w:rPr>
        <w:t xml:space="preserve"> </w:t>
      </w:r>
      <w:r>
        <w:rPr>
          <w:rFonts w:ascii="Arial" w:cs="Arial" w:eastAsia="Arial" w:hAnsi="Arial"/>
          <w:sz w:val="18"/>
          <w:szCs w:val="18"/>
          <w:color w:val="131313"/>
        </w:rPr>
        <w:t>document</w:t>
      </w:r>
      <w:r>
        <w:rPr>
          <w:rFonts w:ascii="Arial" w:cs="Arial" w:eastAsia="Arial" w:hAnsi="Arial"/>
          <w:sz w:val="18"/>
          <w:szCs w:val="18"/>
          <w:color w:val="212121"/>
        </w:rPr>
        <w:t xml:space="preserve"> </w:t>
      </w:r>
      <w:r>
        <w:rPr>
          <w:rFonts w:ascii="Arial" w:cs="Arial" w:eastAsia="Arial" w:hAnsi="Arial"/>
          <w:sz w:val="18"/>
          <w:szCs w:val="18"/>
          <w:color w:val="232323"/>
        </w:rPr>
        <w:t>is</w:t>
      </w:r>
      <w:r>
        <w:rPr>
          <w:rFonts w:ascii="Arial" w:cs="Arial" w:eastAsia="Arial" w:hAnsi="Arial"/>
          <w:sz w:val="18"/>
          <w:szCs w:val="18"/>
          <w:color w:val="212121"/>
        </w:rPr>
        <w:t xml:space="preserve"> </w:t>
      </w:r>
      <w:r>
        <w:rPr>
          <w:rFonts w:ascii="Arial" w:cs="Arial" w:eastAsia="Arial" w:hAnsi="Arial"/>
          <w:sz w:val="18"/>
          <w:szCs w:val="18"/>
          <w:color w:val="111111"/>
        </w:rPr>
        <w:t>expressed</w:t>
      </w:r>
      <w:r>
        <w:rPr>
          <w:rFonts w:ascii="Arial" w:cs="Arial" w:eastAsia="Arial" w:hAnsi="Arial"/>
          <w:sz w:val="18"/>
          <w:szCs w:val="18"/>
          <w:color w:val="212121"/>
        </w:rPr>
        <w:t xml:space="preserve"> </w:t>
      </w:r>
      <w:r>
        <w:rPr>
          <w:rFonts w:ascii="Arial" w:cs="Arial" w:eastAsia="Arial" w:hAnsi="Arial"/>
          <w:sz w:val="18"/>
          <w:szCs w:val="18"/>
          <w:color w:val="242424"/>
        </w:rPr>
        <w:t>to</w:t>
      </w:r>
      <w:r>
        <w:rPr>
          <w:rFonts w:ascii="Arial" w:cs="Arial" w:eastAsia="Arial" w:hAnsi="Arial"/>
          <w:sz w:val="18"/>
          <w:szCs w:val="18"/>
          <w:color w:val="212121"/>
        </w:rPr>
        <w:t xml:space="preserve"> </w:t>
      </w:r>
      <w:r>
        <w:rPr>
          <w:rFonts w:ascii="Arial" w:cs="Arial" w:eastAsia="Arial" w:hAnsi="Arial"/>
          <w:sz w:val="18"/>
          <w:szCs w:val="18"/>
          <w:color w:val="000000"/>
        </w:rPr>
        <w:t>be</w:t>
      </w:r>
      <w:r>
        <w:rPr>
          <w:rFonts w:ascii="Arial" w:cs="Arial" w:eastAsia="Arial" w:hAnsi="Arial"/>
          <w:sz w:val="18"/>
          <w:szCs w:val="18"/>
          <w:color w:val="212121"/>
        </w:rPr>
        <w:t xml:space="preserve"> </w:t>
      </w:r>
      <w:r>
        <w:rPr>
          <w:rFonts w:ascii="Arial" w:cs="Arial" w:eastAsia="Arial" w:hAnsi="Arial"/>
          <w:sz w:val="18"/>
          <w:szCs w:val="18"/>
          <w:color w:val="151515"/>
        </w:rPr>
        <w:t>for</w:t>
      </w:r>
      <w:r>
        <w:rPr>
          <w:rFonts w:ascii="Arial" w:cs="Arial" w:eastAsia="Arial" w:hAnsi="Arial"/>
          <w:sz w:val="18"/>
          <w:szCs w:val="18"/>
          <w:color w:val="212121"/>
        </w:rPr>
        <w:t xml:space="preserve"> the </w:t>
      </w:r>
      <w:r>
        <w:rPr>
          <w:rFonts w:ascii="Arial" w:cs="Arial" w:eastAsia="Arial" w:hAnsi="Arial"/>
          <w:sz w:val="18"/>
          <w:szCs w:val="18"/>
          <w:color w:val="1D1D1D"/>
        </w:rPr>
        <w:t>benefit</w:t>
      </w:r>
      <w:r>
        <w:rPr>
          <w:rFonts w:ascii="Arial" w:cs="Arial" w:eastAsia="Arial" w:hAnsi="Arial"/>
          <w:sz w:val="18"/>
          <w:szCs w:val="18"/>
          <w:color w:val="212121"/>
        </w:rPr>
        <w:t xml:space="preserve"> </w:t>
      </w:r>
      <w:r>
        <w:rPr>
          <w:rFonts w:ascii="Arial" w:cs="Arial" w:eastAsia="Arial" w:hAnsi="Arial"/>
          <w:sz w:val="18"/>
          <w:szCs w:val="18"/>
          <w:color w:val="1C1C1C"/>
        </w:rPr>
        <w:t>of</w:t>
      </w:r>
      <w:r>
        <w:rPr>
          <w:rFonts w:ascii="Arial" w:cs="Arial" w:eastAsia="Arial" w:hAnsi="Arial"/>
          <w:sz w:val="18"/>
          <w:szCs w:val="18"/>
          <w:color w:val="212121"/>
        </w:rPr>
        <w:t xml:space="preserve"> </w:t>
      </w:r>
      <w:r>
        <w:rPr>
          <w:rFonts w:ascii="Arial" w:cs="Arial" w:eastAsia="Arial" w:hAnsi="Arial"/>
          <w:sz w:val="18"/>
          <w:szCs w:val="18"/>
          <w:color w:val="282828"/>
        </w:rPr>
        <w:t>a</w:t>
      </w:r>
      <w:r>
        <w:rPr>
          <w:rFonts w:ascii="Arial" w:cs="Arial" w:eastAsia="Arial" w:hAnsi="Arial"/>
          <w:sz w:val="18"/>
          <w:szCs w:val="18"/>
          <w:color w:val="212121"/>
        </w:rPr>
        <w:t xml:space="preserve"> </w:t>
      </w:r>
      <w:r>
        <w:rPr>
          <w:rFonts w:ascii="Arial" w:cs="Arial" w:eastAsia="Arial" w:hAnsi="Arial"/>
          <w:sz w:val="18"/>
          <w:szCs w:val="18"/>
          <w:color w:val="151515"/>
        </w:rPr>
        <w:t>person</w:t>
      </w:r>
      <w:r>
        <w:rPr>
          <w:rFonts w:ascii="Arial" w:cs="Arial" w:eastAsia="Arial" w:hAnsi="Arial"/>
          <w:sz w:val="18"/>
          <w:szCs w:val="18"/>
          <w:color w:val="212121"/>
        </w:rPr>
        <w:t xml:space="preserve"> </w:t>
      </w:r>
      <w:r>
        <w:rPr>
          <w:rFonts w:ascii="Arial" w:cs="Arial" w:eastAsia="Arial" w:hAnsi="Arial"/>
          <w:sz w:val="18"/>
          <w:szCs w:val="18"/>
          <w:color w:val="1A1A1A"/>
        </w:rPr>
        <w:t>that</w:t>
      </w:r>
      <w:r>
        <w:rPr>
          <w:rFonts w:ascii="Arial" w:cs="Arial" w:eastAsia="Arial" w:hAnsi="Arial"/>
          <w:sz w:val="18"/>
          <w:szCs w:val="18"/>
          <w:color w:val="212121"/>
        </w:rPr>
        <w:t xml:space="preserve"> is </w:t>
      </w:r>
      <w:r>
        <w:rPr>
          <w:rFonts w:ascii="Arial" w:cs="Arial" w:eastAsia="Arial" w:hAnsi="Arial"/>
          <w:sz w:val="18"/>
          <w:szCs w:val="18"/>
          <w:color w:val="0F0F0F"/>
        </w:rPr>
        <w:t>not</w:t>
      </w:r>
      <w:r>
        <w:rPr>
          <w:rFonts w:ascii="Arial" w:cs="Arial" w:eastAsia="Arial" w:hAnsi="Arial"/>
          <w:sz w:val="18"/>
          <w:szCs w:val="18"/>
          <w:color w:val="212121"/>
        </w:rPr>
        <w:t xml:space="preserve"> </w:t>
      </w:r>
      <w:r>
        <w:rPr>
          <w:rFonts w:ascii="Arial" w:cs="Arial" w:eastAsia="Arial" w:hAnsi="Arial"/>
          <w:sz w:val="18"/>
          <w:szCs w:val="18"/>
          <w:color w:val="242424"/>
        </w:rPr>
        <w:t>a</w:t>
      </w:r>
      <w:r>
        <w:rPr>
          <w:rFonts w:ascii="Arial" w:cs="Arial" w:eastAsia="Arial" w:hAnsi="Arial"/>
          <w:sz w:val="18"/>
          <w:szCs w:val="18"/>
          <w:color w:val="212121"/>
        </w:rPr>
        <w:t xml:space="preserve"> </w:t>
      </w:r>
      <w:r>
        <w:rPr>
          <w:rFonts w:ascii="Arial" w:cs="Arial" w:eastAsia="Arial" w:hAnsi="Arial"/>
          <w:sz w:val="18"/>
          <w:szCs w:val="18"/>
          <w:color w:val="232323"/>
        </w:rPr>
        <w:t>party</w:t>
      </w:r>
      <w:r>
        <w:rPr>
          <w:rFonts w:ascii="Arial" w:cs="Arial" w:eastAsia="Arial" w:hAnsi="Arial"/>
          <w:sz w:val="18"/>
          <w:szCs w:val="18"/>
          <w:color w:val="212121"/>
        </w:rPr>
        <w:t xml:space="preserve"> </w:t>
      </w:r>
      <w:r>
        <w:rPr>
          <w:rFonts w:ascii="Arial" w:cs="Arial" w:eastAsia="Arial" w:hAnsi="Arial"/>
          <w:sz w:val="18"/>
          <w:szCs w:val="18"/>
          <w:color w:val="2A2A2A"/>
        </w:rPr>
        <w:t>to</w:t>
      </w:r>
      <w:r>
        <w:rPr>
          <w:rFonts w:ascii="Arial" w:cs="Arial" w:eastAsia="Arial" w:hAnsi="Arial"/>
          <w:sz w:val="18"/>
          <w:szCs w:val="18"/>
          <w:color w:val="212121"/>
        </w:rPr>
        <w:t xml:space="preserve"> </w:t>
      </w:r>
      <w:r>
        <w:rPr>
          <w:rFonts w:ascii="Arial" w:cs="Arial" w:eastAsia="Arial" w:hAnsi="Arial"/>
          <w:sz w:val="18"/>
          <w:szCs w:val="18"/>
          <w:color w:val="161616"/>
        </w:rPr>
        <w:t>this document (</w:t>
      </w:r>
      <w:r>
        <w:rPr>
          <w:rFonts w:ascii="Arial" w:cs="Arial" w:eastAsia="Arial" w:hAnsi="Arial"/>
          <w:sz w:val="18"/>
          <w:szCs w:val="18"/>
          <w:b w:val="1"/>
          <w:bCs w:val="1"/>
          <w:color w:val="161616"/>
        </w:rPr>
        <w:t>Third Party</w:t>
      </w:r>
      <w:r>
        <w:rPr>
          <w:rFonts w:ascii="Arial" w:cs="Arial" w:eastAsia="Arial" w:hAnsi="Arial"/>
          <w:sz w:val="18"/>
          <w:szCs w:val="18"/>
          <w:color w:val="161616"/>
        </w:rPr>
        <w:t>),</w:t>
      </w:r>
      <w:r>
        <w:rPr>
          <w:rFonts w:ascii="Arial" w:cs="Arial" w:eastAsia="Arial" w:hAnsi="Arial"/>
          <w:sz w:val="18"/>
          <w:szCs w:val="18"/>
          <w:color w:val="212121"/>
        </w:rPr>
        <w:t xml:space="preserve"> </w:t>
      </w:r>
      <w:r>
        <w:rPr>
          <w:rFonts w:ascii="Arial" w:cs="Arial" w:eastAsia="Arial" w:hAnsi="Arial"/>
          <w:sz w:val="18"/>
          <w:szCs w:val="18"/>
          <w:color w:val="232323"/>
        </w:rPr>
        <w:t>the</w:t>
      </w:r>
      <w:r>
        <w:rPr>
          <w:rFonts w:ascii="Arial" w:cs="Arial" w:eastAsia="Arial" w:hAnsi="Arial"/>
          <w:sz w:val="18"/>
          <w:szCs w:val="18"/>
          <w:color w:val="212121"/>
        </w:rPr>
        <w:t xml:space="preserve"> </w:t>
      </w:r>
      <w:r>
        <w:rPr>
          <w:rFonts w:ascii="Arial" w:cs="Arial" w:eastAsia="Arial" w:hAnsi="Arial"/>
          <w:sz w:val="18"/>
          <w:szCs w:val="18"/>
          <w:color w:val="1C1C1C"/>
        </w:rPr>
        <w:t xml:space="preserve">party </w:t>
      </w:r>
      <w:r>
        <w:rPr>
          <w:rFonts w:ascii="Arial" w:cs="Arial" w:eastAsia="Arial" w:hAnsi="Arial"/>
          <w:sz w:val="18"/>
          <w:szCs w:val="18"/>
          <w:color w:val="232323"/>
        </w:rPr>
        <w:t>to</w:t>
      </w:r>
      <w:r>
        <w:rPr>
          <w:rFonts w:ascii="Arial" w:cs="Arial" w:eastAsia="Arial" w:hAnsi="Arial"/>
          <w:sz w:val="18"/>
          <w:szCs w:val="18"/>
          <w:color w:val="1C1C1C"/>
        </w:rPr>
        <w:t xml:space="preserve"> this </w:t>
      </w:r>
      <w:r>
        <w:rPr>
          <w:rFonts w:ascii="Arial" w:cs="Arial" w:eastAsia="Arial" w:hAnsi="Arial"/>
          <w:sz w:val="18"/>
          <w:szCs w:val="18"/>
          <w:color w:val="181818"/>
        </w:rPr>
        <w:t>document</w:t>
      </w:r>
      <w:r>
        <w:rPr>
          <w:rFonts w:ascii="Arial" w:cs="Arial" w:eastAsia="Arial" w:hAnsi="Arial"/>
          <w:sz w:val="18"/>
          <w:szCs w:val="18"/>
          <w:color w:val="1C1C1C"/>
        </w:rPr>
        <w:t xml:space="preserve"> that </w:t>
      </w:r>
      <w:r>
        <w:rPr>
          <w:rFonts w:ascii="Arial" w:cs="Arial" w:eastAsia="Arial" w:hAnsi="Arial"/>
          <w:sz w:val="18"/>
          <w:szCs w:val="18"/>
          <w:color w:val="1A1A1A"/>
        </w:rPr>
        <w:t>receives</w:t>
      </w:r>
      <w:r>
        <w:rPr>
          <w:rFonts w:ascii="Arial" w:cs="Arial" w:eastAsia="Arial" w:hAnsi="Arial"/>
          <w:sz w:val="18"/>
          <w:szCs w:val="18"/>
          <w:color w:val="1C1C1C"/>
        </w:rPr>
        <w:t xml:space="preserve"> </w:t>
      </w:r>
      <w:r>
        <w:rPr>
          <w:rFonts w:ascii="Arial" w:cs="Arial" w:eastAsia="Arial" w:hAnsi="Arial"/>
          <w:sz w:val="18"/>
          <w:szCs w:val="18"/>
          <w:color w:val="1F1F1F"/>
        </w:rPr>
        <w:t>that</w:t>
      </w:r>
      <w:r>
        <w:rPr>
          <w:rFonts w:ascii="Arial" w:cs="Arial" w:eastAsia="Arial" w:hAnsi="Arial"/>
          <w:sz w:val="18"/>
          <w:szCs w:val="18"/>
          <w:color w:val="1C1C1C"/>
        </w:rPr>
        <w:t xml:space="preserve"> promise </w:t>
      </w:r>
      <w:r>
        <w:rPr>
          <w:rFonts w:ascii="Arial" w:cs="Arial" w:eastAsia="Arial" w:hAnsi="Arial"/>
          <w:sz w:val="18"/>
          <w:szCs w:val="18"/>
          <w:color w:val="1F1F1F"/>
        </w:rPr>
        <w:t>does</w:t>
      </w:r>
      <w:r>
        <w:rPr>
          <w:rFonts w:ascii="Arial" w:cs="Arial" w:eastAsia="Arial" w:hAnsi="Arial"/>
          <w:sz w:val="18"/>
          <w:szCs w:val="18"/>
          <w:color w:val="1C1C1C"/>
        </w:rPr>
        <w:t xml:space="preserve"> </w:t>
      </w:r>
      <w:r>
        <w:rPr>
          <w:rFonts w:ascii="Arial" w:cs="Arial" w:eastAsia="Arial" w:hAnsi="Arial"/>
          <w:sz w:val="18"/>
          <w:szCs w:val="18"/>
          <w:color w:val="282828"/>
        </w:rPr>
        <w:t>so</w:t>
      </w:r>
      <w:r>
        <w:rPr>
          <w:rFonts w:ascii="Arial" w:cs="Arial" w:eastAsia="Arial" w:hAnsi="Arial"/>
          <w:sz w:val="18"/>
          <w:szCs w:val="18"/>
          <w:color w:val="1C1C1C"/>
        </w:rPr>
        <w:t xml:space="preserve"> </w:t>
      </w:r>
      <w:r>
        <w:rPr>
          <w:rFonts w:ascii="Arial" w:cs="Arial" w:eastAsia="Arial" w:hAnsi="Arial"/>
          <w:sz w:val="18"/>
          <w:szCs w:val="18"/>
          <w:color w:val="1A1A1A"/>
        </w:rPr>
        <w:t>not</w:t>
      </w:r>
      <w:r>
        <w:rPr>
          <w:rFonts w:ascii="Arial" w:cs="Arial" w:eastAsia="Arial" w:hAnsi="Arial"/>
          <w:sz w:val="18"/>
          <w:szCs w:val="18"/>
          <w:color w:val="1C1C1C"/>
        </w:rPr>
        <w:t xml:space="preserve"> </w:t>
      </w:r>
      <w:r>
        <w:rPr>
          <w:rFonts w:ascii="Arial" w:cs="Arial" w:eastAsia="Arial" w:hAnsi="Arial"/>
          <w:sz w:val="18"/>
          <w:szCs w:val="18"/>
          <w:color w:val="1F1F1F"/>
        </w:rPr>
        <w:t>only</w:t>
      </w:r>
      <w:r>
        <w:rPr>
          <w:rFonts w:ascii="Arial" w:cs="Arial" w:eastAsia="Arial" w:hAnsi="Arial"/>
          <w:sz w:val="18"/>
          <w:szCs w:val="18"/>
          <w:color w:val="1C1C1C"/>
        </w:rPr>
        <w:t xml:space="preserve"> </w:t>
      </w:r>
      <w:r>
        <w:rPr>
          <w:rFonts w:ascii="Arial" w:cs="Arial" w:eastAsia="Arial" w:hAnsi="Arial"/>
          <w:sz w:val="18"/>
          <w:szCs w:val="18"/>
          <w:color w:val="282828"/>
        </w:rPr>
        <w:t>in</w:t>
      </w:r>
      <w:r>
        <w:rPr>
          <w:rFonts w:ascii="Arial" w:cs="Arial" w:eastAsia="Arial" w:hAnsi="Arial"/>
          <w:sz w:val="18"/>
          <w:szCs w:val="18"/>
          <w:color w:val="1C1C1C"/>
        </w:rPr>
        <w:t xml:space="preserve"> </w:t>
      </w:r>
      <w:r>
        <w:rPr>
          <w:rFonts w:ascii="Arial" w:cs="Arial" w:eastAsia="Arial" w:hAnsi="Arial"/>
          <w:sz w:val="18"/>
          <w:szCs w:val="18"/>
          <w:color w:val="000000"/>
        </w:rPr>
        <w:t>its</w:t>
      </w:r>
      <w:r>
        <w:rPr>
          <w:rFonts w:ascii="Arial" w:cs="Arial" w:eastAsia="Arial" w:hAnsi="Arial"/>
          <w:sz w:val="18"/>
          <w:szCs w:val="18"/>
          <w:color w:val="1C1C1C"/>
        </w:rPr>
        <w:t xml:space="preserve"> </w:t>
      </w:r>
      <w:r>
        <w:rPr>
          <w:rFonts w:ascii="Arial" w:cs="Arial" w:eastAsia="Arial" w:hAnsi="Arial"/>
          <w:sz w:val="18"/>
          <w:szCs w:val="18"/>
          <w:color w:val="1A1A1A"/>
        </w:rPr>
        <w:t>own</w:t>
      </w:r>
      <w:r>
        <w:rPr>
          <w:rFonts w:ascii="Arial" w:cs="Arial" w:eastAsia="Arial" w:hAnsi="Arial"/>
          <w:sz w:val="18"/>
          <w:szCs w:val="18"/>
          <w:color w:val="1C1C1C"/>
        </w:rPr>
        <w:t xml:space="preserve"> </w:t>
      </w:r>
      <w:r>
        <w:rPr>
          <w:rFonts w:ascii="Arial" w:cs="Arial" w:eastAsia="Arial" w:hAnsi="Arial"/>
          <w:sz w:val="18"/>
          <w:szCs w:val="18"/>
          <w:color w:val="1D1D1D"/>
        </w:rPr>
        <w:t>capacity</w:t>
      </w:r>
      <w:r>
        <w:rPr>
          <w:rFonts w:ascii="Arial" w:cs="Arial" w:eastAsia="Arial" w:hAnsi="Arial"/>
          <w:sz w:val="18"/>
          <w:szCs w:val="18"/>
          <w:color w:val="1C1C1C"/>
        </w:rPr>
        <w:t xml:space="preserve"> </w:t>
      </w:r>
      <w:r>
        <w:rPr>
          <w:rFonts w:ascii="Arial" w:cs="Arial" w:eastAsia="Arial" w:hAnsi="Arial"/>
          <w:sz w:val="18"/>
          <w:szCs w:val="18"/>
          <w:color w:val="212121"/>
        </w:rPr>
        <w:t>but</w:t>
      </w:r>
      <w:r>
        <w:rPr>
          <w:rFonts w:ascii="Arial" w:cs="Arial" w:eastAsia="Arial" w:hAnsi="Arial"/>
          <w:sz w:val="18"/>
          <w:szCs w:val="18"/>
          <w:color w:val="1C1C1C"/>
        </w:rPr>
        <w:t xml:space="preserve"> </w:t>
      </w:r>
      <w:r>
        <w:rPr>
          <w:rFonts w:ascii="Arial" w:cs="Arial" w:eastAsia="Arial" w:hAnsi="Arial"/>
          <w:sz w:val="18"/>
          <w:szCs w:val="18"/>
          <w:color w:val="232323"/>
        </w:rPr>
        <w:t>also</w:t>
      </w:r>
      <w:r>
        <w:rPr>
          <w:rFonts w:ascii="Arial" w:cs="Arial" w:eastAsia="Arial" w:hAnsi="Arial"/>
          <w:sz w:val="18"/>
          <w:szCs w:val="18"/>
          <w:color w:val="1C1C1C"/>
        </w:rPr>
        <w:t xml:space="preserve"> </w:t>
      </w:r>
      <w:r>
        <w:rPr>
          <w:rFonts w:ascii="Arial" w:cs="Arial" w:eastAsia="Arial" w:hAnsi="Arial"/>
          <w:sz w:val="18"/>
          <w:szCs w:val="18"/>
          <w:color w:val="1F1F1F"/>
        </w:rPr>
        <w:t>as</w:t>
      </w:r>
      <w:r>
        <w:rPr>
          <w:rFonts w:ascii="Arial" w:cs="Arial" w:eastAsia="Arial" w:hAnsi="Arial"/>
          <w:sz w:val="18"/>
          <w:szCs w:val="18"/>
          <w:color w:val="1C1C1C"/>
        </w:rPr>
        <w:t xml:space="preserve"> </w:t>
      </w:r>
      <w:r>
        <w:rPr>
          <w:rFonts w:ascii="Arial" w:cs="Arial" w:eastAsia="Arial" w:hAnsi="Arial"/>
          <w:sz w:val="18"/>
          <w:szCs w:val="18"/>
          <w:color w:val="181818"/>
        </w:rPr>
        <w:t>trustee</w:t>
      </w:r>
      <w:r>
        <w:rPr>
          <w:rFonts w:ascii="Arial" w:cs="Arial" w:eastAsia="Arial" w:hAnsi="Arial"/>
          <w:sz w:val="18"/>
          <w:szCs w:val="18"/>
          <w:color w:val="1C1C1C"/>
        </w:rPr>
        <w:t xml:space="preserve"> </w:t>
      </w:r>
      <w:r>
        <w:rPr>
          <w:rFonts w:ascii="Arial" w:cs="Arial" w:eastAsia="Arial" w:hAnsi="Arial"/>
          <w:sz w:val="18"/>
          <w:szCs w:val="18"/>
          <w:color w:val="1A1A1A"/>
        </w:rPr>
        <w:t>for</w:t>
      </w:r>
      <w:r>
        <w:rPr>
          <w:rFonts w:ascii="Arial" w:cs="Arial" w:eastAsia="Arial" w:hAnsi="Arial"/>
          <w:sz w:val="18"/>
          <w:szCs w:val="18"/>
          <w:color w:val="1C1C1C"/>
        </w:rPr>
        <w:t xml:space="preserve"> </w:t>
      </w:r>
      <w:r>
        <w:rPr>
          <w:rFonts w:ascii="Arial" w:cs="Arial" w:eastAsia="Arial" w:hAnsi="Arial"/>
          <w:sz w:val="18"/>
          <w:szCs w:val="18"/>
          <w:color w:val="212121"/>
        </w:rPr>
        <w:t>the Third</w:t>
      </w:r>
      <w:r>
        <w:rPr>
          <w:rFonts w:ascii="Arial" w:cs="Arial" w:eastAsia="Arial" w:hAnsi="Arial"/>
          <w:sz w:val="18"/>
          <w:szCs w:val="18"/>
          <w:color w:val="1C1C1C"/>
        </w:rPr>
        <w:t xml:space="preserve"> </w:t>
      </w:r>
      <w:r>
        <w:rPr>
          <w:rFonts w:ascii="Arial" w:cs="Arial" w:eastAsia="Arial" w:hAnsi="Arial"/>
          <w:sz w:val="18"/>
          <w:szCs w:val="18"/>
          <w:color w:val="232323"/>
        </w:rPr>
        <w:t>Party.</w:t>
      </w:r>
    </w:p>
    <w:p>
      <w:pPr>
        <w:spacing w:after="0" w:line="140" w:lineRule="exact"/>
        <w:rPr>
          <w:sz w:val="20"/>
          <w:szCs w:val="20"/>
          <w:color w:val="auto"/>
        </w:rPr>
      </w:pPr>
    </w:p>
    <w:p>
      <w:pPr>
        <w:ind w:left="660" w:hanging="652"/>
        <w:spacing w:after="0"/>
        <w:tabs>
          <w:tab w:leader="none" w:pos="660" w:val="left"/>
        </w:tabs>
        <w:numPr>
          <w:ilvl w:val="0"/>
          <w:numId w:val="201"/>
        </w:numPr>
        <w:rPr>
          <w:rFonts w:ascii="Arial" w:cs="Arial" w:eastAsia="Arial" w:hAnsi="Arial"/>
          <w:sz w:val="18"/>
          <w:szCs w:val="18"/>
          <w:b w:val="1"/>
          <w:bCs w:val="1"/>
          <w:color w:val="282828"/>
        </w:rPr>
      </w:pPr>
      <w:r>
        <w:rPr>
          <w:rFonts w:ascii="Arial" w:cs="Arial" w:eastAsia="Arial" w:hAnsi="Arial"/>
          <w:sz w:val="18"/>
          <w:szCs w:val="18"/>
          <w:b w:val="1"/>
          <w:bCs w:val="1"/>
          <w:color w:val="262626"/>
        </w:rPr>
        <w:t>GST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82828"/>
        </w:rPr>
        <w:t>10.1</w:t>
      </w:r>
      <w:r>
        <w:rPr>
          <w:sz w:val="20"/>
          <w:szCs w:val="20"/>
          <w:color w:val="auto"/>
        </w:rPr>
        <w:tab/>
      </w:r>
      <w:r>
        <w:rPr>
          <w:rFonts w:ascii="Arial" w:cs="Arial" w:eastAsia="Arial" w:hAnsi="Arial"/>
          <w:sz w:val="17"/>
          <w:szCs w:val="17"/>
          <w:b w:val="1"/>
          <w:bCs w:val="1"/>
          <w:color w:val="232323"/>
        </w:rPr>
        <w:t>Definitions</w:t>
      </w:r>
    </w:p>
    <w:p>
      <w:pPr>
        <w:spacing w:after="0" w:line="220"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232323"/>
        </w:rPr>
        <w:t xml:space="preserve">Any </w:t>
      </w:r>
      <w:r>
        <w:rPr>
          <w:rFonts w:ascii="Arial" w:cs="Arial" w:eastAsia="Arial" w:hAnsi="Arial"/>
          <w:sz w:val="18"/>
          <w:szCs w:val="18"/>
          <w:color w:val="212121"/>
        </w:rPr>
        <w:t>terms</w:t>
      </w:r>
      <w:r>
        <w:rPr>
          <w:rFonts w:ascii="Arial" w:cs="Arial" w:eastAsia="Arial" w:hAnsi="Arial"/>
          <w:sz w:val="18"/>
          <w:szCs w:val="18"/>
          <w:color w:val="232323"/>
        </w:rPr>
        <w:t xml:space="preserve"> </w:t>
      </w:r>
      <w:r>
        <w:rPr>
          <w:rFonts w:ascii="Arial" w:cs="Arial" w:eastAsia="Arial" w:hAnsi="Arial"/>
          <w:sz w:val="18"/>
          <w:szCs w:val="18"/>
          <w:color w:val="1A1A1A"/>
        </w:rPr>
        <w:t>capitalised</w:t>
      </w:r>
      <w:r>
        <w:rPr>
          <w:rFonts w:ascii="Arial" w:cs="Arial" w:eastAsia="Arial" w:hAnsi="Arial"/>
          <w:sz w:val="18"/>
          <w:szCs w:val="18"/>
          <w:color w:val="232323"/>
        </w:rPr>
        <w:t xml:space="preserve"> </w:t>
      </w:r>
      <w:r>
        <w:rPr>
          <w:rFonts w:ascii="Arial" w:cs="Arial" w:eastAsia="Arial" w:hAnsi="Arial"/>
          <w:sz w:val="18"/>
          <w:szCs w:val="18"/>
          <w:color w:val="212121"/>
        </w:rPr>
        <w:t>in</w:t>
      </w:r>
      <w:r>
        <w:rPr>
          <w:rFonts w:ascii="Arial" w:cs="Arial" w:eastAsia="Arial" w:hAnsi="Arial"/>
          <w:sz w:val="18"/>
          <w:szCs w:val="18"/>
          <w:color w:val="232323"/>
        </w:rPr>
        <w:t xml:space="preserve"> clause </w:t>
      </w:r>
      <w:r>
        <w:rPr>
          <w:rFonts w:ascii="Arial" w:cs="Arial" w:eastAsia="Arial" w:hAnsi="Arial"/>
          <w:sz w:val="18"/>
          <w:szCs w:val="18"/>
          <w:color w:val="262626"/>
        </w:rPr>
        <w:t>10</w:t>
      </w:r>
      <w:r>
        <w:rPr>
          <w:rFonts w:ascii="Arial" w:cs="Arial" w:eastAsia="Arial" w:hAnsi="Arial"/>
          <w:sz w:val="18"/>
          <w:szCs w:val="18"/>
          <w:color w:val="232323"/>
        </w:rPr>
        <w:t xml:space="preserve"> </w:t>
      </w:r>
      <w:r>
        <w:rPr>
          <w:rFonts w:ascii="Arial" w:cs="Arial" w:eastAsia="Arial" w:hAnsi="Arial"/>
          <w:sz w:val="18"/>
          <w:szCs w:val="18"/>
          <w:color w:val="1A1A1A"/>
        </w:rPr>
        <w:t>and</w:t>
      </w:r>
      <w:r>
        <w:rPr>
          <w:rFonts w:ascii="Arial" w:cs="Arial" w:eastAsia="Arial" w:hAnsi="Arial"/>
          <w:sz w:val="18"/>
          <w:szCs w:val="18"/>
          <w:color w:val="232323"/>
        </w:rPr>
        <w:t xml:space="preserve"> </w:t>
      </w:r>
      <w:r>
        <w:rPr>
          <w:rFonts w:ascii="Arial" w:cs="Arial" w:eastAsia="Arial" w:hAnsi="Arial"/>
          <w:sz w:val="18"/>
          <w:szCs w:val="18"/>
          <w:color w:val="212121"/>
        </w:rPr>
        <w:t>not</w:t>
      </w:r>
      <w:r>
        <w:rPr>
          <w:rFonts w:ascii="Arial" w:cs="Arial" w:eastAsia="Arial" w:hAnsi="Arial"/>
          <w:sz w:val="18"/>
          <w:szCs w:val="18"/>
          <w:color w:val="232323"/>
        </w:rPr>
        <w:t xml:space="preserve"> </w:t>
      </w:r>
      <w:r>
        <w:rPr>
          <w:rFonts w:ascii="Arial" w:cs="Arial" w:eastAsia="Arial" w:hAnsi="Arial"/>
          <w:sz w:val="18"/>
          <w:szCs w:val="18"/>
          <w:color w:val="1F1F1F"/>
        </w:rPr>
        <w:t>already defined</w:t>
      </w:r>
      <w:r>
        <w:rPr>
          <w:rFonts w:ascii="Arial" w:cs="Arial" w:eastAsia="Arial" w:hAnsi="Arial"/>
          <w:sz w:val="18"/>
          <w:szCs w:val="18"/>
          <w:color w:val="232323"/>
        </w:rPr>
        <w:t xml:space="preserve"> </w:t>
      </w:r>
      <w:r>
        <w:rPr>
          <w:rFonts w:ascii="Arial" w:cs="Arial" w:eastAsia="Arial" w:hAnsi="Arial"/>
          <w:sz w:val="18"/>
          <w:szCs w:val="18"/>
          <w:color w:val="262626"/>
        </w:rPr>
        <w:t>in</w:t>
      </w:r>
      <w:r>
        <w:rPr>
          <w:rFonts w:ascii="Arial" w:cs="Arial" w:eastAsia="Arial" w:hAnsi="Arial"/>
          <w:sz w:val="18"/>
          <w:szCs w:val="18"/>
          <w:color w:val="232323"/>
        </w:rPr>
        <w:t xml:space="preserve"> </w:t>
      </w:r>
      <w:r>
        <w:rPr>
          <w:rFonts w:ascii="Arial" w:cs="Arial" w:eastAsia="Arial" w:hAnsi="Arial"/>
          <w:sz w:val="18"/>
          <w:szCs w:val="18"/>
          <w:color w:val="212121"/>
        </w:rPr>
        <w:t>clause</w:t>
      </w:r>
      <w:r>
        <w:rPr>
          <w:rFonts w:ascii="Arial" w:cs="Arial" w:eastAsia="Arial" w:hAnsi="Arial"/>
          <w:sz w:val="18"/>
          <w:szCs w:val="18"/>
          <w:color w:val="232323"/>
        </w:rPr>
        <w:t xml:space="preserve"> </w:t>
      </w:r>
      <w:r>
        <w:rPr>
          <w:rFonts w:ascii="Arial" w:cs="Arial" w:eastAsia="Arial" w:hAnsi="Arial"/>
          <w:sz w:val="18"/>
          <w:szCs w:val="18"/>
          <w:color w:val="1D1D1D"/>
        </w:rPr>
        <w:t>1.1</w:t>
      </w:r>
      <w:r>
        <w:rPr>
          <w:rFonts w:ascii="Arial" w:cs="Arial" w:eastAsia="Arial" w:hAnsi="Arial"/>
          <w:sz w:val="18"/>
          <w:szCs w:val="18"/>
          <w:color w:val="232323"/>
        </w:rPr>
        <w:t xml:space="preserve"> have </w:t>
      </w:r>
      <w:r>
        <w:rPr>
          <w:rFonts w:ascii="Arial" w:cs="Arial" w:eastAsia="Arial" w:hAnsi="Arial"/>
          <w:sz w:val="18"/>
          <w:szCs w:val="18"/>
          <w:color w:val="242424"/>
        </w:rPr>
        <w:t>the</w:t>
      </w:r>
      <w:r>
        <w:rPr>
          <w:rFonts w:ascii="Arial" w:cs="Arial" w:eastAsia="Arial" w:hAnsi="Arial"/>
          <w:sz w:val="18"/>
          <w:szCs w:val="18"/>
          <w:color w:val="232323"/>
        </w:rPr>
        <w:t xml:space="preserve"> </w:t>
      </w:r>
      <w:r>
        <w:rPr>
          <w:rFonts w:ascii="Arial" w:cs="Arial" w:eastAsia="Arial" w:hAnsi="Arial"/>
          <w:sz w:val="18"/>
          <w:szCs w:val="18"/>
          <w:color w:val="262626"/>
        </w:rPr>
        <w:t>same</w:t>
      </w:r>
      <w:r>
        <w:rPr>
          <w:rFonts w:ascii="Arial" w:cs="Arial" w:eastAsia="Arial" w:hAnsi="Arial"/>
          <w:sz w:val="18"/>
          <w:szCs w:val="18"/>
          <w:color w:val="232323"/>
        </w:rPr>
        <w:t xml:space="preserve"> </w:t>
      </w:r>
      <w:r>
        <w:rPr>
          <w:rFonts w:ascii="Arial" w:cs="Arial" w:eastAsia="Arial" w:hAnsi="Arial"/>
          <w:sz w:val="18"/>
          <w:szCs w:val="18"/>
          <w:color w:val="1F1F1F"/>
        </w:rPr>
        <w:t>meaning</w:t>
      </w:r>
      <w:r>
        <w:rPr>
          <w:rFonts w:ascii="Arial" w:cs="Arial" w:eastAsia="Arial" w:hAnsi="Arial"/>
          <w:sz w:val="18"/>
          <w:szCs w:val="18"/>
          <w:color w:val="232323"/>
        </w:rPr>
        <w:t xml:space="preserve"> </w:t>
      </w:r>
      <w:r>
        <w:rPr>
          <w:rFonts w:ascii="Arial" w:cs="Arial" w:eastAsia="Arial" w:hAnsi="Arial"/>
          <w:sz w:val="18"/>
          <w:szCs w:val="18"/>
          <w:color w:val="1A1A1A"/>
        </w:rPr>
        <w:t>given</w:t>
      </w:r>
      <w:r>
        <w:rPr>
          <w:rFonts w:ascii="Arial" w:cs="Arial" w:eastAsia="Arial" w:hAnsi="Arial"/>
          <w:sz w:val="18"/>
          <w:szCs w:val="18"/>
          <w:color w:val="232323"/>
        </w:rPr>
        <w:t xml:space="preserve"> </w:t>
      </w:r>
      <w:r>
        <w:rPr>
          <w:rFonts w:ascii="Arial" w:cs="Arial" w:eastAsia="Arial" w:hAnsi="Arial"/>
          <w:sz w:val="18"/>
          <w:szCs w:val="18"/>
          <w:color w:val="212121"/>
        </w:rPr>
        <w:t>to</w:t>
      </w:r>
      <w:r>
        <w:rPr>
          <w:rFonts w:ascii="Arial" w:cs="Arial" w:eastAsia="Arial" w:hAnsi="Arial"/>
          <w:sz w:val="18"/>
          <w:szCs w:val="18"/>
          <w:color w:val="232323"/>
        </w:rPr>
        <w:t xml:space="preserve"> </w:t>
      </w:r>
      <w:r>
        <w:rPr>
          <w:rFonts w:ascii="Arial" w:cs="Arial" w:eastAsia="Arial" w:hAnsi="Arial"/>
          <w:sz w:val="18"/>
          <w:szCs w:val="18"/>
          <w:color w:val="161616"/>
        </w:rPr>
        <w:t>those</w:t>
      </w:r>
      <w:r>
        <w:rPr>
          <w:rFonts w:ascii="Arial" w:cs="Arial" w:eastAsia="Arial" w:hAnsi="Arial"/>
          <w:sz w:val="18"/>
          <w:szCs w:val="18"/>
          <w:color w:val="232323"/>
        </w:rPr>
        <w:t xml:space="preserve"> </w:t>
      </w:r>
      <w:r>
        <w:rPr>
          <w:rFonts w:ascii="Arial" w:cs="Arial" w:eastAsia="Arial" w:hAnsi="Arial"/>
          <w:sz w:val="18"/>
          <w:szCs w:val="18"/>
          <w:color w:val="1F1F1F"/>
        </w:rPr>
        <w:t>terms</w:t>
      </w:r>
      <w:r>
        <w:rPr>
          <w:rFonts w:ascii="Arial" w:cs="Arial" w:eastAsia="Arial" w:hAnsi="Arial"/>
          <w:sz w:val="18"/>
          <w:szCs w:val="18"/>
          <w:color w:val="232323"/>
        </w:rPr>
        <w:t xml:space="preserve"> </w:t>
      </w:r>
      <w:r>
        <w:rPr>
          <w:rFonts w:ascii="Arial" w:cs="Arial" w:eastAsia="Arial" w:hAnsi="Arial"/>
          <w:sz w:val="18"/>
          <w:szCs w:val="18"/>
          <w:color w:val="282828"/>
        </w:rPr>
        <w:t>in the</w:t>
      </w:r>
      <w:r>
        <w:rPr>
          <w:rFonts w:ascii="Arial" w:cs="Arial" w:eastAsia="Arial" w:hAnsi="Arial"/>
          <w:sz w:val="18"/>
          <w:szCs w:val="18"/>
          <w:color w:val="232323"/>
        </w:rPr>
        <w:t xml:space="preserve"> </w:t>
      </w:r>
      <w:r>
        <w:rPr>
          <w:rFonts w:ascii="Arial" w:cs="Arial" w:eastAsia="Arial" w:hAnsi="Arial"/>
          <w:sz w:val="18"/>
          <w:szCs w:val="18"/>
          <w:color w:val="212121"/>
        </w:rPr>
        <w:t>GST</w:t>
      </w:r>
      <w:r>
        <w:rPr>
          <w:rFonts w:ascii="Arial" w:cs="Arial" w:eastAsia="Arial" w:hAnsi="Arial"/>
          <w:sz w:val="18"/>
          <w:szCs w:val="18"/>
          <w:color w:val="232323"/>
        </w:rPr>
        <w:t xml:space="preserve"> </w:t>
      </w:r>
      <w:r>
        <w:rPr>
          <w:rFonts w:ascii="Arial" w:cs="Arial" w:eastAsia="Arial" w:hAnsi="Arial"/>
          <w:sz w:val="18"/>
          <w:szCs w:val="18"/>
          <w:color w:val="282828"/>
        </w:rPr>
        <w:t>Act.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A2A2A"/>
        </w:rPr>
        <w:t>10.2</w:t>
      </w:r>
      <w:r>
        <w:rPr>
          <w:sz w:val="20"/>
          <w:szCs w:val="20"/>
          <w:color w:val="auto"/>
        </w:rPr>
        <w:tab/>
      </w:r>
      <w:r>
        <w:rPr>
          <w:rFonts w:ascii="Arial" w:cs="Arial" w:eastAsia="Arial" w:hAnsi="Arial"/>
          <w:sz w:val="17"/>
          <w:szCs w:val="17"/>
          <w:b w:val="1"/>
          <w:bCs w:val="1"/>
          <w:color w:val="282828"/>
        </w:rPr>
        <w:t xml:space="preserve">GST </w:t>
      </w:r>
      <w:r>
        <w:rPr>
          <w:rFonts w:ascii="Arial" w:cs="Arial" w:eastAsia="Arial" w:hAnsi="Arial"/>
          <w:sz w:val="17"/>
          <w:szCs w:val="17"/>
          <w:b w:val="1"/>
          <w:bCs w:val="1"/>
          <w:color w:val="1D1D1D"/>
        </w:rPr>
        <w:t>exclusive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1F1F1F"/>
        </w:rPr>
        <w:t xml:space="preserve">Except </w:t>
      </w:r>
      <w:r>
        <w:rPr>
          <w:rFonts w:ascii="Arial" w:cs="Arial" w:eastAsia="Arial" w:hAnsi="Arial"/>
          <w:sz w:val="18"/>
          <w:szCs w:val="18"/>
          <w:color w:val="242424"/>
        </w:rPr>
        <w:t>under</w:t>
      </w:r>
      <w:r>
        <w:rPr>
          <w:rFonts w:ascii="Arial" w:cs="Arial" w:eastAsia="Arial" w:hAnsi="Arial"/>
          <w:sz w:val="18"/>
          <w:szCs w:val="18"/>
          <w:color w:val="1F1F1F"/>
        </w:rPr>
        <w:t xml:space="preserve"> </w:t>
      </w:r>
      <w:r>
        <w:rPr>
          <w:rFonts w:ascii="Arial" w:cs="Arial" w:eastAsia="Arial" w:hAnsi="Arial"/>
          <w:sz w:val="18"/>
          <w:szCs w:val="18"/>
          <w:color w:val="212121"/>
        </w:rPr>
        <w:t>clause</w:t>
      </w:r>
      <w:r>
        <w:rPr>
          <w:rFonts w:ascii="Arial" w:cs="Arial" w:eastAsia="Arial" w:hAnsi="Arial"/>
          <w:sz w:val="18"/>
          <w:szCs w:val="18"/>
          <w:color w:val="1F1F1F"/>
        </w:rPr>
        <w:t xml:space="preserve"> </w:t>
      </w:r>
      <w:r>
        <w:rPr>
          <w:rFonts w:ascii="Arial" w:cs="Arial" w:eastAsia="Arial" w:hAnsi="Arial"/>
          <w:sz w:val="18"/>
          <w:szCs w:val="18"/>
          <w:color w:val="2A2A2A"/>
        </w:rPr>
        <w:t>10,</w:t>
      </w:r>
      <w:r>
        <w:rPr>
          <w:rFonts w:ascii="Arial" w:cs="Arial" w:eastAsia="Arial" w:hAnsi="Arial"/>
          <w:sz w:val="18"/>
          <w:szCs w:val="18"/>
          <w:color w:val="1F1F1F"/>
        </w:rPr>
        <w:t xml:space="preserve"> </w:t>
      </w:r>
      <w:r>
        <w:rPr>
          <w:rFonts w:ascii="Arial" w:cs="Arial" w:eastAsia="Arial" w:hAnsi="Arial"/>
          <w:sz w:val="18"/>
          <w:szCs w:val="18"/>
          <w:color w:val="212121"/>
        </w:rPr>
        <w:t>the</w:t>
      </w:r>
      <w:r>
        <w:rPr>
          <w:rFonts w:ascii="Arial" w:cs="Arial" w:eastAsia="Arial" w:hAnsi="Arial"/>
          <w:sz w:val="18"/>
          <w:szCs w:val="18"/>
          <w:color w:val="1F1F1F"/>
        </w:rPr>
        <w:t xml:space="preserve"> </w:t>
      </w:r>
      <w:r>
        <w:rPr>
          <w:rFonts w:ascii="Arial" w:cs="Arial" w:eastAsia="Arial" w:hAnsi="Arial"/>
          <w:sz w:val="18"/>
          <w:szCs w:val="18"/>
          <w:color w:val="0F0F0F"/>
        </w:rPr>
        <w:t>consideration</w:t>
      </w:r>
      <w:r>
        <w:rPr>
          <w:rFonts w:ascii="Arial" w:cs="Arial" w:eastAsia="Arial" w:hAnsi="Arial"/>
          <w:sz w:val="18"/>
          <w:szCs w:val="18"/>
          <w:color w:val="1F1F1F"/>
        </w:rPr>
        <w:t xml:space="preserve"> </w:t>
      </w:r>
      <w:r>
        <w:rPr>
          <w:rFonts w:ascii="Arial" w:cs="Arial" w:eastAsia="Arial" w:hAnsi="Arial"/>
          <w:sz w:val="18"/>
          <w:szCs w:val="18"/>
          <w:color w:val="2B2B2B"/>
        </w:rPr>
        <w:t>for a</w:t>
      </w:r>
      <w:r>
        <w:rPr>
          <w:rFonts w:ascii="Arial" w:cs="Arial" w:eastAsia="Arial" w:hAnsi="Arial"/>
          <w:sz w:val="18"/>
          <w:szCs w:val="18"/>
          <w:color w:val="1F1F1F"/>
        </w:rPr>
        <w:t xml:space="preserve"> </w:t>
      </w:r>
      <w:r>
        <w:rPr>
          <w:rFonts w:ascii="Arial" w:cs="Arial" w:eastAsia="Arial" w:hAnsi="Arial"/>
          <w:sz w:val="18"/>
          <w:szCs w:val="18"/>
          <w:color w:val="1D1D1D"/>
        </w:rPr>
        <w:t>Supply</w:t>
      </w:r>
      <w:r>
        <w:rPr>
          <w:rFonts w:ascii="Arial" w:cs="Arial" w:eastAsia="Arial" w:hAnsi="Arial"/>
          <w:sz w:val="18"/>
          <w:szCs w:val="18"/>
          <w:color w:val="1F1F1F"/>
        </w:rPr>
        <w:t xml:space="preserve"> </w:t>
      </w:r>
      <w:r>
        <w:rPr>
          <w:rFonts w:ascii="Arial" w:cs="Arial" w:eastAsia="Arial" w:hAnsi="Arial"/>
          <w:sz w:val="18"/>
          <w:szCs w:val="18"/>
          <w:color w:val="2A2A2A"/>
        </w:rPr>
        <w:t>made</w:t>
      </w:r>
      <w:r>
        <w:rPr>
          <w:rFonts w:ascii="Arial" w:cs="Arial" w:eastAsia="Arial" w:hAnsi="Arial"/>
          <w:sz w:val="18"/>
          <w:szCs w:val="18"/>
          <w:color w:val="1F1F1F"/>
        </w:rPr>
        <w:t xml:space="preserve"> </w:t>
      </w:r>
      <w:r>
        <w:rPr>
          <w:rFonts w:ascii="Arial" w:cs="Arial" w:eastAsia="Arial" w:hAnsi="Arial"/>
          <w:sz w:val="18"/>
          <w:szCs w:val="18"/>
          <w:color w:val="212121"/>
        </w:rPr>
        <w:t>under</w:t>
      </w:r>
      <w:r>
        <w:rPr>
          <w:rFonts w:ascii="Arial" w:cs="Arial" w:eastAsia="Arial" w:hAnsi="Arial"/>
          <w:sz w:val="18"/>
          <w:szCs w:val="18"/>
          <w:color w:val="1F1F1F"/>
        </w:rPr>
        <w:t xml:space="preserve"> </w:t>
      </w:r>
      <w:r>
        <w:rPr>
          <w:rFonts w:ascii="Arial" w:cs="Arial" w:eastAsia="Arial" w:hAnsi="Arial"/>
          <w:sz w:val="18"/>
          <w:szCs w:val="18"/>
          <w:color w:val="282828"/>
        </w:rPr>
        <w:t>or</w:t>
      </w:r>
      <w:r>
        <w:rPr>
          <w:rFonts w:ascii="Arial" w:cs="Arial" w:eastAsia="Arial" w:hAnsi="Arial"/>
          <w:sz w:val="18"/>
          <w:szCs w:val="18"/>
          <w:color w:val="1F1F1F"/>
        </w:rPr>
        <w:t xml:space="preserve"> </w:t>
      </w:r>
      <w:r>
        <w:rPr>
          <w:rFonts w:ascii="Arial" w:cs="Arial" w:eastAsia="Arial" w:hAnsi="Arial"/>
          <w:sz w:val="18"/>
          <w:szCs w:val="18"/>
          <w:color w:val="232323"/>
        </w:rPr>
        <w:t>in</w:t>
      </w:r>
      <w:r>
        <w:rPr>
          <w:rFonts w:ascii="Arial" w:cs="Arial" w:eastAsia="Arial" w:hAnsi="Arial"/>
          <w:sz w:val="18"/>
          <w:szCs w:val="18"/>
          <w:color w:val="1F1F1F"/>
        </w:rPr>
        <w:t xml:space="preserve"> </w:t>
      </w:r>
      <w:r>
        <w:rPr>
          <w:rFonts w:ascii="Arial" w:cs="Arial" w:eastAsia="Arial" w:hAnsi="Arial"/>
          <w:sz w:val="18"/>
          <w:szCs w:val="18"/>
          <w:color w:val="242424"/>
        </w:rPr>
        <w:t>connection</w:t>
      </w:r>
      <w:r>
        <w:rPr>
          <w:rFonts w:ascii="Arial" w:cs="Arial" w:eastAsia="Arial" w:hAnsi="Arial"/>
          <w:sz w:val="18"/>
          <w:szCs w:val="18"/>
          <w:color w:val="1F1F1F"/>
        </w:rPr>
        <w:t xml:space="preserve"> </w:t>
      </w:r>
      <w:r>
        <w:rPr>
          <w:rFonts w:ascii="Arial" w:cs="Arial" w:eastAsia="Arial" w:hAnsi="Arial"/>
          <w:sz w:val="18"/>
          <w:szCs w:val="18"/>
          <w:color w:val="262626"/>
        </w:rPr>
        <w:t>with this</w:t>
      </w:r>
      <w:r>
        <w:rPr>
          <w:rFonts w:ascii="Arial" w:cs="Arial" w:eastAsia="Arial" w:hAnsi="Arial"/>
          <w:sz w:val="18"/>
          <w:szCs w:val="18"/>
          <w:color w:val="1F1F1F"/>
        </w:rPr>
        <w:t xml:space="preserve"> document </w:t>
      </w:r>
      <w:r>
        <w:rPr>
          <w:rFonts w:ascii="Arial" w:cs="Arial" w:eastAsia="Arial" w:hAnsi="Arial"/>
          <w:sz w:val="18"/>
          <w:szCs w:val="18"/>
          <w:color w:val="212121"/>
        </w:rPr>
        <w:t>does</w:t>
      </w:r>
      <w:r>
        <w:rPr>
          <w:rFonts w:ascii="Arial" w:cs="Arial" w:eastAsia="Arial" w:hAnsi="Arial"/>
          <w:sz w:val="18"/>
          <w:szCs w:val="18"/>
          <w:color w:val="1F1F1F"/>
        </w:rPr>
        <w:t xml:space="preserve"> </w:t>
      </w:r>
      <w:r>
        <w:rPr>
          <w:rFonts w:ascii="Arial" w:cs="Arial" w:eastAsia="Arial" w:hAnsi="Arial"/>
          <w:sz w:val="18"/>
          <w:szCs w:val="18"/>
          <w:color w:val="161616"/>
        </w:rPr>
        <w:t>not</w:t>
      </w:r>
      <w:r>
        <w:rPr>
          <w:rFonts w:ascii="Arial" w:cs="Arial" w:eastAsia="Arial" w:hAnsi="Arial"/>
          <w:sz w:val="18"/>
          <w:szCs w:val="18"/>
          <w:color w:val="1F1F1F"/>
        </w:rPr>
        <w:t xml:space="preserve"> </w:t>
      </w:r>
      <w:r>
        <w:rPr>
          <w:rFonts w:ascii="Arial" w:cs="Arial" w:eastAsia="Arial" w:hAnsi="Arial"/>
          <w:sz w:val="18"/>
          <w:szCs w:val="18"/>
          <w:color w:val="232323"/>
        </w:rPr>
        <w:t>include</w:t>
      </w:r>
      <w:r>
        <w:rPr>
          <w:rFonts w:ascii="Arial" w:cs="Arial" w:eastAsia="Arial" w:hAnsi="Arial"/>
          <w:sz w:val="18"/>
          <w:szCs w:val="18"/>
          <w:color w:val="1F1F1F"/>
        </w:rPr>
        <w:t xml:space="preserve"> </w:t>
      </w:r>
      <w:r>
        <w:rPr>
          <w:rFonts w:ascii="Arial" w:cs="Arial" w:eastAsia="Arial" w:hAnsi="Arial"/>
          <w:sz w:val="18"/>
          <w:szCs w:val="18"/>
          <w:color w:val="2B2B2B"/>
        </w:rPr>
        <w:t>GST.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82828"/>
        </w:rPr>
        <w:t>10.3</w:t>
      </w:r>
      <w:r>
        <w:rPr>
          <w:sz w:val="20"/>
          <w:szCs w:val="20"/>
          <w:color w:val="auto"/>
        </w:rPr>
        <w:tab/>
      </w:r>
      <w:r>
        <w:rPr>
          <w:rFonts w:ascii="Arial" w:cs="Arial" w:eastAsia="Arial" w:hAnsi="Arial"/>
          <w:sz w:val="17"/>
          <w:szCs w:val="17"/>
          <w:b w:val="1"/>
          <w:bCs w:val="1"/>
          <w:color w:val="2B2B2B"/>
        </w:rPr>
        <w:t xml:space="preserve">Taxable </w:t>
      </w:r>
      <w:r>
        <w:rPr>
          <w:rFonts w:ascii="Arial" w:cs="Arial" w:eastAsia="Arial" w:hAnsi="Arial"/>
          <w:sz w:val="17"/>
          <w:szCs w:val="17"/>
          <w:b w:val="1"/>
          <w:bCs w:val="1"/>
          <w:color w:val="181818"/>
        </w:rPr>
        <w:t>Supply</w:t>
      </w:r>
    </w:p>
    <w:p>
      <w:pPr>
        <w:spacing w:after="0" w:line="220" w:lineRule="exact"/>
        <w:rPr>
          <w:sz w:val="20"/>
          <w:szCs w:val="20"/>
          <w:color w:val="auto"/>
        </w:rPr>
      </w:pPr>
    </w:p>
    <w:p>
      <w:pPr>
        <w:ind w:left="660" w:right="960"/>
        <w:spacing w:after="0" w:line="246" w:lineRule="auto"/>
        <w:rPr>
          <w:sz w:val="20"/>
          <w:szCs w:val="20"/>
          <w:color w:val="auto"/>
        </w:rPr>
      </w:pPr>
      <w:r>
        <w:rPr>
          <w:rFonts w:ascii="Arial" w:cs="Arial" w:eastAsia="Arial" w:hAnsi="Arial"/>
          <w:sz w:val="18"/>
          <w:szCs w:val="18"/>
          <w:color w:val="2D2D2D"/>
        </w:rPr>
        <w:t xml:space="preserve">If </w:t>
      </w:r>
      <w:r>
        <w:rPr>
          <w:rFonts w:ascii="Arial" w:cs="Arial" w:eastAsia="Arial" w:hAnsi="Arial"/>
          <w:sz w:val="18"/>
          <w:szCs w:val="18"/>
          <w:color w:val="2A2A2A"/>
        </w:rPr>
        <w:t>a</w:t>
      </w:r>
      <w:r>
        <w:rPr>
          <w:rFonts w:ascii="Arial" w:cs="Arial" w:eastAsia="Arial" w:hAnsi="Arial"/>
          <w:sz w:val="18"/>
          <w:szCs w:val="18"/>
          <w:color w:val="2D2D2D"/>
        </w:rPr>
        <w:t xml:space="preserve"> </w:t>
      </w:r>
      <w:r>
        <w:rPr>
          <w:rFonts w:ascii="Arial" w:cs="Arial" w:eastAsia="Arial" w:hAnsi="Arial"/>
          <w:sz w:val="18"/>
          <w:szCs w:val="18"/>
          <w:color w:val="212121"/>
        </w:rPr>
        <w:t>Supply</w:t>
      </w:r>
      <w:r>
        <w:rPr>
          <w:rFonts w:ascii="Arial" w:cs="Arial" w:eastAsia="Arial" w:hAnsi="Arial"/>
          <w:sz w:val="18"/>
          <w:szCs w:val="18"/>
          <w:color w:val="2D2D2D"/>
        </w:rPr>
        <w:t xml:space="preserve"> </w:t>
      </w:r>
      <w:r>
        <w:rPr>
          <w:rFonts w:ascii="Arial" w:cs="Arial" w:eastAsia="Arial" w:hAnsi="Arial"/>
          <w:sz w:val="18"/>
          <w:szCs w:val="18"/>
          <w:color w:val="1C1C1C"/>
        </w:rPr>
        <w:t>made</w:t>
      </w:r>
      <w:r>
        <w:rPr>
          <w:rFonts w:ascii="Arial" w:cs="Arial" w:eastAsia="Arial" w:hAnsi="Arial"/>
          <w:sz w:val="18"/>
          <w:szCs w:val="18"/>
          <w:color w:val="2D2D2D"/>
        </w:rPr>
        <w:t xml:space="preserve"> </w:t>
      </w:r>
      <w:r>
        <w:rPr>
          <w:rFonts w:ascii="Arial" w:cs="Arial" w:eastAsia="Arial" w:hAnsi="Arial"/>
          <w:sz w:val="18"/>
          <w:szCs w:val="18"/>
          <w:color w:val="1A1A1A"/>
        </w:rPr>
        <w:t>under</w:t>
      </w:r>
      <w:r>
        <w:rPr>
          <w:rFonts w:ascii="Arial" w:cs="Arial" w:eastAsia="Arial" w:hAnsi="Arial"/>
          <w:sz w:val="18"/>
          <w:szCs w:val="18"/>
          <w:color w:val="2D2D2D"/>
        </w:rPr>
        <w:t xml:space="preserve"> or </w:t>
      </w:r>
      <w:r>
        <w:rPr>
          <w:rFonts w:ascii="Arial" w:cs="Arial" w:eastAsia="Arial" w:hAnsi="Arial"/>
          <w:sz w:val="18"/>
          <w:szCs w:val="18"/>
          <w:color w:val="2F2F2F"/>
        </w:rPr>
        <w:t>in</w:t>
      </w:r>
      <w:r>
        <w:rPr>
          <w:rFonts w:ascii="Arial" w:cs="Arial" w:eastAsia="Arial" w:hAnsi="Arial"/>
          <w:sz w:val="18"/>
          <w:szCs w:val="18"/>
          <w:color w:val="2D2D2D"/>
        </w:rPr>
        <w:t xml:space="preserve"> </w:t>
      </w:r>
      <w:r>
        <w:rPr>
          <w:rFonts w:ascii="Arial" w:cs="Arial" w:eastAsia="Arial" w:hAnsi="Arial"/>
          <w:sz w:val="18"/>
          <w:szCs w:val="18"/>
          <w:color w:val="161616"/>
        </w:rPr>
        <w:t>connection</w:t>
      </w:r>
      <w:r>
        <w:rPr>
          <w:rFonts w:ascii="Arial" w:cs="Arial" w:eastAsia="Arial" w:hAnsi="Arial"/>
          <w:sz w:val="18"/>
          <w:szCs w:val="18"/>
          <w:color w:val="2D2D2D"/>
        </w:rPr>
        <w:t xml:space="preserve"> </w:t>
      </w:r>
      <w:r>
        <w:rPr>
          <w:rFonts w:ascii="Arial" w:cs="Arial" w:eastAsia="Arial" w:hAnsi="Arial"/>
          <w:sz w:val="18"/>
          <w:szCs w:val="18"/>
          <w:color w:val="1F1F1F"/>
        </w:rPr>
        <w:t>with</w:t>
      </w:r>
      <w:r>
        <w:rPr>
          <w:rFonts w:ascii="Arial" w:cs="Arial" w:eastAsia="Arial" w:hAnsi="Arial"/>
          <w:sz w:val="18"/>
          <w:szCs w:val="18"/>
          <w:color w:val="2D2D2D"/>
        </w:rPr>
        <w:t xml:space="preserve"> </w:t>
      </w:r>
      <w:r>
        <w:rPr>
          <w:rFonts w:ascii="Arial" w:cs="Arial" w:eastAsia="Arial" w:hAnsi="Arial"/>
          <w:sz w:val="18"/>
          <w:szCs w:val="18"/>
          <w:color w:val="1C1C1C"/>
        </w:rPr>
        <w:t>this</w:t>
      </w:r>
      <w:r>
        <w:rPr>
          <w:rFonts w:ascii="Arial" w:cs="Arial" w:eastAsia="Arial" w:hAnsi="Arial"/>
          <w:sz w:val="18"/>
          <w:szCs w:val="18"/>
          <w:color w:val="2D2D2D"/>
        </w:rPr>
        <w:t xml:space="preserve"> </w:t>
      </w:r>
      <w:r>
        <w:rPr>
          <w:rFonts w:ascii="Arial" w:cs="Arial" w:eastAsia="Arial" w:hAnsi="Arial"/>
          <w:sz w:val="18"/>
          <w:szCs w:val="18"/>
          <w:color w:val="161616"/>
        </w:rPr>
        <w:t>document</w:t>
      </w:r>
      <w:r>
        <w:rPr>
          <w:rFonts w:ascii="Arial" w:cs="Arial" w:eastAsia="Arial" w:hAnsi="Arial"/>
          <w:sz w:val="18"/>
          <w:szCs w:val="18"/>
          <w:color w:val="2D2D2D"/>
        </w:rPr>
        <w:t xml:space="preserve"> </w:t>
      </w:r>
      <w:r>
        <w:rPr>
          <w:rFonts w:ascii="Arial" w:cs="Arial" w:eastAsia="Arial" w:hAnsi="Arial"/>
          <w:sz w:val="18"/>
          <w:szCs w:val="18"/>
          <w:color w:val="242424"/>
        </w:rPr>
        <w:t>is</w:t>
      </w:r>
      <w:r>
        <w:rPr>
          <w:rFonts w:ascii="Arial" w:cs="Arial" w:eastAsia="Arial" w:hAnsi="Arial"/>
          <w:sz w:val="18"/>
          <w:szCs w:val="18"/>
          <w:color w:val="2D2D2D"/>
        </w:rPr>
        <w:t xml:space="preserve"> </w:t>
      </w:r>
      <w:r>
        <w:rPr>
          <w:rFonts w:ascii="Arial" w:cs="Arial" w:eastAsia="Arial" w:hAnsi="Arial"/>
          <w:sz w:val="18"/>
          <w:szCs w:val="18"/>
          <w:color w:val="2A2A2A"/>
        </w:rPr>
        <w:t>a</w:t>
      </w:r>
      <w:r>
        <w:rPr>
          <w:rFonts w:ascii="Arial" w:cs="Arial" w:eastAsia="Arial" w:hAnsi="Arial"/>
          <w:sz w:val="18"/>
          <w:szCs w:val="18"/>
          <w:color w:val="2D2D2D"/>
        </w:rPr>
        <w:t xml:space="preserve"> </w:t>
      </w:r>
      <w:r>
        <w:rPr>
          <w:rFonts w:ascii="Arial" w:cs="Arial" w:eastAsia="Arial" w:hAnsi="Arial"/>
          <w:sz w:val="18"/>
          <w:szCs w:val="18"/>
          <w:color w:val="1A1A1A"/>
        </w:rPr>
        <w:t>Taxable</w:t>
      </w:r>
      <w:r>
        <w:rPr>
          <w:rFonts w:ascii="Arial" w:cs="Arial" w:eastAsia="Arial" w:hAnsi="Arial"/>
          <w:sz w:val="18"/>
          <w:szCs w:val="18"/>
          <w:color w:val="2D2D2D"/>
        </w:rPr>
        <w:t xml:space="preserve"> </w:t>
      </w:r>
      <w:r>
        <w:rPr>
          <w:rFonts w:ascii="Arial" w:cs="Arial" w:eastAsia="Arial" w:hAnsi="Arial"/>
          <w:sz w:val="18"/>
          <w:szCs w:val="18"/>
          <w:color w:val="282828"/>
        </w:rPr>
        <w:t>Supply,</w:t>
      </w:r>
      <w:r>
        <w:rPr>
          <w:rFonts w:ascii="Arial" w:cs="Arial" w:eastAsia="Arial" w:hAnsi="Arial"/>
          <w:sz w:val="18"/>
          <w:szCs w:val="18"/>
          <w:color w:val="2D2D2D"/>
        </w:rPr>
        <w:t xml:space="preserve"> </w:t>
      </w:r>
      <w:r>
        <w:rPr>
          <w:rFonts w:ascii="Arial" w:cs="Arial" w:eastAsia="Arial" w:hAnsi="Arial"/>
          <w:sz w:val="18"/>
          <w:szCs w:val="18"/>
          <w:color w:val="262626"/>
        </w:rPr>
        <w:t>then</w:t>
      </w:r>
      <w:r>
        <w:rPr>
          <w:rFonts w:ascii="Arial" w:cs="Arial" w:eastAsia="Arial" w:hAnsi="Arial"/>
          <w:sz w:val="18"/>
          <w:szCs w:val="18"/>
          <w:color w:val="2D2D2D"/>
        </w:rPr>
        <w:t xml:space="preserve"> </w:t>
      </w:r>
      <w:r>
        <w:rPr>
          <w:rFonts w:ascii="Arial" w:cs="Arial" w:eastAsia="Arial" w:hAnsi="Arial"/>
          <w:sz w:val="18"/>
          <w:szCs w:val="18"/>
          <w:color w:val="282828"/>
        </w:rPr>
        <w:t>at</w:t>
      </w:r>
      <w:r>
        <w:rPr>
          <w:rFonts w:ascii="Arial" w:cs="Arial" w:eastAsia="Arial" w:hAnsi="Arial"/>
          <w:sz w:val="18"/>
          <w:szCs w:val="18"/>
          <w:color w:val="2D2D2D"/>
        </w:rPr>
        <w:t xml:space="preserve"> </w:t>
      </w:r>
      <w:r>
        <w:rPr>
          <w:rFonts w:ascii="Arial" w:cs="Arial" w:eastAsia="Arial" w:hAnsi="Arial"/>
          <w:sz w:val="18"/>
          <w:szCs w:val="18"/>
          <w:color w:val="2F2F2F"/>
        </w:rPr>
        <w:t>or</w:t>
      </w:r>
      <w:r>
        <w:rPr>
          <w:rFonts w:ascii="Arial" w:cs="Arial" w:eastAsia="Arial" w:hAnsi="Arial"/>
          <w:sz w:val="18"/>
          <w:szCs w:val="18"/>
          <w:color w:val="2D2D2D"/>
        </w:rPr>
        <w:t xml:space="preserve"> </w:t>
      </w:r>
      <w:r>
        <w:rPr>
          <w:rFonts w:ascii="Arial" w:cs="Arial" w:eastAsia="Arial" w:hAnsi="Arial"/>
          <w:sz w:val="18"/>
          <w:szCs w:val="18"/>
          <w:color w:val="242424"/>
        </w:rPr>
        <w:t>before</w:t>
      </w:r>
      <w:r>
        <w:rPr>
          <w:rFonts w:ascii="Arial" w:cs="Arial" w:eastAsia="Arial" w:hAnsi="Arial"/>
          <w:sz w:val="18"/>
          <w:szCs w:val="18"/>
          <w:color w:val="2D2D2D"/>
        </w:rPr>
        <w:t xml:space="preserve"> </w:t>
      </w:r>
      <w:r>
        <w:rPr>
          <w:rFonts w:ascii="Arial" w:cs="Arial" w:eastAsia="Arial" w:hAnsi="Arial"/>
          <w:sz w:val="18"/>
          <w:szCs w:val="18"/>
          <w:color w:val="1C1C1C"/>
        </w:rPr>
        <w:t>the</w:t>
      </w:r>
      <w:r>
        <w:rPr>
          <w:rFonts w:ascii="Arial" w:cs="Arial" w:eastAsia="Arial" w:hAnsi="Arial"/>
          <w:sz w:val="18"/>
          <w:szCs w:val="18"/>
          <w:color w:val="2D2D2D"/>
        </w:rPr>
        <w:t xml:space="preserve"> </w:t>
      </w:r>
      <w:r>
        <w:rPr>
          <w:rFonts w:ascii="Arial" w:cs="Arial" w:eastAsia="Arial" w:hAnsi="Arial"/>
          <w:sz w:val="18"/>
          <w:szCs w:val="18"/>
          <w:color w:val="212121"/>
        </w:rPr>
        <w:t>time</w:t>
      </w:r>
      <w:r>
        <w:rPr>
          <w:rFonts w:ascii="Arial" w:cs="Arial" w:eastAsia="Arial" w:hAnsi="Arial"/>
          <w:sz w:val="18"/>
          <w:szCs w:val="18"/>
          <w:color w:val="2D2D2D"/>
        </w:rPr>
        <w:t xml:space="preserve"> </w:t>
      </w:r>
      <w:r>
        <w:rPr>
          <w:rFonts w:ascii="Arial" w:cs="Arial" w:eastAsia="Arial" w:hAnsi="Arial"/>
          <w:sz w:val="18"/>
          <w:szCs w:val="18"/>
          <w:color w:val="262626"/>
        </w:rPr>
        <w:t>any</w:t>
      </w:r>
      <w:r>
        <w:rPr>
          <w:rFonts w:ascii="Arial" w:cs="Arial" w:eastAsia="Arial" w:hAnsi="Arial"/>
          <w:sz w:val="18"/>
          <w:szCs w:val="18"/>
          <w:color w:val="2D2D2D"/>
        </w:rPr>
        <w:t xml:space="preserve"> </w:t>
      </w:r>
      <w:r>
        <w:rPr>
          <w:rFonts w:ascii="Arial" w:cs="Arial" w:eastAsia="Arial" w:hAnsi="Arial"/>
          <w:sz w:val="18"/>
          <w:szCs w:val="18"/>
          <w:color w:val="1C1C1C"/>
        </w:rPr>
        <w:t>part</w:t>
      </w:r>
      <w:r>
        <w:rPr>
          <w:rFonts w:ascii="Arial" w:cs="Arial" w:eastAsia="Arial" w:hAnsi="Arial"/>
          <w:sz w:val="18"/>
          <w:szCs w:val="18"/>
          <w:color w:val="2D2D2D"/>
        </w:rPr>
        <w:t xml:space="preserve"> </w:t>
      </w:r>
      <w:r>
        <w:rPr>
          <w:rFonts w:ascii="Arial" w:cs="Arial" w:eastAsia="Arial" w:hAnsi="Arial"/>
          <w:sz w:val="18"/>
          <w:szCs w:val="18"/>
          <w:color w:val="1F1F1F"/>
        </w:rPr>
        <w:t>of</w:t>
      </w:r>
      <w:r>
        <w:rPr>
          <w:rFonts w:ascii="Arial" w:cs="Arial" w:eastAsia="Arial" w:hAnsi="Arial"/>
          <w:sz w:val="18"/>
          <w:szCs w:val="18"/>
          <w:color w:val="2D2D2D"/>
        </w:rPr>
        <w:t xml:space="preserve"> </w:t>
      </w:r>
      <w:r>
        <w:rPr>
          <w:rFonts w:ascii="Arial" w:cs="Arial" w:eastAsia="Arial" w:hAnsi="Arial"/>
          <w:sz w:val="18"/>
          <w:szCs w:val="18"/>
          <w:color w:val="212121"/>
        </w:rPr>
        <w:t>the</w:t>
      </w:r>
      <w:r>
        <w:rPr>
          <w:rFonts w:ascii="Arial" w:cs="Arial" w:eastAsia="Arial" w:hAnsi="Arial"/>
          <w:sz w:val="18"/>
          <w:szCs w:val="18"/>
          <w:color w:val="2D2D2D"/>
        </w:rPr>
        <w:t xml:space="preserve"> </w:t>
      </w:r>
      <w:r>
        <w:rPr>
          <w:rFonts w:ascii="Arial" w:cs="Arial" w:eastAsia="Arial" w:hAnsi="Arial"/>
          <w:sz w:val="18"/>
          <w:szCs w:val="18"/>
          <w:color w:val="1F1F1F"/>
        </w:rPr>
        <w:t xml:space="preserve">consideration </w:t>
      </w:r>
      <w:r>
        <w:rPr>
          <w:rFonts w:ascii="Arial" w:cs="Arial" w:eastAsia="Arial" w:hAnsi="Arial"/>
          <w:sz w:val="18"/>
          <w:szCs w:val="18"/>
          <w:color w:val="1C1C1C"/>
        </w:rPr>
        <w:t>for</w:t>
      </w:r>
      <w:r>
        <w:rPr>
          <w:rFonts w:ascii="Arial" w:cs="Arial" w:eastAsia="Arial" w:hAnsi="Arial"/>
          <w:sz w:val="18"/>
          <w:szCs w:val="18"/>
          <w:color w:val="1F1F1F"/>
        </w:rPr>
        <w:t xml:space="preserve"> </w:t>
      </w:r>
      <w:r>
        <w:rPr>
          <w:rFonts w:ascii="Arial" w:cs="Arial" w:eastAsia="Arial" w:hAnsi="Arial"/>
          <w:sz w:val="18"/>
          <w:szCs w:val="18"/>
          <w:color w:val="282828"/>
        </w:rPr>
        <w:t>the</w:t>
      </w:r>
      <w:r>
        <w:rPr>
          <w:rFonts w:ascii="Arial" w:cs="Arial" w:eastAsia="Arial" w:hAnsi="Arial"/>
          <w:sz w:val="18"/>
          <w:szCs w:val="18"/>
          <w:color w:val="1F1F1F"/>
        </w:rPr>
        <w:t xml:space="preserve"> </w:t>
      </w:r>
      <w:r>
        <w:rPr>
          <w:rFonts w:ascii="Arial" w:cs="Arial" w:eastAsia="Arial" w:hAnsi="Arial"/>
          <w:sz w:val="18"/>
          <w:szCs w:val="18"/>
          <w:color w:val="151515"/>
        </w:rPr>
        <w:t>Supply</w:t>
      </w:r>
      <w:r>
        <w:rPr>
          <w:rFonts w:ascii="Arial" w:cs="Arial" w:eastAsia="Arial" w:hAnsi="Arial"/>
          <w:sz w:val="18"/>
          <w:szCs w:val="18"/>
          <w:color w:val="1F1F1F"/>
        </w:rPr>
        <w:t xml:space="preserve"> </w:t>
      </w:r>
      <w:r>
        <w:rPr>
          <w:rFonts w:ascii="Arial" w:cs="Arial" w:eastAsia="Arial" w:hAnsi="Arial"/>
          <w:sz w:val="18"/>
          <w:szCs w:val="18"/>
          <w:color w:val="232323"/>
        </w:rPr>
        <w:t>is</w:t>
      </w:r>
      <w:r>
        <w:rPr>
          <w:rFonts w:ascii="Arial" w:cs="Arial" w:eastAsia="Arial" w:hAnsi="Arial"/>
          <w:sz w:val="18"/>
          <w:szCs w:val="18"/>
          <w:color w:val="1F1F1F"/>
        </w:rPr>
        <w:t xml:space="preserve"> </w:t>
      </w:r>
      <w:r>
        <w:rPr>
          <w:rFonts w:ascii="Arial" w:cs="Arial" w:eastAsia="Arial" w:hAnsi="Arial"/>
          <w:sz w:val="18"/>
          <w:szCs w:val="18"/>
          <w:color w:val="262626"/>
        </w:rPr>
        <w:t>payable:</w:t>
      </w:r>
    </w:p>
    <w:p>
      <w:pPr>
        <w:spacing w:after="0" w:line="183" w:lineRule="exact"/>
        <w:rPr>
          <w:sz w:val="20"/>
          <w:szCs w:val="20"/>
          <w:color w:val="auto"/>
        </w:rPr>
      </w:pPr>
    </w:p>
    <w:p>
      <w:pPr>
        <w:ind w:left="1300" w:right="800" w:hanging="644"/>
        <w:spacing w:after="0" w:line="246" w:lineRule="auto"/>
        <w:tabs>
          <w:tab w:leader="none" w:pos="1300" w:val="left"/>
        </w:tabs>
        <w:numPr>
          <w:ilvl w:val="0"/>
          <w:numId w:val="202"/>
        </w:numPr>
        <w:rPr>
          <w:rFonts w:ascii="Arial" w:cs="Arial" w:eastAsia="Arial" w:hAnsi="Arial"/>
          <w:sz w:val="18"/>
          <w:szCs w:val="18"/>
          <w:color w:val="0E0E0E"/>
        </w:rPr>
      </w:pPr>
      <w:r>
        <w:rPr>
          <w:rFonts w:ascii="Arial" w:cs="Arial" w:eastAsia="Arial" w:hAnsi="Arial"/>
          <w:sz w:val="18"/>
          <w:szCs w:val="18"/>
          <w:color w:val="212121"/>
        </w:rPr>
        <w:t xml:space="preserve">the </w:t>
      </w:r>
      <w:r>
        <w:rPr>
          <w:rFonts w:ascii="Arial" w:cs="Arial" w:eastAsia="Arial" w:hAnsi="Arial"/>
          <w:sz w:val="18"/>
          <w:szCs w:val="18"/>
          <w:color w:val="1C1C1C"/>
        </w:rPr>
        <w:t>Recipient must</w:t>
      </w:r>
      <w:r>
        <w:rPr>
          <w:rFonts w:ascii="Arial" w:cs="Arial" w:eastAsia="Arial" w:hAnsi="Arial"/>
          <w:sz w:val="18"/>
          <w:szCs w:val="18"/>
          <w:color w:val="212121"/>
        </w:rPr>
        <w:t xml:space="preserve"> </w:t>
      </w:r>
      <w:r>
        <w:rPr>
          <w:rFonts w:ascii="Arial" w:cs="Arial" w:eastAsia="Arial" w:hAnsi="Arial"/>
          <w:sz w:val="18"/>
          <w:szCs w:val="18"/>
          <w:color w:val="2D2D2D"/>
        </w:rPr>
        <w:t>pay</w:t>
      </w:r>
      <w:r>
        <w:rPr>
          <w:rFonts w:ascii="Arial" w:cs="Arial" w:eastAsia="Arial" w:hAnsi="Arial"/>
          <w:sz w:val="18"/>
          <w:szCs w:val="18"/>
          <w:color w:val="212121"/>
        </w:rPr>
        <w:t xml:space="preserve"> </w:t>
      </w:r>
      <w:r>
        <w:rPr>
          <w:rFonts w:ascii="Arial" w:cs="Arial" w:eastAsia="Arial" w:hAnsi="Arial"/>
          <w:sz w:val="18"/>
          <w:szCs w:val="18"/>
          <w:color w:val="1F1F1F"/>
        </w:rPr>
        <w:t>the</w:t>
      </w:r>
      <w:r>
        <w:rPr>
          <w:rFonts w:ascii="Arial" w:cs="Arial" w:eastAsia="Arial" w:hAnsi="Arial"/>
          <w:sz w:val="18"/>
          <w:szCs w:val="18"/>
          <w:color w:val="212121"/>
        </w:rPr>
        <w:t xml:space="preserve"> </w:t>
      </w:r>
      <w:r>
        <w:rPr>
          <w:rFonts w:ascii="Arial" w:cs="Arial" w:eastAsia="Arial" w:hAnsi="Arial"/>
          <w:sz w:val="18"/>
          <w:szCs w:val="18"/>
          <w:color w:val="1A1A1A"/>
        </w:rPr>
        <w:t>Supplier</w:t>
      </w:r>
      <w:r>
        <w:rPr>
          <w:rFonts w:ascii="Arial" w:cs="Arial" w:eastAsia="Arial" w:hAnsi="Arial"/>
          <w:sz w:val="18"/>
          <w:szCs w:val="18"/>
          <w:color w:val="212121"/>
        </w:rPr>
        <w:t xml:space="preserve"> </w:t>
      </w:r>
      <w:r>
        <w:rPr>
          <w:rFonts w:ascii="Arial" w:cs="Arial" w:eastAsia="Arial" w:hAnsi="Arial"/>
          <w:sz w:val="18"/>
          <w:szCs w:val="18"/>
          <w:color w:val="1C1C1C"/>
        </w:rPr>
        <w:t>an</w:t>
      </w:r>
      <w:r>
        <w:rPr>
          <w:rFonts w:ascii="Arial" w:cs="Arial" w:eastAsia="Arial" w:hAnsi="Arial"/>
          <w:sz w:val="18"/>
          <w:szCs w:val="18"/>
          <w:color w:val="212121"/>
        </w:rPr>
        <w:t xml:space="preserve"> </w:t>
      </w:r>
      <w:r>
        <w:rPr>
          <w:rFonts w:ascii="Arial" w:cs="Arial" w:eastAsia="Arial" w:hAnsi="Arial"/>
          <w:sz w:val="18"/>
          <w:szCs w:val="18"/>
          <w:color w:val="1D1D1D"/>
        </w:rPr>
        <w:t>amount</w:t>
      </w:r>
      <w:r>
        <w:rPr>
          <w:rFonts w:ascii="Arial" w:cs="Arial" w:eastAsia="Arial" w:hAnsi="Arial"/>
          <w:sz w:val="18"/>
          <w:szCs w:val="18"/>
          <w:color w:val="212121"/>
        </w:rPr>
        <w:t xml:space="preserve"> </w:t>
      </w:r>
      <w:r>
        <w:rPr>
          <w:rFonts w:ascii="Arial" w:cs="Arial" w:eastAsia="Arial" w:hAnsi="Arial"/>
          <w:sz w:val="18"/>
          <w:szCs w:val="18"/>
          <w:color w:val="2A2A2A"/>
        </w:rPr>
        <w:t>equal</w:t>
      </w:r>
      <w:r>
        <w:rPr>
          <w:rFonts w:ascii="Arial" w:cs="Arial" w:eastAsia="Arial" w:hAnsi="Arial"/>
          <w:sz w:val="18"/>
          <w:szCs w:val="18"/>
          <w:color w:val="212121"/>
        </w:rPr>
        <w:t xml:space="preserve"> </w:t>
      </w:r>
      <w:r>
        <w:rPr>
          <w:rFonts w:ascii="Arial" w:cs="Arial" w:eastAsia="Arial" w:hAnsi="Arial"/>
          <w:sz w:val="18"/>
          <w:szCs w:val="18"/>
          <w:color w:val="151515"/>
        </w:rPr>
        <w:t>to</w:t>
      </w:r>
      <w:r>
        <w:rPr>
          <w:rFonts w:ascii="Arial" w:cs="Arial" w:eastAsia="Arial" w:hAnsi="Arial"/>
          <w:sz w:val="18"/>
          <w:szCs w:val="18"/>
          <w:color w:val="212121"/>
        </w:rPr>
        <w:t xml:space="preserve"> </w:t>
      </w:r>
      <w:r>
        <w:rPr>
          <w:rFonts w:ascii="Arial" w:cs="Arial" w:eastAsia="Arial" w:hAnsi="Arial"/>
          <w:sz w:val="18"/>
          <w:szCs w:val="18"/>
          <w:color w:val="1F1F1F"/>
        </w:rPr>
        <w:t>the total</w:t>
      </w:r>
      <w:r>
        <w:rPr>
          <w:rFonts w:ascii="Arial" w:cs="Arial" w:eastAsia="Arial" w:hAnsi="Arial"/>
          <w:sz w:val="18"/>
          <w:szCs w:val="18"/>
          <w:color w:val="212121"/>
        </w:rPr>
        <w:t xml:space="preserve"> GST </w:t>
      </w:r>
      <w:r>
        <w:rPr>
          <w:rFonts w:ascii="Arial" w:cs="Arial" w:eastAsia="Arial" w:hAnsi="Arial"/>
          <w:sz w:val="18"/>
          <w:szCs w:val="18"/>
          <w:color w:val="232323"/>
        </w:rPr>
        <w:t>for</w:t>
      </w:r>
      <w:r>
        <w:rPr>
          <w:rFonts w:ascii="Arial" w:cs="Arial" w:eastAsia="Arial" w:hAnsi="Arial"/>
          <w:sz w:val="18"/>
          <w:szCs w:val="18"/>
          <w:color w:val="212121"/>
        </w:rPr>
        <w:t xml:space="preserve"> </w:t>
      </w:r>
      <w:r>
        <w:rPr>
          <w:rFonts w:ascii="Arial" w:cs="Arial" w:eastAsia="Arial" w:hAnsi="Arial"/>
          <w:sz w:val="18"/>
          <w:szCs w:val="18"/>
          <w:color w:val="1F1F1F"/>
        </w:rPr>
        <w:t>the Supply,</w:t>
      </w:r>
      <w:r>
        <w:rPr>
          <w:rFonts w:ascii="Arial" w:cs="Arial" w:eastAsia="Arial" w:hAnsi="Arial"/>
          <w:sz w:val="18"/>
          <w:szCs w:val="18"/>
          <w:color w:val="212121"/>
        </w:rPr>
        <w:t xml:space="preserve"> </w:t>
      </w:r>
      <w:r>
        <w:rPr>
          <w:rFonts w:ascii="Arial" w:cs="Arial" w:eastAsia="Arial" w:hAnsi="Arial"/>
          <w:sz w:val="18"/>
          <w:szCs w:val="18"/>
          <w:color w:val="262626"/>
        </w:rPr>
        <w:t>in</w:t>
      </w:r>
      <w:r>
        <w:rPr>
          <w:rFonts w:ascii="Arial" w:cs="Arial" w:eastAsia="Arial" w:hAnsi="Arial"/>
          <w:sz w:val="18"/>
          <w:szCs w:val="18"/>
          <w:color w:val="212121"/>
        </w:rPr>
        <w:t xml:space="preserve"> </w:t>
      </w:r>
      <w:r>
        <w:rPr>
          <w:rFonts w:ascii="Arial" w:cs="Arial" w:eastAsia="Arial" w:hAnsi="Arial"/>
          <w:sz w:val="18"/>
          <w:szCs w:val="18"/>
          <w:color w:val="111111"/>
        </w:rPr>
        <w:t>addition</w:t>
      </w:r>
      <w:r>
        <w:rPr>
          <w:rFonts w:ascii="Arial" w:cs="Arial" w:eastAsia="Arial" w:hAnsi="Arial"/>
          <w:sz w:val="18"/>
          <w:szCs w:val="18"/>
          <w:color w:val="212121"/>
        </w:rPr>
        <w:t xml:space="preserve"> </w:t>
      </w:r>
      <w:r>
        <w:rPr>
          <w:rFonts w:ascii="Arial" w:cs="Arial" w:eastAsia="Arial" w:hAnsi="Arial"/>
          <w:sz w:val="18"/>
          <w:szCs w:val="18"/>
          <w:color w:val="1F1F1F"/>
        </w:rPr>
        <w:t>to</w:t>
      </w:r>
      <w:r>
        <w:rPr>
          <w:rFonts w:ascii="Arial" w:cs="Arial" w:eastAsia="Arial" w:hAnsi="Arial"/>
          <w:sz w:val="18"/>
          <w:szCs w:val="18"/>
          <w:color w:val="212121"/>
        </w:rPr>
        <w:t xml:space="preserve"> </w:t>
      </w:r>
      <w:r>
        <w:rPr>
          <w:rFonts w:ascii="Arial" w:cs="Arial" w:eastAsia="Arial" w:hAnsi="Arial"/>
          <w:sz w:val="18"/>
          <w:szCs w:val="18"/>
          <w:color w:val="1D1D1D"/>
        </w:rPr>
        <w:t>and</w:t>
      </w:r>
      <w:r>
        <w:rPr>
          <w:rFonts w:ascii="Arial" w:cs="Arial" w:eastAsia="Arial" w:hAnsi="Arial"/>
          <w:sz w:val="18"/>
          <w:szCs w:val="18"/>
          <w:color w:val="212121"/>
        </w:rPr>
        <w:t xml:space="preserve"> in the same </w:t>
      </w:r>
      <w:r>
        <w:rPr>
          <w:rFonts w:ascii="Arial" w:cs="Arial" w:eastAsia="Arial" w:hAnsi="Arial"/>
          <w:sz w:val="18"/>
          <w:szCs w:val="18"/>
          <w:color w:val="1F1F1F"/>
        </w:rPr>
        <w:t xml:space="preserve">manner </w:t>
      </w:r>
      <w:r>
        <w:rPr>
          <w:rFonts w:ascii="Arial" w:cs="Arial" w:eastAsia="Arial" w:hAnsi="Arial"/>
          <w:sz w:val="18"/>
          <w:szCs w:val="18"/>
          <w:color w:val="2B2B2B"/>
        </w:rPr>
        <w:t>as</w:t>
      </w:r>
      <w:r>
        <w:rPr>
          <w:rFonts w:ascii="Arial" w:cs="Arial" w:eastAsia="Arial" w:hAnsi="Arial"/>
          <w:sz w:val="18"/>
          <w:szCs w:val="18"/>
          <w:color w:val="1F1F1F"/>
        </w:rPr>
        <w:t xml:space="preserve"> </w:t>
      </w:r>
      <w:r>
        <w:rPr>
          <w:rFonts w:ascii="Arial" w:cs="Arial" w:eastAsia="Arial" w:hAnsi="Arial"/>
          <w:sz w:val="18"/>
          <w:szCs w:val="18"/>
          <w:color w:val="242424"/>
        </w:rPr>
        <w:t>the</w:t>
      </w:r>
      <w:r>
        <w:rPr>
          <w:rFonts w:ascii="Arial" w:cs="Arial" w:eastAsia="Arial" w:hAnsi="Arial"/>
          <w:sz w:val="18"/>
          <w:szCs w:val="18"/>
          <w:color w:val="1F1F1F"/>
        </w:rPr>
        <w:t xml:space="preserve"> </w:t>
      </w:r>
      <w:r>
        <w:rPr>
          <w:rFonts w:ascii="Arial" w:cs="Arial" w:eastAsia="Arial" w:hAnsi="Arial"/>
          <w:sz w:val="18"/>
          <w:szCs w:val="18"/>
          <w:color w:val="1C1C1C"/>
        </w:rPr>
        <w:t>consideration</w:t>
      </w:r>
      <w:r>
        <w:rPr>
          <w:rFonts w:ascii="Arial" w:cs="Arial" w:eastAsia="Arial" w:hAnsi="Arial"/>
          <w:sz w:val="18"/>
          <w:szCs w:val="18"/>
          <w:color w:val="1F1F1F"/>
        </w:rPr>
        <w:t xml:space="preserve"> </w:t>
      </w:r>
      <w:r>
        <w:rPr>
          <w:rFonts w:ascii="Arial" w:cs="Arial" w:eastAsia="Arial" w:hAnsi="Arial"/>
          <w:sz w:val="18"/>
          <w:szCs w:val="18"/>
          <w:color w:val="1D1D1D"/>
        </w:rPr>
        <w:t>otherwise</w:t>
      </w:r>
      <w:r>
        <w:rPr>
          <w:rFonts w:ascii="Arial" w:cs="Arial" w:eastAsia="Arial" w:hAnsi="Arial"/>
          <w:sz w:val="18"/>
          <w:szCs w:val="18"/>
          <w:color w:val="1F1F1F"/>
        </w:rPr>
        <w:t xml:space="preserve"> </w:t>
      </w:r>
      <w:r>
        <w:rPr>
          <w:rFonts w:ascii="Arial" w:cs="Arial" w:eastAsia="Arial" w:hAnsi="Arial"/>
          <w:sz w:val="18"/>
          <w:szCs w:val="18"/>
          <w:color w:val="242424"/>
        </w:rPr>
        <w:t>payable</w:t>
      </w:r>
      <w:r>
        <w:rPr>
          <w:rFonts w:ascii="Arial" w:cs="Arial" w:eastAsia="Arial" w:hAnsi="Arial"/>
          <w:sz w:val="18"/>
          <w:szCs w:val="18"/>
          <w:color w:val="1F1F1F"/>
        </w:rPr>
        <w:t xml:space="preserve"> </w:t>
      </w:r>
      <w:r>
        <w:rPr>
          <w:rFonts w:ascii="Arial" w:cs="Arial" w:eastAsia="Arial" w:hAnsi="Arial"/>
          <w:sz w:val="18"/>
          <w:szCs w:val="18"/>
          <w:color w:val="212121"/>
        </w:rPr>
        <w:t>under</w:t>
      </w:r>
      <w:r>
        <w:rPr>
          <w:rFonts w:ascii="Arial" w:cs="Arial" w:eastAsia="Arial" w:hAnsi="Arial"/>
          <w:sz w:val="18"/>
          <w:szCs w:val="18"/>
          <w:color w:val="1F1F1F"/>
        </w:rPr>
        <w:t xml:space="preserve"> </w:t>
      </w:r>
      <w:r>
        <w:rPr>
          <w:rFonts w:ascii="Arial" w:cs="Arial" w:eastAsia="Arial" w:hAnsi="Arial"/>
          <w:sz w:val="18"/>
          <w:szCs w:val="18"/>
          <w:color w:val="1C1C1C"/>
        </w:rPr>
        <w:t>this</w:t>
      </w:r>
      <w:r>
        <w:rPr>
          <w:rFonts w:ascii="Arial" w:cs="Arial" w:eastAsia="Arial" w:hAnsi="Arial"/>
          <w:sz w:val="18"/>
          <w:szCs w:val="18"/>
          <w:color w:val="1F1F1F"/>
        </w:rPr>
        <w:t xml:space="preserve"> </w:t>
      </w:r>
      <w:r>
        <w:rPr>
          <w:rFonts w:ascii="Arial" w:cs="Arial" w:eastAsia="Arial" w:hAnsi="Arial"/>
          <w:sz w:val="18"/>
          <w:szCs w:val="18"/>
          <w:color w:val="000000"/>
        </w:rPr>
        <w:t>document</w:t>
      </w:r>
      <w:r>
        <w:rPr>
          <w:rFonts w:ascii="Arial" w:cs="Arial" w:eastAsia="Arial" w:hAnsi="Arial"/>
          <w:sz w:val="18"/>
          <w:szCs w:val="18"/>
          <w:color w:val="1F1F1F"/>
        </w:rPr>
        <w:t xml:space="preserve"> </w:t>
      </w:r>
      <w:r>
        <w:rPr>
          <w:rFonts w:ascii="Arial" w:cs="Arial" w:eastAsia="Arial" w:hAnsi="Arial"/>
          <w:sz w:val="18"/>
          <w:szCs w:val="18"/>
          <w:color w:val="212121"/>
        </w:rPr>
        <w:t>for</w:t>
      </w:r>
      <w:r>
        <w:rPr>
          <w:rFonts w:ascii="Arial" w:cs="Arial" w:eastAsia="Arial" w:hAnsi="Arial"/>
          <w:sz w:val="18"/>
          <w:szCs w:val="18"/>
          <w:color w:val="1F1F1F"/>
        </w:rPr>
        <w:t xml:space="preserve"> </w:t>
      </w:r>
      <w:r>
        <w:rPr>
          <w:rFonts w:ascii="Arial" w:cs="Arial" w:eastAsia="Arial" w:hAnsi="Arial"/>
          <w:sz w:val="18"/>
          <w:szCs w:val="18"/>
          <w:color w:val="1D1D1D"/>
        </w:rPr>
        <w:t>that</w:t>
      </w:r>
      <w:r>
        <w:rPr>
          <w:rFonts w:ascii="Arial" w:cs="Arial" w:eastAsia="Arial" w:hAnsi="Arial"/>
          <w:sz w:val="18"/>
          <w:szCs w:val="18"/>
          <w:color w:val="1F1F1F"/>
        </w:rPr>
        <w:t xml:space="preserve"> Supply; </w:t>
      </w:r>
      <w:r>
        <w:rPr>
          <w:rFonts w:ascii="Arial" w:cs="Arial" w:eastAsia="Arial" w:hAnsi="Arial"/>
          <w:sz w:val="18"/>
          <w:szCs w:val="18"/>
          <w:color w:val="181818"/>
        </w:rPr>
        <w:t>and</w:t>
      </w:r>
    </w:p>
    <w:p>
      <w:pPr>
        <w:spacing w:after="0" w:line="183" w:lineRule="exact"/>
        <w:rPr>
          <w:rFonts w:ascii="Arial" w:cs="Arial" w:eastAsia="Arial" w:hAnsi="Arial"/>
          <w:sz w:val="18"/>
          <w:szCs w:val="18"/>
          <w:color w:val="0E0E0E"/>
        </w:rPr>
      </w:pPr>
    </w:p>
    <w:p>
      <w:pPr>
        <w:ind w:left="1300" w:hanging="644"/>
        <w:spacing w:after="0"/>
        <w:tabs>
          <w:tab w:leader="none" w:pos="1300" w:val="left"/>
        </w:tabs>
        <w:numPr>
          <w:ilvl w:val="0"/>
          <w:numId w:val="202"/>
        </w:numPr>
        <w:rPr>
          <w:rFonts w:ascii="Arial" w:cs="Arial" w:eastAsia="Arial" w:hAnsi="Arial"/>
          <w:sz w:val="18"/>
          <w:szCs w:val="18"/>
          <w:color w:val="1F1F1F"/>
        </w:rPr>
      </w:pPr>
      <w:r>
        <w:rPr>
          <w:rFonts w:ascii="Arial" w:cs="Arial" w:eastAsia="Arial" w:hAnsi="Arial"/>
          <w:sz w:val="18"/>
          <w:szCs w:val="18"/>
          <w:color w:val="1F1F1F"/>
        </w:rPr>
        <w:t xml:space="preserve">the </w:t>
      </w:r>
      <w:r>
        <w:rPr>
          <w:rFonts w:ascii="Arial" w:cs="Arial" w:eastAsia="Arial" w:hAnsi="Arial"/>
          <w:sz w:val="18"/>
          <w:szCs w:val="18"/>
          <w:color w:val="1C1C1C"/>
        </w:rPr>
        <w:t>Supplier</w:t>
      </w:r>
      <w:r>
        <w:rPr>
          <w:rFonts w:ascii="Arial" w:cs="Arial" w:eastAsia="Arial" w:hAnsi="Arial"/>
          <w:sz w:val="18"/>
          <w:szCs w:val="18"/>
          <w:color w:val="1F1F1F"/>
        </w:rPr>
        <w:t xml:space="preserve"> </w:t>
      </w:r>
      <w:r>
        <w:rPr>
          <w:rFonts w:ascii="Arial" w:cs="Arial" w:eastAsia="Arial" w:hAnsi="Arial"/>
          <w:sz w:val="18"/>
          <w:szCs w:val="18"/>
          <w:color w:val="1A1A1A"/>
        </w:rPr>
        <w:t>must</w:t>
      </w:r>
      <w:r>
        <w:rPr>
          <w:rFonts w:ascii="Arial" w:cs="Arial" w:eastAsia="Arial" w:hAnsi="Arial"/>
          <w:sz w:val="18"/>
          <w:szCs w:val="18"/>
          <w:color w:val="1F1F1F"/>
        </w:rPr>
        <w:t xml:space="preserve"> </w:t>
      </w:r>
      <w:r>
        <w:rPr>
          <w:rFonts w:ascii="Arial" w:cs="Arial" w:eastAsia="Arial" w:hAnsi="Arial"/>
          <w:sz w:val="18"/>
          <w:szCs w:val="18"/>
          <w:color w:val="212121"/>
        </w:rPr>
        <w:t>give</w:t>
      </w:r>
      <w:r>
        <w:rPr>
          <w:rFonts w:ascii="Arial" w:cs="Arial" w:eastAsia="Arial" w:hAnsi="Arial"/>
          <w:sz w:val="18"/>
          <w:szCs w:val="18"/>
          <w:color w:val="1F1F1F"/>
        </w:rPr>
        <w:t xml:space="preserve"> </w:t>
      </w:r>
      <w:r>
        <w:rPr>
          <w:rFonts w:ascii="Arial" w:cs="Arial" w:eastAsia="Arial" w:hAnsi="Arial"/>
          <w:sz w:val="18"/>
          <w:szCs w:val="18"/>
          <w:color w:val="232323"/>
        </w:rPr>
        <w:t>the</w:t>
      </w:r>
      <w:r>
        <w:rPr>
          <w:rFonts w:ascii="Arial" w:cs="Arial" w:eastAsia="Arial" w:hAnsi="Arial"/>
          <w:sz w:val="18"/>
          <w:szCs w:val="18"/>
          <w:color w:val="1F1F1F"/>
        </w:rPr>
        <w:t xml:space="preserve"> </w:t>
      </w:r>
      <w:r>
        <w:rPr>
          <w:rFonts w:ascii="Arial" w:cs="Arial" w:eastAsia="Arial" w:hAnsi="Arial"/>
          <w:sz w:val="18"/>
          <w:szCs w:val="18"/>
          <w:color w:val="1C1C1C"/>
        </w:rPr>
        <w:t>Recipient</w:t>
      </w:r>
      <w:r>
        <w:rPr>
          <w:rFonts w:ascii="Arial" w:cs="Arial" w:eastAsia="Arial" w:hAnsi="Arial"/>
          <w:sz w:val="18"/>
          <w:szCs w:val="18"/>
          <w:color w:val="1F1F1F"/>
        </w:rPr>
        <w:t xml:space="preserve"> a </w:t>
      </w:r>
      <w:r>
        <w:rPr>
          <w:rFonts w:ascii="Arial" w:cs="Arial" w:eastAsia="Arial" w:hAnsi="Arial"/>
          <w:sz w:val="18"/>
          <w:szCs w:val="18"/>
          <w:color w:val="262626"/>
        </w:rPr>
        <w:t>Tax</w:t>
      </w:r>
      <w:r>
        <w:rPr>
          <w:rFonts w:ascii="Arial" w:cs="Arial" w:eastAsia="Arial" w:hAnsi="Arial"/>
          <w:sz w:val="18"/>
          <w:szCs w:val="18"/>
          <w:color w:val="1F1F1F"/>
        </w:rPr>
        <w:t xml:space="preserve"> </w:t>
      </w:r>
      <w:r>
        <w:rPr>
          <w:rFonts w:ascii="Arial" w:cs="Arial" w:eastAsia="Arial" w:hAnsi="Arial"/>
          <w:sz w:val="18"/>
          <w:szCs w:val="18"/>
          <w:color w:val="181818"/>
        </w:rPr>
        <w:t>Invoice</w:t>
      </w:r>
      <w:r>
        <w:rPr>
          <w:rFonts w:ascii="Arial" w:cs="Arial" w:eastAsia="Arial" w:hAnsi="Arial"/>
          <w:sz w:val="18"/>
          <w:szCs w:val="18"/>
          <w:color w:val="1F1F1F"/>
        </w:rPr>
        <w:t xml:space="preserve"> </w:t>
      </w:r>
      <w:r>
        <w:rPr>
          <w:rFonts w:ascii="Arial" w:cs="Arial" w:eastAsia="Arial" w:hAnsi="Arial"/>
          <w:sz w:val="18"/>
          <w:szCs w:val="18"/>
          <w:color w:val="212121"/>
        </w:rPr>
        <w:t>for</w:t>
      </w:r>
      <w:r>
        <w:rPr>
          <w:rFonts w:ascii="Arial" w:cs="Arial" w:eastAsia="Arial" w:hAnsi="Arial"/>
          <w:sz w:val="18"/>
          <w:szCs w:val="18"/>
          <w:color w:val="1F1F1F"/>
        </w:rPr>
        <w:t xml:space="preserve"> </w:t>
      </w:r>
      <w:r>
        <w:rPr>
          <w:rFonts w:ascii="Arial" w:cs="Arial" w:eastAsia="Arial" w:hAnsi="Arial"/>
          <w:sz w:val="18"/>
          <w:szCs w:val="18"/>
          <w:color w:val="282828"/>
        </w:rPr>
        <w:t>the</w:t>
      </w:r>
      <w:r>
        <w:rPr>
          <w:rFonts w:ascii="Arial" w:cs="Arial" w:eastAsia="Arial" w:hAnsi="Arial"/>
          <w:sz w:val="18"/>
          <w:szCs w:val="18"/>
          <w:color w:val="1F1F1F"/>
        </w:rPr>
        <w:t xml:space="preserve"> </w:t>
      </w:r>
      <w:r>
        <w:rPr>
          <w:rFonts w:ascii="Arial" w:cs="Arial" w:eastAsia="Arial" w:hAnsi="Arial"/>
          <w:sz w:val="18"/>
          <w:szCs w:val="18"/>
          <w:color w:val="212121"/>
        </w:rPr>
        <w:t>Supply.</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82828"/>
        </w:rPr>
        <w:t>10.4</w:t>
      </w:r>
      <w:r>
        <w:rPr>
          <w:sz w:val="20"/>
          <w:szCs w:val="20"/>
          <w:color w:val="auto"/>
        </w:rPr>
        <w:tab/>
      </w:r>
      <w:r>
        <w:rPr>
          <w:rFonts w:ascii="Arial" w:cs="Arial" w:eastAsia="Arial" w:hAnsi="Arial"/>
          <w:sz w:val="17"/>
          <w:szCs w:val="17"/>
          <w:b w:val="1"/>
          <w:bCs w:val="1"/>
          <w:color w:val="1C1C1C"/>
        </w:rPr>
        <w:t xml:space="preserve">Later </w:t>
      </w:r>
      <w:r>
        <w:rPr>
          <w:rFonts w:ascii="Arial" w:cs="Arial" w:eastAsia="Arial" w:hAnsi="Arial"/>
          <w:sz w:val="17"/>
          <w:szCs w:val="17"/>
          <w:b w:val="1"/>
          <w:bCs w:val="1"/>
          <w:color w:val="232323"/>
        </w:rPr>
        <w:t>GST</w:t>
      </w:r>
      <w:r>
        <w:rPr>
          <w:rFonts w:ascii="Arial" w:cs="Arial" w:eastAsia="Arial" w:hAnsi="Arial"/>
          <w:sz w:val="17"/>
          <w:szCs w:val="17"/>
          <w:b w:val="1"/>
          <w:bCs w:val="1"/>
          <w:color w:val="1C1C1C"/>
        </w:rPr>
        <w:t xml:space="preserve"> change</w:t>
      </w:r>
    </w:p>
    <w:p>
      <w:pPr>
        <w:spacing w:after="0" w:line="220" w:lineRule="exact"/>
        <w:rPr>
          <w:sz w:val="20"/>
          <w:szCs w:val="20"/>
          <w:color w:val="auto"/>
        </w:rPr>
      </w:pPr>
    </w:p>
    <w:p>
      <w:pPr>
        <w:ind w:left="660" w:right="460"/>
        <w:spacing w:after="0" w:line="246" w:lineRule="auto"/>
        <w:rPr>
          <w:sz w:val="20"/>
          <w:szCs w:val="20"/>
          <w:color w:val="auto"/>
        </w:rPr>
      </w:pPr>
      <w:r>
        <w:rPr>
          <w:rFonts w:ascii="Arial" w:cs="Arial" w:eastAsia="Arial" w:hAnsi="Arial"/>
          <w:sz w:val="18"/>
          <w:szCs w:val="18"/>
          <w:color w:val="212121"/>
        </w:rPr>
        <w:t xml:space="preserve">For </w:t>
      </w:r>
      <w:r>
        <w:rPr>
          <w:rFonts w:ascii="Arial" w:cs="Arial" w:eastAsia="Arial" w:hAnsi="Arial"/>
          <w:sz w:val="18"/>
          <w:szCs w:val="18"/>
          <w:color w:val="1F1F1F"/>
        </w:rPr>
        <w:t>clarity, the</w:t>
      </w:r>
      <w:r>
        <w:rPr>
          <w:rFonts w:ascii="Arial" w:cs="Arial" w:eastAsia="Arial" w:hAnsi="Arial"/>
          <w:sz w:val="18"/>
          <w:szCs w:val="18"/>
          <w:color w:val="212121"/>
        </w:rPr>
        <w:t xml:space="preserve"> </w:t>
      </w:r>
      <w:r>
        <w:rPr>
          <w:rFonts w:ascii="Arial" w:cs="Arial" w:eastAsia="Arial" w:hAnsi="Arial"/>
          <w:sz w:val="18"/>
          <w:szCs w:val="18"/>
          <w:color w:val="262626"/>
        </w:rPr>
        <w:t>GST</w:t>
      </w:r>
      <w:r>
        <w:rPr>
          <w:rFonts w:ascii="Arial" w:cs="Arial" w:eastAsia="Arial" w:hAnsi="Arial"/>
          <w:sz w:val="18"/>
          <w:szCs w:val="18"/>
          <w:color w:val="212121"/>
        </w:rPr>
        <w:t xml:space="preserve"> </w:t>
      </w:r>
      <w:r>
        <w:rPr>
          <w:rFonts w:ascii="Arial" w:cs="Arial" w:eastAsia="Arial" w:hAnsi="Arial"/>
          <w:sz w:val="18"/>
          <w:szCs w:val="18"/>
          <w:color w:val="111111"/>
        </w:rPr>
        <w:t>payable</w:t>
      </w:r>
      <w:r>
        <w:rPr>
          <w:rFonts w:ascii="Arial" w:cs="Arial" w:eastAsia="Arial" w:hAnsi="Arial"/>
          <w:sz w:val="18"/>
          <w:szCs w:val="18"/>
          <w:color w:val="212121"/>
        </w:rPr>
        <w:t xml:space="preserve"> </w:t>
      </w:r>
      <w:r>
        <w:rPr>
          <w:rFonts w:ascii="Arial" w:cs="Arial" w:eastAsia="Arial" w:hAnsi="Arial"/>
          <w:sz w:val="18"/>
          <w:szCs w:val="18"/>
          <w:color w:val="1F1F1F"/>
        </w:rPr>
        <w:t>under</w:t>
      </w:r>
      <w:r>
        <w:rPr>
          <w:rFonts w:ascii="Arial" w:cs="Arial" w:eastAsia="Arial" w:hAnsi="Arial"/>
          <w:sz w:val="18"/>
          <w:szCs w:val="18"/>
          <w:color w:val="212121"/>
        </w:rPr>
        <w:t xml:space="preserve"> </w:t>
      </w:r>
      <w:r>
        <w:rPr>
          <w:rFonts w:ascii="Arial" w:cs="Arial" w:eastAsia="Arial" w:hAnsi="Arial"/>
          <w:sz w:val="18"/>
          <w:szCs w:val="18"/>
          <w:color w:val="181818"/>
        </w:rPr>
        <w:t>clause</w:t>
      </w:r>
      <w:r>
        <w:rPr>
          <w:rFonts w:ascii="Arial" w:cs="Arial" w:eastAsia="Arial" w:hAnsi="Arial"/>
          <w:sz w:val="18"/>
          <w:szCs w:val="18"/>
          <w:color w:val="212121"/>
        </w:rPr>
        <w:t xml:space="preserve"> </w:t>
      </w:r>
      <w:r>
        <w:rPr>
          <w:rFonts w:ascii="Arial" w:cs="Arial" w:eastAsia="Arial" w:hAnsi="Arial"/>
          <w:sz w:val="18"/>
          <w:szCs w:val="18"/>
          <w:color w:val="1F1F1F"/>
        </w:rPr>
        <w:t>10.3</w:t>
      </w:r>
      <w:r>
        <w:rPr>
          <w:rFonts w:ascii="Arial" w:cs="Arial" w:eastAsia="Arial" w:hAnsi="Arial"/>
          <w:sz w:val="18"/>
          <w:szCs w:val="18"/>
          <w:color w:val="212121"/>
        </w:rPr>
        <w:t xml:space="preserve"> </w:t>
      </w:r>
      <w:r>
        <w:rPr>
          <w:rFonts w:ascii="Arial" w:cs="Arial" w:eastAsia="Arial" w:hAnsi="Arial"/>
          <w:sz w:val="18"/>
          <w:szCs w:val="18"/>
          <w:color w:val="181818"/>
        </w:rPr>
        <w:t>is</w:t>
      </w:r>
      <w:r>
        <w:rPr>
          <w:rFonts w:ascii="Arial" w:cs="Arial" w:eastAsia="Arial" w:hAnsi="Arial"/>
          <w:sz w:val="18"/>
          <w:szCs w:val="18"/>
          <w:color w:val="212121"/>
        </w:rPr>
        <w:t xml:space="preserve"> </w:t>
      </w:r>
      <w:r>
        <w:rPr>
          <w:rFonts w:ascii="Arial" w:cs="Arial" w:eastAsia="Arial" w:hAnsi="Arial"/>
          <w:sz w:val="18"/>
          <w:szCs w:val="18"/>
          <w:color w:val="151515"/>
        </w:rPr>
        <w:t>correspondingly</w:t>
      </w:r>
      <w:r>
        <w:rPr>
          <w:rFonts w:ascii="Arial" w:cs="Arial" w:eastAsia="Arial" w:hAnsi="Arial"/>
          <w:sz w:val="18"/>
          <w:szCs w:val="18"/>
          <w:color w:val="212121"/>
        </w:rPr>
        <w:t xml:space="preserve"> </w:t>
      </w:r>
      <w:r>
        <w:rPr>
          <w:rFonts w:ascii="Arial" w:cs="Arial" w:eastAsia="Arial" w:hAnsi="Arial"/>
          <w:sz w:val="18"/>
          <w:szCs w:val="18"/>
          <w:color w:val="1D1D1D"/>
        </w:rPr>
        <w:t>increased</w:t>
      </w:r>
      <w:r>
        <w:rPr>
          <w:rFonts w:ascii="Arial" w:cs="Arial" w:eastAsia="Arial" w:hAnsi="Arial"/>
          <w:sz w:val="18"/>
          <w:szCs w:val="18"/>
          <w:color w:val="212121"/>
        </w:rPr>
        <w:t xml:space="preserve"> </w:t>
      </w:r>
      <w:r>
        <w:rPr>
          <w:rFonts w:ascii="Arial" w:cs="Arial" w:eastAsia="Arial" w:hAnsi="Arial"/>
          <w:sz w:val="18"/>
          <w:szCs w:val="18"/>
          <w:color w:val="1C1C1C"/>
        </w:rPr>
        <w:t>or decreased</w:t>
      </w:r>
      <w:r>
        <w:rPr>
          <w:rFonts w:ascii="Arial" w:cs="Arial" w:eastAsia="Arial" w:hAnsi="Arial"/>
          <w:sz w:val="18"/>
          <w:szCs w:val="18"/>
          <w:color w:val="212121"/>
        </w:rPr>
        <w:t xml:space="preserve"> </w:t>
      </w:r>
      <w:r>
        <w:rPr>
          <w:rFonts w:ascii="Arial" w:cs="Arial" w:eastAsia="Arial" w:hAnsi="Arial"/>
          <w:sz w:val="18"/>
          <w:szCs w:val="18"/>
          <w:color w:val="282828"/>
        </w:rPr>
        <w:t>by any</w:t>
      </w:r>
      <w:r>
        <w:rPr>
          <w:rFonts w:ascii="Arial" w:cs="Arial" w:eastAsia="Arial" w:hAnsi="Arial"/>
          <w:sz w:val="18"/>
          <w:szCs w:val="18"/>
          <w:color w:val="212121"/>
        </w:rPr>
        <w:t xml:space="preserve"> </w:t>
      </w:r>
      <w:r>
        <w:rPr>
          <w:rFonts w:ascii="Arial" w:cs="Arial" w:eastAsia="Arial" w:hAnsi="Arial"/>
          <w:sz w:val="18"/>
          <w:szCs w:val="18"/>
          <w:color w:val="181818"/>
        </w:rPr>
        <w:t>subsequent adjustment</w:t>
      </w:r>
      <w:r>
        <w:rPr>
          <w:rFonts w:ascii="Arial" w:cs="Arial" w:eastAsia="Arial" w:hAnsi="Arial"/>
          <w:sz w:val="18"/>
          <w:szCs w:val="18"/>
          <w:color w:val="212121"/>
        </w:rPr>
        <w:t xml:space="preserve"> </w:t>
      </w:r>
      <w:r>
        <w:rPr>
          <w:rFonts w:ascii="Arial" w:cs="Arial" w:eastAsia="Arial" w:hAnsi="Arial"/>
          <w:sz w:val="18"/>
          <w:szCs w:val="18"/>
          <w:color w:val="1C1C1C"/>
        </w:rPr>
        <w:t>to</w:t>
      </w:r>
      <w:r>
        <w:rPr>
          <w:rFonts w:ascii="Arial" w:cs="Arial" w:eastAsia="Arial" w:hAnsi="Arial"/>
          <w:sz w:val="18"/>
          <w:szCs w:val="18"/>
          <w:color w:val="212121"/>
        </w:rPr>
        <w:t xml:space="preserve"> </w:t>
      </w:r>
      <w:r>
        <w:rPr>
          <w:rFonts w:ascii="Arial" w:cs="Arial" w:eastAsia="Arial" w:hAnsi="Arial"/>
          <w:sz w:val="18"/>
          <w:szCs w:val="18"/>
          <w:color w:val="232323"/>
        </w:rPr>
        <w:t>the</w:t>
      </w:r>
      <w:r>
        <w:rPr>
          <w:rFonts w:ascii="Arial" w:cs="Arial" w:eastAsia="Arial" w:hAnsi="Arial"/>
          <w:sz w:val="18"/>
          <w:szCs w:val="18"/>
          <w:color w:val="212121"/>
        </w:rPr>
        <w:t xml:space="preserve"> amount </w:t>
      </w:r>
      <w:r>
        <w:rPr>
          <w:rFonts w:ascii="Arial" w:cs="Arial" w:eastAsia="Arial" w:hAnsi="Arial"/>
          <w:sz w:val="18"/>
          <w:szCs w:val="18"/>
          <w:color w:val="2A2A2A"/>
        </w:rPr>
        <w:t>of</w:t>
      </w:r>
      <w:r>
        <w:rPr>
          <w:rFonts w:ascii="Arial" w:cs="Arial" w:eastAsia="Arial" w:hAnsi="Arial"/>
          <w:sz w:val="18"/>
          <w:szCs w:val="18"/>
          <w:color w:val="212121"/>
        </w:rPr>
        <w:t xml:space="preserve"> </w:t>
      </w:r>
      <w:r>
        <w:rPr>
          <w:rFonts w:ascii="Arial" w:cs="Arial" w:eastAsia="Arial" w:hAnsi="Arial"/>
          <w:sz w:val="18"/>
          <w:szCs w:val="18"/>
          <w:color w:val="1C1C1C"/>
        </w:rPr>
        <w:t>GST for</w:t>
      </w:r>
      <w:r>
        <w:rPr>
          <w:rFonts w:ascii="Arial" w:cs="Arial" w:eastAsia="Arial" w:hAnsi="Arial"/>
          <w:sz w:val="18"/>
          <w:szCs w:val="18"/>
          <w:color w:val="212121"/>
        </w:rPr>
        <w:t xml:space="preserve"> the </w:t>
      </w:r>
      <w:r>
        <w:rPr>
          <w:rFonts w:ascii="Arial" w:cs="Arial" w:eastAsia="Arial" w:hAnsi="Arial"/>
          <w:sz w:val="18"/>
          <w:szCs w:val="18"/>
          <w:color w:val="161616"/>
        </w:rPr>
        <w:t>Supply</w:t>
      </w:r>
      <w:r>
        <w:rPr>
          <w:rFonts w:ascii="Arial" w:cs="Arial" w:eastAsia="Arial" w:hAnsi="Arial"/>
          <w:sz w:val="18"/>
          <w:szCs w:val="18"/>
          <w:color w:val="212121"/>
        </w:rPr>
        <w:t xml:space="preserve"> </w:t>
      </w:r>
      <w:r>
        <w:rPr>
          <w:rFonts w:ascii="Arial" w:cs="Arial" w:eastAsia="Arial" w:hAnsi="Arial"/>
          <w:sz w:val="18"/>
          <w:szCs w:val="18"/>
          <w:color w:val="1C1C1C"/>
        </w:rPr>
        <w:t>for</w:t>
      </w:r>
      <w:r>
        <w:rPr>
          <w:rFonts w:ascii="Arial" w:cs="Arial" w:eastAsia="Arial" w:hAnsi="Arial"/>
          <w:sz w:val="18"/>
          <w:szCs w:val="18"/>
          <w:color w:val="212121"/>
        </w:rPr>
        <w:t xml:space="preserve"> </w:t>
      </w:r>
      <w:r>
        <w:rPr>
          <w:rFonts w:ascii="Arial" w:cs="Arial" w:eastAsia="Arial" w:hAnsi="Arial"/>
          <w:sz w:val="18"/>
          <w:szCs w:val="18"/>
          <w:color w:val="1A1A1A"/>
        </w:rPr>
        <w:t>which</w:t>
      </w:r>
      <w:r>
        <w:rPr>
          <w:rFonts w:ascii="Arial" w:cs="Arial" w:eastAsia="Arial" w:hAnsi="Arial"/>
          <w:sz w:val="18"/>
          <w:szCs w:val="18"/>
          <w:color w:val="212121"/>
        </w:rPr>
        <w:t xml:space="preserve"> </w:t>
      </w:r>
      <w:r>
        <w:rPr>
          <w:rFonts w:ascii="Arial" w:cs="Arial" w:eastAsia="Arial" w:hAnsi="Arial"/>
          <w:sz w:val="18"/>
          <w:szCs w:val="18"/>
          <w:color w:val="1F1F1F"/>
        </w:rPr>
        <w:t>the</w:t>
      </w:r>
      <w:r>
        <w:rPr>
          <w:rFonts w:ascii="Arial" w:cs="Arial" w:eastAsia="Arial" w:hAnsi="Arial"/>
          <w:sz w:val="18"/>
          <w:szCs w:val="18"/>
          <w:color w:val="212121"/>
        </w:rPr>
        <w:t xml:space="preserve"> Supplier </w:t>
      </w:r>
      <w:r>
        <w:rPr>
          <w:rFonts w:ascii="Arial" w:cs="Arial" w:eastAsia="Arial" w:hAnsi="Arial"/>
          <w:sz w:val="18"/>
          <w:szCs w:val="18"/>
          <w:color w:val="232323"/>
        </w:rPr>
        <w:t>is</w:t>
      </w:r>
      <w:r>
        <w:rPr>
          <w:rFonts w:ascii="Arial" w:cs="Arial" w:eastAsia="Arial" w:hAnsi="Arial"/>
          <w:sz w:val="18"/>
          <w:szCs w:val="18"/>
          <w:color w:val="212121"/>
        </w:rPr>
        <w:t xml:space="preserve"> </w:t>
      </w:r>
      <w:r>
        <w:rPr>
          <w:rFonts w:ascii="Arial" w:cs="Arial" w:eastAsia="Arial" w:hAnsi="Arial"/>
          <w:sz w:val="18"/>
          <w:szCs w:val="18"/>
          <w:color w:val="1F1F1F"/>
        </w:rPr>
        <w:t>liable,</w:t>
      </w:r>
      <w:r>
        <w:rPr>
          <w:rFonts w:ascii="Arial" w:cs="Arial" w:eastAsia="Arial" w:hAnsi="Arial"/>
          <w:sz w:val="18"/>
          <w:szCs w:val="18"/>
          <w:color w:val="212121"/>
        </w:rPr>
        <w:t xml:space="preserve"> </w:t>
      </w:r>
      <w:r>
        <w:rPr>
          <w:rFonts w:ascii="Arial" w:cs="Arial" w:eastAsia="Arial" w:hAnsi="Arial"/>
          <w:sz w:val="18"/>
          <w:szCs w:val="18"/>
          <w:color w:val="1C1C1C"/>
        </w:rPr>
        <w:t>however</w:t>
      </w:r>
      <w:r>
        <w:rPr>
          <w:rFonts w:ascii="Arial" w:cs="Arial" w:eastAsia="Arial" w:hAnsi="Arial"/>
          <w:sz w:val="18"/>
          <w:szCs w:val="18"/>
          <w:color w:val="212121"/>
        </w:rPr>
        <w:t xml:space="preserve"> </w:t>
      </w:r>
      <w:r>
        <w:rPr>
          <w:rFonts w:ascii="Arial" w:cs="Arial" w:eastAsia="Arial" w:hAnsi="Arial"/>
          <w:sz w:val="18"/>
          <w:szCs w:val="18"/>
          <w:color w:val="151515"/>
        </w:rPr>
        <w:t>caused.</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42424"/>
        </w:rPr>
        <w:t>10.5</w:t>
      </w:r>
      <w:r>
        <w:rPr>
          <w:sz w:val="20"/>
          <w:szCs w:val="20"/>
          <w:color w:val="auto"/>
        </w:rPr>
        <w:tab/>
      </w:r>
      <w:r>
        <w:rPr>
          <w:rFonts w:ascii="Arial" w:cs="Arial" w:eastAsia="Arial" w:hAnsi="Arial"/>
          <w:sz w:val="17"/>
          <w:szCs w:val="17"/>
          <w:b w:val="1"/>
          <w:bCs w:val="1"/>
          <w:color w:val="1C1C1C"/>
        </w:rPr>
        <w:t xml:space="preserve">Reimbursement </w:t>
      </w:r>
      <w:r>
        <w:rPr>
          <w:rFonts w:ascii="Arial" w:cs="Arial" w:eastAsia="Arial" w:hAnsi="Arial"/>
          <w:sz w:val="17"/>
          <w:szCs w:val="17"/>
          <w:b w:val="1"/>
          <w:bCs w:val="1"/>
          <w:color w:val="2B2B2B"/>
        </w:rPr>
        <w:t>or</w:t>
      </w:r>
      <w:r>
        <w:rPr>
          <w:rFonts w:ascii="Arial" w:cs="Arial" w:eastAsia="Arial" w:hAnsi="Arial"/>
          <w:sz w:val="17"/>
          <w:szCs w:val="17"/>
          <w:b w:val="1"/>
          <w:bCs w:val="1"/>
          <w:color w:val="1C1C1C"/>
        </w:rPr>
        <w:t xml:space="preserve"> </w:t>
      </w:r>
      <w:r>
        <w:rPr>
          <w:rFonts w:ascii="Arial" w:cs="Arial" w:eastAsia="Arial" w:hAnsi="Arial"/>
          <w:sz w:val="17"/>
          <w:szCs w:val="17"/>
          <w:b w:val="1"/>
          <w:bCs w:val="1"/>
          <w:color w:val="1D1D1D"/>
        </w:rPr>
        <w:t>indemnity</w:t>
      </w:r>
    </w:p>
    <w:p>
      <w:pPr>
        <w:spacing w:after="0" w:line="220" w:lineRule="exact"/>
        <w:rPr>
          <w:sz w:val="20"/>
          <w:szCs w:val="20"/>
          <w:color w:val="auto"/>
        </w:rPr>
      </w:pPr>
    </w:p>
    <w:p>
      <w:pPr>
        <w:ind w:left="660" w:right="60"/>
        <w:spacing w:after="0" w:line="238" w:lineRule="auto"/>
        <w:rPr>
          <w:sz w:val="20"/>
          <w:szCs w:val="20"/>
          <w:color w:val="auto"/>
        </w:rPr>
      </w:pPr>
      <w:r>
        <w:rPr>
          <w:rFonts w:ascii="Arial" w:cs="Arial" w:eastAsia="Arial" w:hAnsi="Arial"/>
          <w:sz w:val="18"/>
          <w:szCs w:val="18"/>
          <w:color w:val="1F1F1F"/>
        </w:rPr>
        <w:t xml:space="preserve">If </w:t>
      </w:r>
      <w:r>
        <w:rPr>
          <w:rFonts w:ascii="Arial" w:cs="Arial" w:eastAsia="Arial" w:hAnsi="Arial"/>
          <w:sz w:val="18"/>
          <w:szCs w:val="18"/>
          <w:color w:val="1C1C1C"/>
        </w:rPr>
        <w:t>either</w:t>
      </w:r>
      <w:r>
        <w:rPr>
          <w:rFonts w:ascii="Arial" w:cs="Arial" w:eastAsia="Arial" w:hAnsi="Arial"/>
          <w:sz w:val="18"/>
          <w:szCs w:val="18"/>
          <w:color w:val="1F1F1F"/>
        </w:rPr>
        <w:t xml:space="preserve"> </w:t>
      </w:r>
      <w:r>
        <w:rPr>
          <w:rFonts w:ascii="Arial" w:cs="Arial" w:eastAsia="Arial" w:hAnsi="Arial"/>
          <w:sz w:val="18"/>
          <w:szCs w:val="18"/>
          <w:color w:val="1D1D1D"/>
        </w:rPr>
        <w:t>party</w:t>
      </w:r>
      <w:r>
        <w:rPr>
          <w:rFonts w:ascii="Arial" w:cs="Arial" w:eastAsia="Arial" w:hAnsi="Arial"/>
          <w:sz w:val="18"/>
          <w:szCs w:val="18"/>
          <w:color w:val="1F1F1F"/>
        </w:rPr>
        <w:t xml:space="preserve"> has the </w:t>
      </w:r>
      <w:r>
        <w:rPr>
          <w:rFonts w:ascii="Arial" w:cs="Arial" w:eastAsia="Arial" w:hAnsi="Arial"/>
          <w:sz w:val="18"/>
          <w:szCs w:val="18"/>
          <w:color w:val="1C1C1C"/>
        </w:rPr>
        <w:t>right</w:t>
      </w:r>
      <w:r>
        <w:rPr>
          <w:rFonts w:ascii="Arial" w:cs="Arial" w:eastAsia="Arial" w:hAnsi="Arial"/>
          <w:sz w:val="18"/>
          <w:szCs w:val="18"/>
          <w:color w:val="1F1F1F"/>
        </w:rPr>
        <w:t xml:space="preserve"> </w:t>
      </w:r>
      <w:r>
        <w:rPr>
          <w:rFonts w:ascii="Arial" w:cs="Arial" w:eastAsia="Arial" w:hAnsi="Arial"/>
          <w:sz w:val="18"/>
          <w:szCs w:val="18"/>
          <w:color w:val="161616"/>
        </w:rPr>
        <w:t>under</w:t>
      </w:r>
      <w:r>
        <w:rPr>
          <w:rFonts w:ascii="Arial" w:cs="Arial" w:eastAsia="Arial" w:hAnsi="Arial"/>
          <w:sz w:val="18"/>
          <w:szCs w:val="18"/>
          <w:color w:val="1F1F1F"/>
        </w:rPr>
        <w:t xml:space="preserve"> </w:t>
      </w:r>
      <w:r>
        <w:rPr>
          <w:rFonts w:ascii="Arial" w:cs="Arial" w:eastAsia="Arial" w:hAnsi="Arial"/>
          <w:sz w:val="18"/>
          <w:szCs w:val="18"/>
          <w:color w:val="0F0F0F"/>
        </w:rPr>
        <w:t>this</w:t>
      </w:r>
      <w:r>
        <w:rPr>
          <w:rFonts w:ascii="Arial" w:cs="Arial" w:eastAsia="Arial" w:hAnsi="Arial"/>
          <w:sz w:val="18"/>
          <w:szCs w:val="18"/>
          <w:color w:val="1F1F1F"/>
        </w:rPr>
        <w:t xml:space="preserve"> </w:t>
      </w:r>
      <w:r>
        <w:rPr>
          <w:rFonts w:ascii="Arial" w:cs="Arial" w:eastAsia="Arial" w:hAnsi="Arial"/>
          <w:sz w:val="18"/>
          <w:szCs w:val="18"/>
          <w:color w:val="181818"/>
        </w:rPr>
        <w:t>document</w:t>
      </w:r>
      <w:r>
        <w:rPr>
          <w:rFonts w:ascii="Arial" w:cs="Arial" w:eastAsia="Arial" w:hAnsi="Arial"/>
          <w:sz w:val="18"/>
          <w:szCs w:val="18"/>
          <w:color w:val="1F1F1F"/>
        </w:rPr>
        <w:t xml:space="preserve"> </w:t>
      </w:r>
      <w:r>
        <w:rPr>
          <w:rFonts w:ascii="Arial" w:cs="Arial" w:eastAsia="Arial" w:hAnsi="Arial"/>
          <w:sz w:val="18"/>
          <w:szCs w:val="18"/>
          <w:color w:val="232323"/>
        </w:rPr>
        <w:t>to</w:t>
      </w:r>
      <w:r>
        <w:rPr>
          <w:rFonts w:ascii="Arial" w:cs="Arial" w:eastAsia="Arial" w:hAnsi="Arial"/>
          <w:sz w:val="18"/>
          <w:szCs w:val="18"/>
          <w:color w:val="1F1F1F"/>
        </w:rPr>
        <w:t xml:space="preserve"> </w:t>
      </w:r>
      <w:r>
        <w:rPr>
          <w:rFonts w:ascii="Arial" w:cs="Arial" w:eastAsia="Arial" w:hAnsi="Arial"/>
          <w:sz w:val="18"/>
          <w:szCs w:val="18"/>
          <w:color w:val="212121"/>
        </w:rPr>
        <w:t>be</w:t>
      </w:r>
      <w:r>
        <w:rPr>
          <w:rFonts w:ascii="Arial" w:cs="Arial" w:eastAsia="Arial" w:hAnsi="Arial"/>
          <w:sz w:val="18"/>
          <w:szCs w:val="18"/>
          <w:color w:val="1F1F1F"/>
        </w:rPr>
        <w:t xml:space="preserve"> </w:t>
      </w:r>
      <w:r>
        <w:rPr>
          <w:rFonts w:ascii="Arial" w:cs="Arial" w:eastAsia="Arial" w:hAnsi="Arial"/>
          <w:sz w:val="18"/>
          <w:szCs w:val="18"/>
          <w:color w:val="1C1C1C"/>
        </w:rPr>
        <w:t>reimbursed</w:t>
      </w:r>
      <w:r>
        <w:rPr>
          <w:rFonts w:ascii="Arial" w:cs="Arial" w:eastAsia="Arial" w:hAnsi="Arial"/>
          <w:sz w:val="18"/>
          <w:szCs w:val="18"/>
          <w:color w:val="1F1F1F"/>
        </w:rPr>
        <w:t xml:space="preserve"> </w:t>
      </w:r>
      <w:r>
        <w:rPr>
          <w:rFonts w:ascii="Arial" w:cs="Arial" w:eastAsia="Arial" w:hAnsi="Arial"/>
          <w:sz w:val="18"/>
          <w:szCs w:val="18"/>
          <w:color w:val="212121"/>
        </w:rPr>
        <w:t>or</w:t>
      </w:r>
      <w:r>
        <w:rPr>
          <w:rFonts w:ascii="Arial" w:cs="Arial" w:eastAsia="Arial" w:hAnsi="Arial"/>
          <w:sz w:val="18"/>
          <w:szCs w:val="18"/>
          <w:color w:val="1F1F1F"/>
        </w:rPr>
        <w:t xml:space="preserve"> </w:t>
      </w:r>
      <w:r>
        <w:rPr>
          <w:rFonts w:ascii="Arial" w:cs="Arial" w:eastAsia="Arial" w:hAnsi="Arial"/>
          <w:sz w:val="18"/>
          <w:szCs w:val="18"/>
          <w:color w:val="161616"/>
        </w:rPr>
        <w:t>indemnified</w:t>
      </w:r>
      <w:r>
        <w:rPr>
          <w:rFonts w:ascii="Arial" w:cs="Arial" w:eastAsia="Arial" w:hAnsi="Arial"/>
          <w:sz w:val="18"/>
          <w:szCs w:val="18"/>
          <w:color w:val="1F1F1F"/>
        </w:rPr>
        <w:t xml:space="preserve"> </w:t>
      </w:r>
      <w:r>
        <w:rPr>
          <w:rFonts w:ascii="Arial" w:cs="Arial" w:eastAsia="Arial" w:hAnsi="Arial"/>
          <w:sz w:val="18"/>
          <w:szCs w:val="18"/>
          <w:color w:val="212121"/>
        </w:rPr>
        <w:t>by</w:t>
      </w:r>
      <w:r>
        <w:rPr>
          <w:rFonts w:ascii="Arial" w:cs="Arial" w:eastAsia="Arial" w:hAnsi="Arial"/>
          <w:sz w:val="18"/>
          <w:szCs w:val="18"/>
          <w:color w:val="1F1F1F"/>
        </w:rPr>
        <w:t xml:space="preserve"> </w:t>
      </w:r>
      <w:r>
        <w:rPr>
          <w:rFonts w:ascii="Arial" w:cs="Arial" w:eastAsia="Arial" w:hAnsi="Arial"/>
          <w:sz w:val="18"/>
          <w:szCs w:val="18"/>
          <w:color w:val="1A1A1A"/>
        </w:rPr>
        <w:t>another party for</w:t>
      </w:r>
      <w:r>
        <w:rPr>
          <w:rFonts w:ascii="Arial" w:cs="Arial" w:eastAsia="Arial" w:hAnsi="Arial"/>
          <w:sz w:val="18"/>
          <w:szCs w:val="18"/>
          <w:color w:val="1F1F1F"/>
        </w:rPr>
        <w:t xml:space="preserve"> a </w:t>
      </w:r>
      <w:r>
        <w:rPr>
          <w:rFonts w:ascii="Arial" w:cs="Arial" w:eastAsia="Arial" w:hAnsi="Arial"/>
          <w:sz w:val="18"/>
          <w:szCs w:val="18"/>
          <w:color w:val="111111"/>
        </w:rPr>
        <w:t>cost</w:t>
      </w:r>
      <w:r>
        <w:rPr>
          <w:rFonts w:ascii="Arial" w:cs="Arial" w:eastAsia="Arial" w:hAnsi="Arial"/>
          <w:sz w:val="18"/>
          <w:szCs w:val="18"/>
          <w:color w:val="1F1F1F"/>
        </w:rPr>
        <w:t xml:space="preserve"> </w:t>
      </w:r>
      <w:r>
        <w:rPr>
          <w:rFonts w:ascii="Arial" w:cs="Arial" w:eastAsia="Arial" w:hAnsi="Arial"/>
          <w:sz w:val="18"/>
          <w:szCs w:val="18"/>
          <w:color w:val="161616"/>
        </w:rPr>
        <w:t>incurred</w:t>
      </w:r>
      <w:r>
        <w:rPr>
          <w:rFonts w:ascii="Arial" w:cs="Arial" w:eastAsia="Arial" w:hAnsi="Arial"/>
          <w:sz w:val="18"/>
          <w:szCs w:val="18"/>
          <w:color w:val="1F1F1F"/>
        </w:rPr>
        <w:t xml:space="preserve"> </w:t>
      </w:r>
      <w:r>
        <w:rPr>
          <w:rFonts w:ascii="Arial" w:cs="Arial" w:eastAsia="Arial" w:hAnsi="Arial"/>
          <w:sz w:val="18"/>
          <w:szCs w:val="18"/>
          <w:color w:val="1A1A1A"/>
        </w:rPr>
        <w:t>in</w:t>
      </w:r>
      <w:r>
        <w:rPr>
          <w:rFonts w:ascii="Arial" w:cs="Arial" w:eastAsia="Arial" w:hAnsi="Arial"/>
          <w:sz w:val="18"/>
          <w:szCs w:val="18"/>
          <w:color w:val="1F1F1F"/>
        </w:rPr>
        <w:t xml:space="preserve"> </w:t>
      </w:r>
      <w:r>
        <w:rPr>
          <w:rFonts w:ascii="Arial" w:cs="Arial" w:eastAsia="Arial" w:hAnsi="Arial"/>
          <w:sz w:val="18"/>
          <w:szCs w:val="18"/>
          <w:color w:val="111111"/>
        </w:rPr>
        <w:t>connection</w:t>
      </w:r>
      <w:r>
        <w:rPr>
          <w:rFonts w:ascii="Arial" w:cs="Arial" w:eastAsia="Arial" w:hAnsi="Arial"/>
          <w:sz w:val="18"/>
          <w:szCs w:val="18"/>
          <w:color w:val="1F1F1F"/>
        </w:rPr>
        <w:t xml:space="preserve"> </w:t>
      </w:r>
      <w:r>
        <w:rPr>
          <w:rFonts w:ascii="Arial" w:cs="Arial" w:eastAsia="Arial" w:hAnsi="Arial"/>
          <w:sz w:val="18"/>
          <w:szCs w:val="18"/>
          <w:color w:val="161616"/>
        </w:rPr>
        <w:t xml:space="preserve">with </w:t>
      </w:r>
      <w:r>
        <w:rPr>
          <w:rFonts w:ascii="Arial" w:cs="Arial" w:eastAsia="Arial" w:hAnsi="Arial"/>
          <w:sz w:val="18"/>
          <w:szCs w:val="18"/>
          <w:color w:val="111111"/>
        </w:rPr>
        <w:t>this</w:t>
      </w:r>
      <w:r>
        <w:rPr>
          <w:rFonts w:ascii="Arial" w:cs="Arial" w:eastAsia="Arial" w:hAnsi="Arial"/>
          <w:sz w:val="18"/>
          <w:szCs w:val="18"/>
          <w:color w:val="161616"/>
        </w:rPr>
        <w:t xml:space="preserve"> </w:t>
      </w:r>
      <w:r>
        <w:rPr>
          <w:rFonts w:ascii="Arial" w:cs="Arial" w:eastAsia="Arial" w:hAnsi="Arial"/>
          <w:sz w:val="18"/>
          <w:szCs w:val="18"/>
          <w:color w:val="181818"/>
        </w:rPr>
        <w:t>document,</w:t>
      </w:r>
      <w:r>
        <w:rPr>
          <w:rFonts w:ascii="Arial" w:cs="Arial" w:eastAsia="Arial" w:hAnsi="Arial"/>
          <w:sz w:val="18"/>
          <w:szCs w:val="18"/>
          <w:color w:val="161616"/>
        </w:rPr>
        <w:t xml:space="preserve"> </w:t>
      </w:r>
      <w:r>
        <w:rPr>
          <w:rFonts w:ascii="Arial" w:cs="Arial" w:eastAsia="Arial" w:hAnsi="Arial"/>
          <w:sz w:val="18"/>
          <w:szCs w:val="18"/>
          <w:color w:val="1C1C1C"/>
        </w:rPr>
        <w:t>that</w:t>
      </w:r>
      <w:r>
        <w:rPr>
          <w:rFonts w:ascii="Arial" w:cs="Arial" w:eastAsia="Arial" w:hAnsi="Arial"/>
          <w:sz w:val="18"/>
          <w:szCs w:val="18"/>
          <w:color w:val="161616"/>
        </w:rPr>
        <w:t xml:space="preserve"> </w:t>
      </w:r>
      <w:r>
        <w:rPr>
          <w:rFonts w:ascii="Arial" w:cs="Arial" w:eastAsia="Arial" w:hAnsi="Arial"/>
          <w:sz w:val="18"/>
          <w:szCs w:val="18"/>
          <w:color w:val="181818"/>
        </w:rPr>
        <w:t>reimbursement</w:t>
      </w:r>
      <w:r>
        <w:rPr>
          <w:rFonts w:ascii="Arial" w:cs="Arial" w:eastAsia="Arial" w:hAnsi="Arial"/>
          <w:sz w:val="18"/>
          <w:szCs w:val="18"/>
          <w:color w:val="161616"/>
        </w:rPr>
        <w:t xml:space="preserve"> </w:t>
      </w:r>
      <w:r>
        <w:rPr>
          <w:rFonts w:ascii="Arial" w:cs="Arial" w:eastAsia="Arial" w:hAnsi="Arial"/>
          <w:sz w:val="18"/>
          <w:szCs w:val="18"/>
          <w:color w:val="242424"/>
        </w:rPr>
        <w:t>or</w:t>
      </w:r>
      <w:r>
        <w:rPr>
          <w:rFonts w:ascii="Arial" w:cs="Arial" w:eastAsia="Arial" w:hAnsi="Arial"/>
          <w:sz w:val="18"/>
          <w:szCs w:val="18"/>
          <w:color w:val="161616"/>
        </w:rPr>
        <w:t xml:space="preserve"> </w:t>
      </w:r>
      <w:r>
        <w:rPr>
          <w:rFonts w:ascii="Arial" w:cs="Arial" w:eastAsia="Arial" w:hAnsi="Arial"/>
          <w:sz w:val="18"/>
          <w:szCs w:val="18"/>
          <w:color w:val="1D1D1D"/>
        </w:rPr>
        <w:t>indemnity</w:t>
      </w:r>
      <w:r>
        <w:rPr>
          <w:rFonts w:ascii="Arial" w:cs="Arial" w:eastAsia="Arial" w:hAnsi="Arial"/>
          <w:sz w:val="18"/>
          <w:szCs w:val="18"/>
          <w:color w:val="161616"/>
        </w:rPr>
        <w:t xml:space="preserve"> </w:t>
      </w:r>
      <w:r>
        <w:rPr>
          <w:rFonts w:ascii="Arial" w:cs="Arial" w:eastAsia="Arial" w:hAnsi="Arial"/>
          <w:sz w:val="18"/>
          <w:szCs w:val="18"/>
          <w:color w:val="181818"/>
        </w:rPr>
        <w:t>excludes</w:t>
      </w:r>
      <w:r>
        <w:rPr>
          <w:rFonts w:ascii="Arial" w:cs="Arial" w:eastAsia="Arial" w:hAnsi="Arial"/>
          <w:sz w:val="18"/>
          <w:szCs w:val="18"/>
          <w:color w:val="161616"/>
        </w:rPr>
        <w:t xml:space="preserve"> </w:t>
      </w:r>
      <w:r>
        <w:rPr>
          <w:rFonts w:ascii="Arial" w:cs="Arial" w:eastAsia="Arial" w:hAnsi="Arial"/>
          <w:sz w:val="18"/>
          <w:szCs w:val="18"/>
          <w:color w:val="151515"/>
        </w:rPr>
        <w:t>any</w:t>
      </w:r>
      <w:r>
        <w:rPr>
          <w:rFonts w:ascii="Arial" w:cs="Arial" w:eastAsia="Arial" w:hAnsi="Arial"/>
          <w:sz w:val="18"/>
          <w:szCs w:val="18"/>
          <w:color w:val="161616"/>
        </w:rPr>
        <w:t xml:space="preserve"> </w:t>
      </w:r>
      <w:r>
        <w:rPr>
          <w:rFonts w:ascii="Arial" w:cs="Arial" w:eastAsia="Arial" w:hAnsi="Arial"/>
          <w:sz w:val="18"/>
          <w:szCs w:val="18"/>
          <w:color w:val="1C1C1C"/>
        </w:rPr>
        <w:t>GST component</w:t>
      </w:r>
      <w:r>
        <w:rPr>
          <w:rFonts w:ascii="Arial" w:cs="Arial" w:eastAsia="Arial" w:hAnsi="Arial"/>
          <w:sz w:val="18"/>
          <w:szCs w:val="18"/>
          <w:color w:val="161616"/>
        </w:rPr>
        <w:t xml:space="preserve"> </w:t>
      </w:r>
      <w:r>
        <w:rPr>
          <w:rFonts w:ascii="Arial" w:cs="Arial" w:eastAsia="Arial" w:hAnsi="Arial"/>
          <w:sz w:val="18"/>
          <w:szCs w:val="18"/>
          <w:color w:val="232323"/>
        </w:rPr>
        <w:t>of</w:t>
      </w:r>
      <w:r>
        <w:rPr>
          <w:rFonts w:ascii="Arial" w:cs="Arial" w:eastAsia="Arial" w:hAnsi="Arial"/>
          <w:sz w:val="18"/>
          <w:szCs w:val="18"/>
          <w:color w:val="161616"/>
        </w:rPr>
        <w:t xml:space="preserve"> </w:t>
      </w:r>
      <w:r>
        <w:rPr>
          <w:rFonts w:ascii="Arial" w:cs="Arial" w:eastAsia="Arial" w:hAnsi="Arial"/>
          <w:sz w:val="18"/>
          <w:szCs w:val="18"/>
          <w:color w:val="212121"/>
        </w:rPr>
        <w:t>that</w:t>
      </w:r>
      <w:r>
        <w:rPr>
          <w:rFonts w:ascii="Arial" w:cs="Arial" w:eastAsia="Arial" w:hAnsi="Arial"/>
          <w:sz w:val="18"/>
          <w:szCs w:val="18"/>
          <w:color w:val="161616"/>
        </w:rPr>
        <w:t xml:space="preserve"> </w:t>
      </w:r>
      <w:r>
        <w:rPr>
          <w:rFonts w:ascii="Arial" w:cs="Arial" w:eastAsia="Arial" w:hAnsi="Arial"/>
          <w:sz w:val="18"/>
          <w:szCs w:val="18"/>
          <w:color w:val="1D1D1D"/>
        </w:rPr>
        <w:t>cost</w:t>
      </w:r>
      <w:r>
        <w:rPr>
          <w:rFonts w:ascii="Arial" w:cs="Arial" w:eastAsia="Arial" w:hAnsi="Arial"/>
          <w:sz w:val="18"/>
          <w:szCs w:val="18"/>
          <w:color w:val="161616"/>
        </w:rPr>
        <w:t xml:space="preserve"> </w:t>
      </w:r>
      <w:r>
        <w:rPr>
          <w:rFonts w:ascii="Arial" w:cs="Arial" w:eastAsia="Arial" w:hAnsi="Arial"/>
          <w:sz w:val="18"/>
          <w:szCs w:val="18"/>
          <w:color w:val="262626"/>
        </w:rPr>
        <w:t>for</w:t>
      </w:r>
      <w:r>
        <w:rPr>
          <w:rFonts w:ascii="Arial" w:cs="Arial" w:eastAsia="Arial" w:hAnsi="Arial"/>
          <w:sz w:val="18"/>
          <w:szCs w:val="18"/>
          <w:color w:val="161616"/>
        </w:rPr>
        <w:t xml:space="preserve"> </w:t>
      </w:r>
      <w:r>
        <w:rPr>
          <w:rFonts w:ascii="Arial" w:cs="Arial" w:eastAsia="Arial" w:hAnsi="Arial"/>
          <w:sz w:val="18"/>
          <w:szCs w:val="18"/>
          <w:color w:val="1F1F1F"/>
        </w:rPr>
        <w:t>which</w:t>
      </w:r>
      <w:r>
        <w:rPr>
          <w:rFonts w:ascii="Arial" w:cs="Arial" w:eastAsia="Arial" w:hAnsi="Arial"/>
          <w:sz w:val="18"/>
          <w:szCs w:val="18"/>
          <w:color w:val="161616"/>
        </w:rPr>
        <w:t xml:space="preserve"> </w:t>
      </w:r>
      <w:r>
        <w:rPr>
          <w:rFonts w:ascii="Arial" w:cs="Arial" w:eastAsia="Arial" w:hAnsi="Arial"/>
          <w:sz w:val="18"/>
          <w:szCs w:val="18"/>
          <w:color w:val="232323"/>
        </w:rPr>
        <w:t>an</w:t>
      </w:r>
      <w:r>
        <w:rPr>
          <w:rFonts w:ascii="Arial" w:cs="Arial" w:eastAsia="Arial" w:hAnsi="Arial"/>
          <w:sz w:val="18"/>
          <w:szCs w:val="18"/>
          <w:color w:val="161616"/>
        </w:rPr>
        <w:t xml:space="preserve"> </w:t>
      </w:r>
      <w:r>
        <w:rPr>
          <w:rFonts w:ascii="Arial" w:cs="Arial" w:eastAsia="Arial" w:hAnsi="Arial"/>
          <w:sz w:val="18"/>
          <w:szCs w:val="18"/>
          <w:color w:val="181818"/>
        </w:rPr>
        <w:t>Input</w:t>
      </w:r>
      <w:r>
        <w:rPr>
          <w:rFonts w:ascii="Arial" w:cs="Arial" w:eastAsia="Arial" w:hAnsi="Arial"/>
          <w:sz w:val="18"/>
          <w:szCs w:val="18"/>
          <w:color w:val="161616"/>
        </w:rPr>
        <w:t xml:space="preserve"> </w:t>
      </w:r>
      <w:r>
        <w:rPr>
          <w:rFonts w:ascii="Arial" w:cs="Arial" w:eastAsia="Arial" w:hAnsi="Arial"/>
          <w:sz w:val="18"/>
          <w:szCs w:val="18"/>
          <w:color w:val="1D1D1D"/>
        </w:rPr>
        <w:t>Tax</w:t>
      </w:r>
      <w:r>
        <w:rPr>
          <w:rFonts w:ascii="Arial" w:cs="Arial" w:eastAsia="Arial" w:hAnsi="Arial"/>
          <w:sz w:val="18"/>
          <w:szCs w:val="18"/>
          <w:color w:val="161616"/>
        </w:rPr>
        <w:t xml:space="preserve"> </w:t>
      </w:r>
      <w:r>
        <w:rPr>
          <w:rFonts w:ascii="Arial" w:cs="Arial" w:eastAsia="Arial" w:hAnsi="Arial"/>
          <w:sz w:val="18"/>
          <w:szCs w:val="18"/>
          <w:color w:val="1C1C1C"/>
        </w:rPr>
        <w:t>Credit</w:t>
      </w:r>
      <w:r>
        <w:rPr>
          <w:rFonts w:ascii="Arial" w:cs="Arial" w:eastAsia="Arial" w:hAnsi="Arial"/>
          <w:sz w:val="18"/>
          <w:szCs w:val="18"/>
          <w:color w:val="161616"/>
        </w:rPr>
        <w:t xml:space="preserve"> </w:t>
      </w:r>
      <w:r>
        <w:rPr>
          <w:rFonts w:ascii="Arial" w:cs="Arial" w:eastAsia="Arial" w:hAnsi="Arial"/>
          <w:sz w:val="18"/>
          <w:szCs w:val="18"/>
          <w:color w:val="232323"/>
        </w:rPr>
        <w:t>may</w:t>
      </w:r>
      <w:r>
        <w:rPr>
          <w:rFonts w:ascii="Arial" w:cs="Arial" w:eastAsia="Arial" w:hAnsi="Arial"/>
          <w:sz w:val="18"/>
          <w:szCs w:val="18"/>
          <w:color w:val="161616"/>
        </w:rPr>
        <w:t xml:space="preserve"> </w:t>
      </w:r>
      <w:r>
        <w:rPr>
          <w:rFonts w:ascii="Arial" w:cs="Arial" w:eastAsia="Arial" w:hAnsi="Arial"/>
          <w:sz w:val="18"/>
          <w:szCs w:val="18"/>
          <w:color w:val="1A1A1A"/>
        </w:rPr>
        <w:t>be</w:t>
      </w:r>
      <w:r>
        <w:rPr>
          <w:rFonts w:ascii="Arial" w:cs="Arial" w:eastAsia="Arial" w:hAnsi="Arial"/>
          <w:sz w:val="18"/>
          <w:szCs w:val="18"/>
          <w:color w:val="161616"/>
        </w:rPr>
        <w:t xml:space="preserve"> </w:t>
      </w:r>
      <w:r>
        <w:rPr>
          <w:rFonts w:ascii="Arial" w:cs="Arial" w:eastAsia="Arial" w:hAnsi="Arial"/>
          <w:sz w:val="18"/>
          <w:szCs w:val="18"/>
          <w:color w:val="262626"/>
        </w:rPr>
        <w:t xml:space="preserve">claimed </w:t>
      </w:r>
      <w:r>
        <w:rPr>
          <w:rFonts w:ascii="Arial" w:cs="Arial" w:eastAsia="Arial" w:hAnsi="Arial"/>
          <w:sz w:val="18"/>
          <w:szCs w:val="18"/>
          <w:color w:val="1D1D1D"/>
        </w:rPr>
        <w:t>by</w:t>
      </w:r>
      <w:r>
        <w:rPr>
          <w:rFonts w:ascii="Arial" w:cs="Arial" w:eastAsia="Arial" w:hAnsi="Arial"/>
          <w:sz w:val="18"/>
          <w:szCs w:val="18"/>
          <w:color w:val="262626"/>
        </w:rPr>
        <w:t xml:space="preserve"> </w:t>
      </w:r>
      <w:r>
        <w:rPr>
          <w:rFonts w:ascii="Arial" w:cs="Arial" w:eastAsia="Arial" w:hAnsi="Arial"/>
          <w:sz w:val="18"/>
          <w:szCs w:val="18"/>
          <w:color w:val="212121"/>
        </w:rPr>
        <w:t>the</w:t>
      </w:r>
      <w:r>
        <w:rPr>
          <w:rFonts w:ascii="Arial" w:cs="Arial" w:eastAsia="Arial" w:hAnsi="Arial"/>
          <w:sz w:val="18"/>
          <w:szCs w:val="18"/>
          <w:color w:val="262626"/>
        </w:rPr>
        <w:t xml:space="preserve"> </w:t>
      </w:r>
      <w:r>
        <w:rPr>
          <w:rFonts w:ascii="Arial" w:cs="Arial" w:eastAsia="Arial" w:hAnsi="Arial"/>
          <w:sz w:val="18"/>
          <w:szCs w:val="18"/>
          <w:color w:val="1F1F1F"/>
        </w:rPr>
        <w:t>party</w:t>
      </w:r>
      <w:r>
        <w:rPr>
          <w:rFonts w:ascii="Arial" w:cs="Arial" w:eastAsia="Arial" w:hAnsi="Arial"/>
          <w:sz w:val="18"/>
          <w:szCs w:val="18"/>
          <w:color w:val="262626"/>
        </w:rPr>
        <w:t xml:space="preserve"> </w:t>
      </w:r>
      <w:r>
        <w:rPr>
          <w:rFonts w:ascii="Arial" w:cs="Arial" w:eastAsia="Arial" w:hAnsi="Arial"/>
          <w:sz w:val="18"/>
          <w:szCs w:val="18"/>
          <w:color w:val="181818"/>
        </w:rPr>
        <w:t>being</w:t>
      </w:r>
      <w:r>
        <w:rPr>
          <w:rFonts w:ascii="Arial" w:cs="Arial" w:eastAsia="Arial" w:hAnsi="Arial"/>
          <w:sz w:val="18"/>
          <w:szCs w:val="18"/>
          <w:color w:val="262626"/>
        </w:rPr>
        <w:t xml:space="preserve"> </w:t>
      </w:r>
      <w:r>
        <w:rPr>
          <w:rFonts w:ascii="Arial" w:cs="Arial" w:eastAsia="Arial" w:hAnsi="Arial"/>
          <w:sz w:val="18"/>
          <w:szCs w:val="18"/>
          <w:color w:val="1A1A1A"/>
        </w:rPr>
        <w:t>reimbursed</w:t>
      </w:r>
      <w:r>
        <w:rPr>
          <w:rFonts w:ascii="Arial" w:cs="Arial" w:eastAsia="Arial" w:hAnsi="Arial"/>
          <w:sz w:val="18"/>
          <w:szCs w:val="18"/>
          <w:color w:val="262626"/>
        </w:rPr>
        <w:t xml:space="preserve"> </w:t>
      </w:r>
      <w:r>
        <w:rPr>
          <w:rFonts w:ascii="Arial" w:cs="Arial" w:eastAsia="Arial" w:hAnsi="Arial"/>
          <w:sz w:val="18"/>
          <w:szCs w:val="18"/>
          <w:color w:val="1F1F1F"/>
        </w:rPr>
        <w:t>or indemnified,</w:t>
      </w:r>
      <w:r>
        <w:rPr>
          <w:rFonts w:ascii="Arial" w:cs="Arial" w:eastAsia="Arial" w:hAnsi="Arial"/>
          <w:sz w:val="18"/>
          <w:szCs w:val="18"/>
          <w:color w:val="262626"/>
        </w:rPr>
        <w:t xml:space="preserve"> </w:t>
      </w:r>
      <w:r>
        <w:rPr>
          <w:rFonts w:ascii="Arial" w:cs="Arial" w:eastAsia="Arial" w:hAnsi="Arial"/>
          <w:sz w:val="18"/>
          <w:szCs w:val="18"/>
          <w:color w:val="282828"/>
        </w:rPr>
        <w:t>or</w:t>
      </w:r>
      <w:r>
        <w:rPr>
          <w:rFonts w:ascii="Arial" w:cs="Arial" w:eastAsia="Arial" w:hAnsi="Arial"/>
          <w:sz w:val="18"/>
          <w:szCs w:val="18"/>
          <w:color w:val="262626"/>
        </w:rPr>
        <w:t xml:space="preserve"> </w:t>
      </w:r>
      <w:r>
        <w:rPr>
          <w:rFonts w:ascii="Arial" w:cs="Arial" w:eastAsia="Arial" w:hAnsi="Arial"/>
          <w:sz w:val="18"/>
          <w:szCs w:val="18"/>
          <w:color w:val="212121"/>
        </w:rPr>
        <w:t>by</w:t>
      </w:r>
      <w:r>
        <w:rPr>
          <w:rFonts w:ascii="Arial" w:cs="Arial" w:eastAsia="Arial" w:hAnsi="Arial"/>
          <w:sz w:val="18"/>
          <w:szCs w:val="18"/>
          <w:color w:val="262626"/>
        </w:rPr>
        <w:t xml:space="preserve"> </w:t>
      </w:r>
      <w:r>
        <w:rPr>
          <w:rFonts w:ascii="Arial" w:cs="Arial" w:eastAsia="Arial" w:hAnsi="Arial"/>
          <w:sz w:val="18"/>
          <w:szCs w:val="18"/>
          <w:color w:val="1D1D1D"/>
        </w:rPr>
        <w:t>its</w:t>
      </w:r>
      <w:r>
        <w:rPr>
          <w:rFonts w:ascii="Arial" w:cs="Arial" w:eastAsia="Arial" w:hAnsi="Arial"/>
          <w:sz w:val="18"/>
          <w:szCs w:val="18"/>
          <w:color w:val="262626"/>
        </w:rPr>
        <w:t xml:space="preserve"> </w:t>
      </w:r>
      <w:r>
        <w:rPr>
          <w:rFonts w:ascii="Arial" w:cs="Arial" w:eastAsia="Arial" w:hAnsi="Arial"/>
          <w:sz w:val="18"/>
          <w:szCs w:val="18"/>
          <w:color w:val="161616"/>
        </w:rPr>
        <w:t>Representative</w:t>
      </w:r>
      <w:r>
        <w:rPr>
          <w:rFonts w:ascii="Arial" w:cs="Arial" w:eastAsia="Arial" w:hAnsi="Arial"/>
          <w:sz w:val="18"/>
          <w:szCs w:val="18"/>
          <w:color w:val="262626"/>
        </w:rPr>
        <w:t xml:space="preserve"> </w:t>
      </w:r>
      <w:r>
        <w:rPr>
          <w:rFonts w:ascii="Arial" w:cs="Arial" w:eastAsia="Arial" w:hAnsi="Arial"/>
          <w:sz w:val="18"/>
          <w:szCs w:val="18"/>
          <w:color w:val="1A1A1A"/>
        </w:rPr>
        <w:t>Member,</w:t>
      </w:r>
      <w:r>
        <w:rPr>
          <w:rFonts w:ascii="Arial" w:cs="Arial" w:eastAsia="Arial" w:hAnsi="Arial"/>
          <w:sz w:val="18"/>
          <w:szCs w:val="18"/>
          <w:color w:val="262626"/>
        </w:rPr>
        <w:t xml:space="preserve"> </w:t>
      </w:r>
      <w:r>
        <w:rPr>
          <w:rFonts w:ascii="Arial" w:cs="Arial" w:eastAsia="Arial" w:hAnsi="Arial"/>
          <w:sz w:val="18"/>
          <w:szCs w:val="18"/>
          <w:color w:val="1F1F1F"/>
        </w:rPr>
        <w:t>Joint Venture</w:t>
      </w:r>
      <w:r>
        <w:rPr>
          <w:rFonts w:ascii="Arial" w:cs="Arial" w:eastAsia="Arial" w:hAnsi="Arial"/>
          <w:sz w:val="18"/>
          <w:szCs w:val="18"/>
          <w:color w:val="262626"/>
        </w:rPr>
        <w:t xml:space="preserve"> </w:t>
      </w:r>
      <w:r>
        <w:rPr>
          <w:rFonts w:ascii="Arial" w:cs="Arial" w:eastAsia="Arial" w:hAnsi="Arial"/>
          <w:sz w:val="18"/>
          <w:szCs w:val="18"/>
          <w:color w:val="1C1C1C"/>
        </w:rPr>
        <w:t>Operator</w:t>
      </w:r>
      <w:r>
        <w:rPr>
          <w:rFonts w:ascii="Arial" w:cs="Arial" w:eastAsia="Arial" w:hAnsi="Arial"/>
          <w:sz w:val="18"/>
          <w:szCs w:val="18"/>
          <w:color w:val="262626"/>
        </w:rPr>
        <w:t xml:space="preserve"> </w:t>
      </w:r>
      <w:r>
        <w:rPr>
          <w:rFonts w:ascii="Arial" w:cs="Arial" w:eastAsia="Arial" w:hAnsi="Arial"/>
          <w:sz w:val="18"/>
          <w:szCs w:val="18"/>
          <w:color w:val="1F1F1F"/>
        </w:rPr>
        <w:t>or</w:t>
      </w:r>
      <w:r>
        <w:rPr>
          <w:rFonts w:ascii="Arial" w:cs="Arial" w:eastAsia="Arial" w:hAnsi="Arial"/>
          <w:sz w:val="18"/>
          <w:szCs w:val="18"/>
          <w:color w:val="262626"/>
        </w:rPr>
        <w:t xml:space="preserve"> </w:t>
      </w:r>
      <w:r>
        <w:rPr>
          <w:rFonts w:ascii="Arial" w:cs="Arial" w:eastAsia="Arial" w:hAnsi="Arial"/>
          <w:sz w:val="18"/>
          <w:szCs w:val="18"/>
          <w:color w:val="1A1A1A"/>
        </w:rPr>
        <w:t>other</w:t>
      </w:r>
      <w:r>
        <w:rPr>
          <w:rFonts w:ascii="Arial" w:cs="Arial" w:eastAsia="Arial" w:hAnsi="Arial"/>
          <w:sz w:val="18"/>
          <w:szCs w:val="18"/>
          <w:color w:val="262626"/>
        </w:rPr>
        <w:t xml:space="preserve"> </w:t>
      </w:r>
      <w:r>
        <w:rPr>
          <w:rFonts w:ascii="Arial" w:cs="Arial" w:eastAsia="Arial" w:hAnsi="Arial"/>
          <w:sz w:val="18"/>
          <w:szCs w:val="18"/>
          <w:color w:val="242424"/>
        </w:rPr>
        <w:t>similar</w:t>
      </w:r>
      <w:r>
        <w:rPr>
          <w:rFonts w:ascii="Arial" w:cs="Arial" w:eastAsia="Arial" w:hAnsi="Arial"/>
          <w:sz w:val="18"/>
          <w:szCs w:val="18"/>
          <w:color w:val="262626"/>
        </w:rPr>
        <w:t xml:space="preserve"> </w:t>
      </w:r>
      <w:r>
        <w:rPr>
          <w:rFonts w:ascii="Arial" w:cs="Arial" w:eastAsia="Arial" w:hAnsi="Arial"/>
          <w:sz w:val="18"/>
          <w:szCs w:val="18"/>
          <w:color w:val="1A1A1A"/>
        </w:rPr>
        <w:t xml:space="preserve">person </w:t>
      </w:r>
      <w:r>
        <w:rPr>
          <w:rFonts w:ascii="Arial" w:cs="Arial" w:eastAsia="Arial" w:hAnsi="Arial"/>
          <w:sz w:val="18"/>
          <w:szCs w:val="18"/>
          <w:color w:val="181818"/>
        </w:rPr>
        <w:t>entitled</w:t>
      </w:r>
      <w:r>
        <w:rPr>
          <w:rFonts w:ascii="Arial" w:cs="Arial" w:eastAsia="Arial" w:hAnsi="Arial"/>
          <w:sz w:val="18"/>
          <w:szCs w:val="18"/>
          <w:color w:val="1A1A1A"/>
        </w:rPr>
        <w:t xml:space="preserve"> </w:t>
      </w:r>
      <w:r>
        <w:rPr>
          <w:rFonts w:ascii="Arial" w:cs="Arial" w:eastAsia="Arial" w:hAnsi="Arial"/>
          <w:sz w:val="18"/>
          <w:szCs w:val="18"/>
          <w:color w:val="2A2A2A"/>
        </w:rPr>
        <w:t>to</w:t>
      </w:r>
      <w:r>
        <w:rPr>
          <w:rFonts w:ascii="Arial" w:cs="Arial" w:eastAsia="Arial" w:hAnsi="Arial"/>
          <w:sz w:val="18"/>
          <w:szCs w:val="18"/>
          <w:color w:val="1A1A1A"/>
        </w:rPr>
        <w:t xml:space="preserve"> </w:t>
      </w:r>
      <w:r>
        <w:rPr>
          <w:rFonts w:ascii="Arial" w:cs="Arial" w:eastAsia="Arial" w:hAnsi="Arial"/>
          <w:sz w:val="18"/>
          <w:szCs w:val="18"/>
          <w:color w:val="1F1F1F"/>
        </w:rPr>
        <w:t>the Input</w:t>
      </w:r>
      <w:r>
        <w:rPr>
          <w:rFonts w:ascii="Arial" w:cs="Arial" w:eastAsia="Arial" w:hAnsi="Arial"/>
          <w:sz w:val="18"/>
          <w:szCs w:val="18"/>
          <w:color w:val="1A1A1A"/>
        </w:rPr>
        <w:t xml:space="preserve"> </w:t>
      </w:r>
      <w:r>
        <w:rPr>
          <w:rFonts w:ascii="Arial" w:cs="Arial" w:eastAsia="Arial" w:hAnsi="Arial"/>
          <w:sz w:val="18"/>
          <w:szCs w:val="18"/>
          <w:color w:val="212121"/>
        </w:rPr>
        <w:t>Tax</w:t>
      </w:r>
      <w:r>
        <w:rPr>
          <w:rFonts w:ascii="Arial" w:cs="Arial" w:eastAsia="Arial" w:hAnsi="Arial"/>
          <w:sz w:val="18"/>
          <w:szCs w:val="18"/>
          <w:color w:val="1A1A1A"/>
        </w:rPr>
        <w:t xml:space="preserve"> </w:t>
      </w:r>
      <w:r>
        <w:rPr>
          <w:rFonts w:ascii="Arial" w:cs="Arial" w:eastAsia="Arial" w:hAnsi="Arial"/>
          <w:sz w:val="18"/>
          <w:szCs w:val="18"/>
          <w:color w:val="1F1F1F"/>
        </w:rPr>
        <w:t>Credit</w:t>
      </w:r>
      <w:r>
        <w:rPr>
          <w:rFonts w:ascii="Arial" w:cs="Arial" w:eastAsia="Arial" w:hAnsi="Arial"/>
          <w:sz w:val="18"/>
          <w:szCs w:val="18"/>
          <w:color w:val="1A1A1A"/>
        </w:rPr>
        <w:t xml:space="preserve"> </w:t>
      </w:r>
      <w:r>
        <w:rPr>
          <w:rFonts w:ascii="Arial" w:cs="Arial" w:eastAsia="Arial" w:hAnsi="Arial"/>
          <w:sz w:val="18"/>
          <w:szCs w:val="18"/>
          <w:color w:val="2A2A2A"/>
        </w:rPr>
        <w:t>(if</w:t>
      </w:r>
      <w:r>
        <w:rPr>
          <w:rFonts w:ascii="Arial" w:cs="Arial" w:eastAsia="Arial" w:hAnsi="Arial"/>
          <w:sz w:val="18"/>
          <w:szCs w:val="18"/>
          <w:color w:val="1A1A1A"/>
        </w:rPr>
        <w:t xml:space="preserve"> </w:t>
      </w:r>
      <w:r>
        <w:rPr>
          <w:rFonts w:ascii="Arial" w:cs="Arial" w:eastAsia="Arial" w:hAnsi="Arial"/>
          <w:sz w:val="18"/>
          <w:szCs w:val="18"/>
          <w:color w:val="212121"/>
        </w:rPr>
        <w:t>any).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42424"/>
        </w:rPr>
        <w:t>10.6</w:t>
      </w:r>
      <w:r>
        <w:rPr>
          <w:sz w:val="20"/>
          <w:szCs w:val="20"/>
          <w:color w:val="auto"/>
        </w:rPr>
        <w:tab/>
      </w:r>
      <w:r>
        <w:rPr>
          <w:rFonts w:ascii="Arial" w:cs="Arial" w:eastAsia="Arial" w:hAnsi="Arial"/>
          <w:sz w:val="17"/>
          <w:szCs w:val="17"/>
          <w:b w:val="1"/>
          <w:bCs w:val="1"/>
          <w:color w:val="212121"/>
        </w:rPr>
        <w:t xml:space="preserve">Warranty </w:t>
      </w:r>
      <w:r>
        <w:rPr>
          <w:rFonts w:ascii="Arial" w:cs="Arial" w:eastAsia="Arial" w:hAnsi="Arial"/>
          <w:sz w:val="17"/>
          <w:szCs w:val="17"/>
          <w:b w:val="1"/>
          <w:bCs w:val="1"/>
          <w:color w:val="1F1F1F"/>
        </w:rPr>
        <w:t>that Tax</w:t>
      </w:r>
      <w:r>
        <w:rPr>
          <w:rFonts w:ascii="Arial" w:cs="Arial" w:eastAsia="Arial" w:hAnsi="Arial"/>
          <w:sz w:val="17"/>
          <w:szCs w:val="17"/>
          <w:b w:val="1"/>
          <w:bCs w:val="1"/>
          <w:color w:val="212121"/>
        </w:rPr>
        <w:t xml:space="preserve"> Invoice </w:t>
      </w:r>
      <w:r>
        <w:rPr>
          <w:rFonts w:ascii="Arial" w:cs="Arial" w:eastAsia="Arial" w:hAnsi="Arial"/>
          <w:sz w:val="17"/>
          <w:szCs w:val="17"/>
          <w:b w:val="1"/>
          <w:bCs w:val="1"/>
          <w:color w:val="282828"/>
        </w:rPr>
        <w:t>is</w:t>
      </w:r>
      <w:r>
        <w:rPr>
          <w:rFonts w:ascii="Arial" w:cs="Arial" w:eastAsia="Arial" w:hAnsi="Arial"/>
          <w:sz w:val="17"/>
          <w:szCs w:val="17"/>
          <w:b w:val="1"/>
          <w:bCs w:val="1"/>
          <w:color w:val="212121"/>
        </w:rPr>
        <w:t xml:space="preserve"> </w:t>
      </w:r>
      <w:r>
        <w:rPr>
          <w:rFonts w:ascii="Arial" w:cs="Arial" w:eastAsia="Arial" w:hAnsi="Arial"/>
          <w:sz w:val="17"/>
          <w:szCs w:val="17"/>
          <w:b w:val="1"/>
          <w:bCs w:val="1"/>
          <w:color w:val="181818"/>
        </w:rPr>
        <w:t>issued</w:t>
      </w:r>
      <w:r>
        <w:rPr>
          <w:rFonts w:ascii="Arial" w:cs="Arial" w:eastAsia="Arial" w:hAnsi="Arial"/>
          <w:sz w:val="17"/>
          <w:szCs w:val="17"/>
          <w:b w:val="1"/>
          <w:bCs w:val="1"/>
          <w:color w:val="212121"/>
        </w:rPr>
        <w:t xml:space="preserve"> </w:t>
      </w:r>
      <w:r>
        <w:rPr>
          <w:rFonts w:ascii="Arial" w:cs="Arial" w:eastAsia="Arial" w:hAnsi="Arial"/>
          <w:sz w:val="17"/>
          <w:szCs w:val="17"/>
          <w:b w:val="1"/>
          <w:bCs w:val="1"/>
          <w:color w:val="1C1C1C"/>
        </w:rPr>
        <w:t>regarding</w:t>
      </w:r>
      <w:r>
        <w:rPr>
          <w:rFonts w:ascii="Arial" w:cs="Arial" w:eastAsia="Arial" w:hAnsi="Arial"/>
          <w:sz w:val="17"/>
          <w:szCs w:val="17"/>
          <w:b w:val="1"/>
          <w:bCs w:val="1"/>
          <w:color w:val="212121"/>
        </w:rPr>
        <w:t xml:space="preserve"> </w:t>
      </w:r>
      <w:r>
        <w:rPr>
          <w:rFonts w:ascii="Arial" w:cs="Arial" w:eastAsia="Arial" w:hAnsi="Arial"/>
          <w:sz w:val="17"/>
          <w:szCs w:val="17"/>
          <w:b w:val="1"/>
          <w:bCs w:val="1"/>
          <w:color w:val="2D2D2D"/>
        </w:rPr>
        <w:t>a</w:t>
      </w:r>
      <w:r>
        <w:rPr>
          <w:rFonts w:ascii="Arial" w:cs="Arial" w:eastAsia="Arial" w:hAnsi="Arial"/>
          <w:sz w:val="17"/>
          <w:szCs w:val="17"/>
          <w:b w:val="1"/>
          <w:bCs w:val="1"/>
          <w:color w:val="212121"/>
        </w:rPr>
        <w:t xml:space="preserve"> </w:t>
      </w:r>
      <w:r>
        <w:rPr>
          <w:rFonts w:ascii="Arial" w:cs="Arial" w:eastAsia="Arial" w:hAnsi="Arial"/>
          <w:sz w:val="17"/>
          <w:szCs w:val="17"/>
          <w:b w:val="1"/>
          <w:bCs w:val="1"/>
          <w:color w:val="262626"/>
        </w:rPr>
        <w:t>Taxable Supply</w:t>
      </w:r>
    </w:p>
    <w:p>
      <w:pPr>
        <w:spacing w:after="0" w:line="220" w:lineRule="exact"/>
        <w:rPr>
          <w:sz w:val="20"/>
          <w:szCs w:val="20"/>
          <w:color w:val="auto"/>
        </w:rPr>
      </w:pPr>
    </w:p>
    <w:p>
      <w:pPr>
        <w:ind w:left="660" w:right="460"/>
        <w:spacing w:after="0" w:line="246" w:lineRule="auto"/>
        <w:rPr>
          <w:sz w:val="20"/>
          <w:szCs w:val="20"/>
          <w:color w:val="auto"/>
        </w:rPr>
      </w:pPr>
      <w:r>
        <w:rPr>
          <w:rFonts w:ascii="Arial" w:cs="Arial" w:eastAsia="Arial" w:hAnsi="Arial"/>
          <w:sz w:val="18"/>
          <w:szCs w:val="18"/>
          <w:color w:val="212121"/>
        </w:rPr>
        <w:t xml:space="preserve">Where </w:t>
      </w:r>
      <w:r>
        <w:rPr>
          <w:rFonts w:ascii="Arial" w:cs="Arial" w:eastAsia="Arial" w:hAnsi="Arial"/>
          <w:sz w:val="18"/>
          <w:szCs w:val="18"/>
          <w:color w:val="282828"/>
        </w:rPr>
        <w:t>a</w:t>
      </w:r>
      <w:r>
        <w:rPr>
          <w:rFonts w:ascii="Arial" w:cs="Arial" w:eastAsia="Arial" w:hAnsi="Arial"/>
          <w:sz w:val="18"/>
          <w:szCs w:val="18"/>
          <w:color w:val="212121"/>
        </w:rPr>
        <w:t xml:space="preserve"> </w:t>
      </w:r>
      <w:r>
        <w:rPr>
          <w:rFonts w:ascii="Arial" w:cs="Arial" w:eastAsia="Arial" w:hAnsi="Arial"/>
          <w:sz w:val="18"/>
          <w:szCs w:val="18"/>
          <w:color w:val="2A2A2A"/>
        </w:rPr>
        <w:t>Tax</w:t>
      </w:r>
      <w:r>
        <w:rPr>
          <w:rFonts w:ascii="Arial" w:cs="Arial" w:eastAsia="Arial" w:hAnsi="Arial"/>
          <w:sz w:val="18"/>
          <w:szCs w:val="18"/>
          <w:color w:val="212121"/>
        </w:rPr>
        <w:t xml:space="preserve"> Invoice is </w:t>
      </w:r>
      <w:r>
        <w:rPr>
          <w:rFonts w:ascii="Arial" w:cs="Arial" w:eastAsia="Arial" w:hAnsi="Arial"/>
          <w:sz w:val="18"/>
          <w:szCs w:val="18"/>
          <w:color w:val="1D1D1D"/>
        </w:rPr>
        <w:t>given</w:t>
      </w:r>
      <w:r>
        <w:rPr>
          <w:rFonts w:ascii="Arial" w:cs="Arial" w:eastAsia="Arial" w:hAnsi="Arial"/>
          <w:sz w:val="18"/>
          <w:szCs w:val="18"/>
          <w:color w:val="212121"/>
        </w:rPr>
        <w:t xml:space="preserve"> </w:t>
      </w:r>
      <w:r>
        <w:rPr>
          <w:rFonts w:ascii="Arial" w:cs="Arial" w:eastAsia="Arial" w:hAnsi="Arial"/>
          <w:sz w:val="18"/>
          <w:szCs w:val="18"/>
          <w:color w:val="2A2A2A"/>
        </w:rPr>
        <w:t>by</w:t>
      </w:r>
      <w:r>
        <w:rPr>
          <w:rFonts w:ascii="Arial" w:cs="Arial" w:eastAsia="Arial" w:hAnsi="Arial"/>
          <w:sz w:val="18"/>
          <w:szCs w:val="18"/>
          <w:color w:val="212121"/>
        </w:rPr>
        <w:t xml:space="preserve"> the </w:t>
      </w:r>
      <w:r>
        <w:rPr>
          <w:rFonts w:ascii="Arial" w:cs="Arial" w:eastAsia="Arial" w:hAnsi="Arial"/>
          <w:sz w:val="18"/>
          <w:szCs w:val="18"/>
          <w:color w:val="1A1A1A"/>
        </w:rPr>
        <w:t>Supplier,</w:t>
      </w:r>
      <w:r>
        <w:rPr>
          <w:rFonts w:ascii="Arial" w:cs="Arial" w:eastAsia="Arial" w:hAnsi="Arial"/>
          <w:sz w:val="18"/>
          <w:szCs w:val="18"/>
          <w:color w:val="212121"/>
        </w:rPr>
        <w:t xml:space="preserve"> </w:t>
      </w:r>
      <w:r>
        <w:rPr>
          <w:rFonts w:ascii="Arial" w:cs="Arial" w:eastAsia="Arial" w:hAnsi="Arial"/>
          <w:sz w:val="18"/>
          <w:szCs w:val="18"/>
          <w:color w:val="282828"/>
        </w:rPr>
        <w:t>the</w:t>
      </w:r>
      <w:r>
        <w:rPr>
          <w:rFonts w:ascii="Arial" w:cs="Arial" w:eastAsia="Arial" w:hAnsi="Arial"/>
          <w:sz w:val="18"/>
          <w:szCs w:val="18"/>
          <w:color w:val="212121"/>
        </w:rPr>
        <w:t xml:space="preserve"> </w:t>
      </w:r>
      <w:r>
        <w:rPr>
          <w:rFonts w:ascii="Arial" w:cs="Arial" w:eastAsia="Arial" w:hAnsi="Arial"/>
          <w:sz w:val="18"/>
          <w:szCs w:val="18"/>
          <w:color w:val="1C1C1C"/>
        </w:rPr>
        <w:t>Supplier</w:t>
      </w:r>
      <w:r>
        <w:rPr>
          <w:rFonts w:ascii="Arial" w:cs="Arial" w:eastAsia="Arial" w:hAnsi="Arial"/>
          <w:sz w:val="18"/>
          <w:szCs w:val="18"/>
          <w:color w:val="212121"/>
        </w:rPr>
        <w:t xml:space="preserve"> </w:t>
      </w:r>
      <w:r>
        <w:rPr>
          <w:rFonts w:ascii="Arial" w:cs="Arial" w:eastAsia="Arial" w:hAnsi="Arial"/>
          <w:sz w:val="18"/>
          <w:szCs w:val="18"/>
          <w:color w:val="1D1D1D"/>
        </w:rPr>
        <w:t>warrants</w:t>
      </w:r>
      <w:r>
        <w:rPr>
          <w:rFonts w:ascii="Arial" w:cs="Arial" w:eastAsia="Arial" w:hAnsi="Arial"/>
          <w:sz w:val="18"/>
          <w:szCs w:val="18"/>
          <w:color w:val="212121"/>
        </w:rPr>
        <w:t xml:space="preserve"> </w:t>
      </w:r>
      <w:r>
        <w:rPr>
          <w:rFonts w:ascii="Arial" w:cs="Arial" w:eastAsia="Arial" w:hAnsi="Arial"/>
          <w:sz w:val="18"/>
          <w:szCs w:val="18"/>
          <w:color w:val="151515"/>
        </w:rPr>
        <w:t>that</w:t>
      </w:r>
      <w:r>
        <w:rPr>
          <w:rFonts w:ascii="Arial" w:cs="Arial" w:eastAsia="Arial" w:hAnsi="Arial"/>
          <w:sz w:val="18"/>
          <w:szCs w:val="18"/>
          <w:color w:val="212121"/>
        </w:rPr>
        <w:t xml:space="preserve"> </w:t>
      </w:r>
      <w:r>
        <w:rPr>
          <w:rFonts w:ascii="Arial" w:cs="Arial" w:eastAsia="Arial" w:hAnsi="Arial"/>
          <w:sz w:val="18"/>
          <w:szCs w:val="18"/>
          <w:color w:val="1A1A1A"/>
        </w:rPr>
        <w:t>the</w:t>
      </w:r>
      <w:r>
        <w:rPr>
          <w:rFonts w:ascii="Arial" w:cs="Arial" w:eastAsia="Arial" w:hAnsi="Arial"/>
          <w:sz w:val="18"/>
          <w:szCs w:val="18"/>
          <w:color w:val="212121"/>
        </w:rPr>
        <w:t xml:space="preserve"> </w:t>
      </w:r>
      <w:r>
        <w:rPr>
          <w:rFonts w:ascii="Arial" w:cs="Arial" w:eastAsia="Arial" w:hAnsi="Arial"/>
          <w:sz w:val="18"/>
          <w:szCs w:val="18"/>
          <w:color w:val="1C1C1C"/>
        </w:rPr>
        <w:t>Supply</w:t>
      </w:r>
      <w:r>
        <w:rPr>
          <w:rFonts w:ascii="Arial" w:cs="Arial" w:eastAsia="Arial" w:hAnsi="Arial"/>
          <w:sz w:val="18"/>
          <w:szCs w:val="18"/>
          <w:color w:val="212121"/>
        </w:rPr>
        <w:t xml:space="preserve"> </w:t>
      </w:r>
      <w:r>
        <w:rPr>
          <w:rFonts w:ascii="Arial" w:cs="Arial" w:eastAsia="Arial" w:hAnsi="Arial"/>
          <w:sz w:val="18"/>
          <w:szCs w:val="18"/>
          <w:color w:val="1A1A1A"/>
        </w:rPr>
        <w:t>to</w:t>
      </w:r>
      <w:r>
        <w:rPr>
          <w:rFonts w:ascii="Arial" w:cs="Arial" w:eastAsia="Arial" w:hAnsi="Arial"/>
          <w:sz w:val="18"/>
          <w:szCs w:val="18"/>
          <w:color w:val="212121"/>
        </w:rPr>
        <w:t xml:space="preserve"> </w:t>
      </w:r>
      <w:r>
        <w:rPr>
          <w:rFonts w:ascii="Arial" w:cs="Arial" w:eastAsia="Arial" w:hAnsi="Arial"/>
          <w:sz w:val="18"/>
          <w:szCs w:val="18"/>
          <w:color w:val="262626"/>
        </w:rPr>
        <w:t>which</w:t>
      </w:r>
      <w:r>
        <w:rPr>
          <w:rFonts w:ascii="Arial" w:cs="Arial" w:eastAsia="Arial" w:hAnsi="Arial"/>
          <w:sz w:val="18"/>
          <w:szCs w:val="18"/>
          <w:color w:val="212121"/>
        </w:rPr>
        <w:t xml:space="preserve"> </w:t>
      </w:r>
      <w:r>
        <w:rPr>
          <w:rFonts w:ascii="Arial" w:cs="Arial" w:eastAsia="Arial" w:hAnsi="Arial"/>
          <w:sz w:val="18"/>
          <w:szCs w:val="18"/>
          <w:color w:val="232323"/>
        </w:rPr>
        <w:t>the</w:t>
      </w:r>
      <w:r>
        <w:rPr>
          <w:rFonts w:ascii="Arial" w:cs="Arial" w:eastAsia="Arial" w:hAnsi="Arial"/>
          <w:sz w:val="18"/>
          <w:szCs w:val="18"/>
          <w:color w:val="212121"/>
        </w:rPr>
        <w:t xml:space="preserve"> </w:t>
      </w:r>
      <w:r>
        <w:rPr>
          <w:rFonts w:ascii="Arial" w:cs="Arial" w:eastAsia="Arial" w:hAnsi="Arial"/>
          <w:sz w:val="18"/>
          <w:szCs w:val="18"/>
          <w:color w:val="282828"/>
        </w:rPr>
        <w:t>Tax</w:t>
      </w:r>
      <w:r>
        <w:rPr>
          <w:rFonts w:ascii="Arial" w:cs="Arial" w:eastAsia="Arial" w:hAnsi="Arial"/>
          <w:sz w:val="18"/>
          <w:szCs w:val="18"/>
          <w:color w:val="212121"/>
        </w:rPr>
        <w:t xml:space="preserve"> </w:t>
      </w:r>
      <w:r>
        <w:rPr>
          <w:rFonts w:ascii="Arial" w:cs="Arial" w:eastAsia="Arial" w:hAnsi="Arial"/>
          <w:sz w:val="18"/>
          <w:szCs w:val="18"/>
          <w:color w:val="1C1C1C"/>
        </w:rPr>
        <w:t>Invoice relates</w:t>
      </w:r>
      <w:r>
        <w:rPr>
          <w:rFonts w:ascii="Arial" w:cs="Arial" w:eastAsia="Arial" w:hAnsi="Arial"/>
          <w:sz w:val="18"/>
          <w:szCs w:val="18"/>
          <w:color w:val="212121"/>
        </w:rPr>
        <w:t xml:space="preserve"> </w:t>
      </w:r>
      <w:r>
        <w:rPr>
          <w:rFonts w:ascii="Arial" w:cs="Arial" w:eastAsia="Arial" w:hAnsi="Arial"/>
          <w:sz w:val="18"/>
          <w:szCs w:val="18"/>
          <w:color w:val="232323"/>
        </w:rPr>
        <w:t>is</w:t>
      </w:r>
      <w:r>
        <w:rPr>
          <w:rFonts w:ascii="Arial" w:cs="Arial" w:eastAsia="Arial" w:hAnsi="Arial"/>
          <w:sz w:val="18"/>
          <w:szCs w:val="18"/>
          <w:color w:val="212121"/>
        </w:rPr>
        <w:t xml:space="preserve"> a </w:t>
      </w:r>
      <w:r>
        <w:rPr>
          <w:rFonts w:ascii="Arial" w:cs="Arial" w:eastAsia="Arial" w:hAnsi="Arial"/>
          <w:sz w:val="18"/>
          <w:szCs w:val="18"/>
          <w:color w:val="1F1F1F"/>
        </w:rPr>
        <w:t>Taxable</w:t>
      </w:r>
      <w:r>
        <w:rPr>
          <w:rFonts w:ascii="Arial" w:cs="Arial" w:eastAsia="Arial" w:hAnsi="Arial"/>
          <w:sz w:val="18"/>
          <w:szCs w:val="18"/>
          <w:color w:val="212121"/>
        </w:rPr>
        <w:t xml:space="preserve"> </w:t>
      </w:r>
      <w:r>
        <w:rPr>
          <w:rFonts w:ascii="Arial" w:cs="Arial" w:eastAsia="Arial" w:hAnsi="Arial"/>
          <w:sz w:val="18"/>
          <w:szCs w:val="18"/>
          <w:color w:val="232323"/>
        </w:rPr>
        <w:t xml:space="preserve">Supply </w:t>
      </w:r>
      <w:r>
        <w:rPr>
          <w:rFonts w:ascii="Arial" w:cs="Arial" w:eastAsia="Arial" w:hAnsi="Arial"/>
          <w:sz w:val="18"/>
          <w:szCs w:val="18"/>
          <w:color w:val="181818"/>
        </w:rPr>
        <w:t>and</w:t>
      </w:r>
      <w:r>
        <w:rPr>
          <w:rFonts w:ascii="Arial" w:cs="Arial" w:eastAsia="Arial" w:hAnsi="Arial"/>
          <w:sz w:val="18"/>
          <w:szCs w:val="18"/>
          <w:color w:val="232323"/>
        </w:rPr>
        <w:t xml:space="preserve"> </w:t>
      </w:r>
      <w:r>
        <w:rPr>
          <w:rFonts w:ascii="Arial" w:cs="Arial" w:eastAsia="Arial" w:hAnsi="Arial"/>
          <w:sz w:val="18"/>
          <w:szCs w:val="18"/>
          <w:color w:val="212121"/>
        </w:rPr>
        <w:t>that</w:t>
      </w:r>
      <w:r>
        <w:rPr>
          <w:rFonts w:ascii="Arial" w:cs="Arial" w:eastAsia="Arial" w:hAnsi="Arial"/>
          <w:sz w:val="18"/>
          <w:szCs w:val="18"/>
          <w:color w:val="232323"/>
        </w:rPr>
        <w:t xml:space="preserve"> </w:t>
      </w:r>
      <w:r>
        <w:rPr>
          <w:rFonts w:ascii="Arial" w:cs="Arial" w:eastAsia="Arial" w:hAnsi="Arial"/>
          <w:sz w:val="18"/>
          <w:szCs w:val="18"/>
          <w:color w:val="2A2A2A"/>
        </w:rPr>
        <w:t>it</w:t>
      </w:r>
      <w:r>
        <w:rPr>
          <w:rFonts w:ascii="Arial" w:cs="Arial" w:eastAsia="Arial" w:hAnsi="Arial"/>
          <w:sz w:val="18"/>
          <w:szCs w:val="18"/>
          <w:color w:val="232323"/>
        </w:rPr>
        <w:t xml:space="preserve"> will </w:t>
      </w:r>
      <w:r>
        <w:rPr>
          <w:rFonts w:ascii="Arial" w:cs="Arial" w:eastAsia="Arial" w:hAnsi="Arial"/>
          <w:sz w:val="18"/>
          <w:szCs w:val="18"/>
          <w:color w:val="1C1C1C"/>
        </w:rPr>
        <w:t>remit</w:t>
      </w:r>
      <w:r>
        <w:rPr>
          <w:rFonts w:ascii="Arial" w:cs="Arial" w:eastAsia="Arial" w:hAnsi="Arial"/>
          <w:sz w:val="18"/>
          <w:szCs w:val="18"/>
          <w:color w:val="232323"/>
        </w:rPr>
        <w:t xml:space="preserve"> </w:t>
      </w:r>
      <w:r>
        <w:rPr>
          <w:rFonts w:ascii="Arial" w:cs="Arial" w:eastAsia="Arial" w:hAnsi="Arial"/>
          <w:sz w:val="18"/>
          <w:szCs w:val="18"/>
          <w:color w:val="1A1A1A"/>
        </w:rPr>
        <w:t>the</w:t>
      </w:r>
      <w:r>
        <w:rPr>
          <w:rFonts w:ascii="Arial" w:cs="Arial" w:eastAsia="Arial" w:hAnsi="Arial"/>
          <w:sz w:val="18"/>
          <w:szCs w:val="18"/>
          <w:color w:val="232323"/>
        </w:rPr>
        <w:t xml:space="preserve"> </w:t>
      </w:r>
      <w:r>
        <w:rPr>
          <w:rFonts w:ascii="Arial" w:cs="Arial" w:eastAsia="Arial" w:hAnsi="Arial"/>
          <w:sz w:val="18"/>
          <w:szCs w:val="18"/>
          <w:color w:val="1F1F1F"/>
        </w:rPr>
        <w:t>GST</w:t>
      </w:r>
      <w:r>
        <w:rPr>
          <w:rFonts w:ascii="Arial" w:cs="Arial" w:eastAsia="Arial" w:hAnsi="Arial"/>
          <w:sz w:val="18"/>
          <w:szCs w:val="18"/>
          <w:color w:val="232323"/>
        </w:rPr>
        <w:t xml:space="preserve"> </w:t>
      </w:r>
      <w:r>
        <w:rPr>
          <w:rFonts w:ascii="Arial" w:cs="Arial" w:eastAsia="Arial" w:hAnsi="Arial"/>
          <w:sz w:val="18"/>
          <w:szCs w:val="18"/>
          <w:color w:val="1C1C1C"/>
        </w:rPr>
        <w:t>(as stated</w:t>
      </w:r>
      <w:r>
        <w:rPr>
          <w:rFonts w:ascii="Arial" w:cs="Arial" w:eastAsia="Arial" w:hAnsi="Arial"/>
          <w:sz w:val="18"/>
          <w:szCs w:val="18"/>
          <w:color w:val="232323"/>
        </w:rPr>
        <w:t xml:space="preserve"> </w:t>
      </w:r>
      <w:r>
        <w:rPr>
          <w:rFonts w:ascii="Arial" w:cs="Arial" w:eastAsia="Arial" w:hAnsi="Arial"/>
          <w:sz w:val="18"/>
          <w:szCs w:val="18"/>
          <w:color w:val="212121"/>
        </w:rPr>
        <w:t>on the Tax</w:t>
      </w:r>
      <w:r>
        <w:rPr>
          <w:rFonts w:ascii="Arial" w:cs="Arial" w:eastAsia="Arial" w:hAnsi="Arial"/>
          <w:sz w:val="18"/>
          <w:szCs w:val="18"/>
          <w:color w:val="232323"/>
        </w:rPr>
        <w:t xml:space="preserve"> </w:t>
      </w:r>
      <w:r>
        <w:rPr>
          <w:rFonts w:ascii="Arial" w:cs="Arial" w:eastAsia="Arial" w:hAnsi="Arial"/>
          <w:sz w:val="18"/>
          <w:szCs w:val="18"/>
          <w:color w:val="161616"/>
        </w:rPr>
        <w:t>Invoice)</w:t>
      </w:r>
      <w:r>
        <w:rPr>
          <w:rFonts w:ascii="Arial" w:cs="Arial" w:eastAsia="Arial" w:hAnsi="Arial"/>
          <w:sz w:val="18"/>
          <w:szCs w:val="18"/>
          <w:color w:val="232323"/>
        </w:rPr>
        <w:t xml:space="preserve"> </w:t>
      </w:r>
      <w:r>
        <w:rPr>
          <w:rFonts w:ascii="Arial" w:cs="Arial" w:eastAsia="Arial" w:hAnsi="Arial"/>
          <w:sz w:val="18"/>
          <w:szCs w:val="18"/>
          <w:color w:val="1C1C1C"/>
        </w:rPr>
        <w:t>to</w:t>
      </w:r>
      <w:r>
        <w:rPr>
          <w:rFonts w:ascii="Arial" w:cs="Arial" w:eastAsia="Arial" w:hAnsi="Arial"/>
          <w:sz w:val="18"/>
          <w:szCs w:val="18"/>
          <w:color w:val="232323"/>
        </w:rPr>
        <w:t xml:space="preserve"> </w:t>
      </w:r>
      <w:r>
        <w:rPr>
          <w:rFonts w:ascii="Arial" w:cs="Arial" w:eastAsia="Arial" w:hAnsi="Arial"/>
          <w:sz w:val="18"/>
          <w:szCs w:val="18"/>
          <w:color w:val="1F1F1F"/>
        </w:rPr>
        <w:t>the</w:t>
      </w:r>
      <w:r>
        <w:rPr>
          <w:rFonts w:ascii="Arial" w:cs="Arial" w:eastAsia="Arial" w:hAnsi="Arial"/>
          <w:sz w:val="18"/>
          <w:szCs w:val="18"/>
          <w:color w:val="232323"/>
        </w:rPr>
        <w:t xml:space="preserve"> </w:t>
      </w:r>
      <w:r>
        <w:rPr>
          <w:rFonts w:ascii="Arial" w:cs="Arial" w:eastAsia="Arial" w:hAnsi="Arial"/>
          <w:sz w:val="18"/>
          <w:szCs w:val="18"/>
          <w:color w:val="212121"/>
        </w:rPr>
        <w:t>Australian</w:t>
      </w:r>
      <w:r>
        <w:rPr>
          <w:rFonts w:ascii="Arial" w:cs="Arial" w:eastAsia="Arial" w:hAnsi="Arial"/>
          <w:sz w:val="18"/>
          <w:szCs w:val="18"/>
          <w:color w:val="232323"/>
        </w:rPr>
        <w:t xml:space="preserve"> Taxation </w:t>
      </w:r>
      <w:r>
        <w:rPr>
          <w:rFonts w:ascii="Arial" w:cs="Arial" w:eastAsia="Arial" w:hAnsi="Arial"/>
          <w:sz w:val="18"/>
          <w:szCs w:val="18"/>
          <w:color w:val="1F1F1F"/>
        </w:rPr>
        <w:t>Office.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32323"/>
        </w:rPr>
        <w:t>10.7</w:t>
      </w:r>
      <w:r>
        <w:rPr>
          <w:sz w:val="20"/>
          <w:szCs w:val="20"/>
          <w:color w:val="auto"/>
        </w:rPr>
        <w:tab/>
      </w:r>
      <w:r>
        <w:rPr>
          <w:rFonts w:ascii="Arial" w:cs="Arial" w:eastAsia="Arial" w:hAnsi="Arial"/>
          <w:sz w:val="17"/>
          <w:szCs w:val="17"/>
          <w:b w:val="1"/>
          <w:bCs w:val="1"/>
          <w:color w:val="212121"/>
        </w:rPr>
        <w:t xml:space="preserve">Progressive </w:t>
      </w:r>
      <w:r>
        <w:rPr>
          <w:rFonts w:ascii="Arial" w:cs="Arial" w:eastAsia="Arial" w:hAnsi="Arial"/>
          <w:sz w:val="17"/>
          <w:szCs w:val="17"/>
          <w:b w:val="1"/>
          <w:bCs w:val="1"/>
          <w:color w:val="242424"/>
        </w:rPr>
        <w:t>or</w:t>
      </w:r>
      <w:r>
        <w:rPr>
          <w:rFonts w:ascii="Arial" w:cs="Arial" w:eastAsia="Arial" w:hAnsi="Arial"/>
          <w:sz w:val="17"/>
          <w:szCs w:val="17"/>
          <w:b w:val="1"/>
          <w:bCs w:val="1"/>
          <w:color w:val="212121"/>
        </w:rPr>
        <w:t xml:space="preserve"> </w:t>
      </w:r>
      <w:r>
        <w:rPr>
          <w:rFonts w:ascii="Arial" w:cs="Arial" w:eastAsia="Arial" w:hAnsi="Arial"/>
          <w:sz w:val="17"/>
          <w:szCs w:val="17"/>
          <w:b w:val="1"/>
          <w:bCs w:val="1"/>
          <w:color w:val="232323"/>
        </w:rPr>
        <w:t>Periodic</w:t>
      </w:r>
      <w:r>
        <w:rPr>
          <w:rFonts w:ascii="Arial" w:cs="Arial" w:eastAsia="Arial" w:hAnsi="Arial"/>
          <w:sz w:val="17"/>
          <w:szCs w:val="17"/>
          <w:b w:val="1"/>
          <w:bCs w:val="1"/>
          <w:color w:val="212121"/>
        </w:rPr>
        <w:t xml:space="preserve"> Supplies</w:t>
      </w:r>
    </w:p>
    <w:p>
      <w:pPr>
        <w:spacing w:after="0" w:line="220"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181818"/>
        </w:rPr>
        <w:t xml:space="preserve">Where </w:t>
      </w:r>
      <w:r>
        <w:rPr>
          <w:rFonts w:ascii="Arial" w:cs="Arial" w:eastAsia="Arial" w:hAnsi="Arial"/>
          <w:sz w:val="18"/>
          <w:szCs w:val="18"/>
          <w:color w:val="282828"/>
        </w:rPr>
        <w:t>a</w:t>
      </w:r>
      <w:r>
        <w:rPr>
          <w:rFonts w:ascii="Arial" w:cs="Arial" w:eastAsia="Arial" w:hAnsi="Arial"/>
          <w:sz w:val="18"/>
          <w:szCs w:val="18"/>
          <w:color w:val="181818"/>
        </w:rPr>
        <w:t xml:space="preserve"> </w:t>
      </w:r>
      <w:r>
        <w:rPr>
          <w:rFonts w:ascii="Arial" w:cs="Arial" w:eastAsia="Arial" w:hAnsi="Arial"/>
          <w:sz w:val="18"/>
          <w:szCs w:val="18"/>
          <w:color w:val="1F1F1F"/>
        </w:rPr>
        <w:t>Supply</w:t>
      </w:r>
      <w:r>
        <w:rPr>
          <w:rFonts w:ascii="Arial" w:cs="Arial" w:eastAsia="Arial" w:hAnsi="Arial"/>
          <w:sz w:val="18"/>
          <w:szCs w:val="18"/>
          <w:color w:val="181818"/>
        </w:rPr>
        <w:t xml:space="preserve"> </w:t>
      </w:r>
      <w:r>
        <w:rPr>
          <w:rFonts w:ascii="Arial" w:cs="Arial" w:eastAsia="Arial" w:hAnsi="Arial"/>
          <w:sz w:val="18"/>
          <w:szCs w:val="18"/>
          <w:color w:val="232323"/>
        </w:rPr>
        <w:t>made</w:t>
      </w:r>
      <w:r>
        <w:rPr>
          <w:rFonts w:ascii="Arial" w:cs="Arial" w:eastAsia="Arial" w:hAnsi="Arial"/>
          <w:sz w:val="18"/>
          <w:szCs w:val="18"/>
          <w:color w:val="181818"/>
        </w:rPr>
        <w:t xml:space="preserve"> </w:t>
      </w:r>
      <w:r>
        <w:rPr>
          <w:rFonts w:ascii="Arial" w:cs="Arial" w:eastAsia="Arial" w:hAnsi="Arial"/>
          <w:sz w:val="18"/>
          <w:szCs w:val="18"/>
          <w:color w:val="1A1A1A"/>
        </w:rPr>
        <w:t>under</w:t>
      </w:r>
      <w:r>
        <w:rPr>
          <w:rFonts w:ascii="Arial" w:cs="Arial" w:eastAsia="Arial" w:hAnsi="Arial"/>
          <w:sz w:val="18"/>
          <w:szCs w:val="18"/>
          <w:color w:val="181818"/>
        </w:rPr>
        <w:t xml:space="preserve"> </w:t>
      </w:r>
      <w:r>
        <w:rPr>
          <w:rFonts w:ascii="Arial" w:cs="Arial" w:eastAsia="Arial" w:hAnsi="Arial"/>
          <w:sz w:val="18"/>
          <w:szCs w:val="18"/>
          <w:color w:val="232323"/>
        </w:rPr>
        <w:t>or</w:t>
      </w:r>
      <w:r>
        <w:rPr>
          <w:rFonts w:ascii="Arial" w:cs="Arial" w:eastAsia="Arial" w:hAnsi="Arial"/>
          <w:sz w:val="18"/>
          <w:szCs w:val="18"/>
          <w:color w:val="181818"/>
        </w:rPr>
        <w:t xml:space="preserve"> </w:t>
      </w:r>
      <w:r>
        <w:rPr>
          <w:rFonts w:ascii="Arial" w:cs="Arial" w:eastAsia="Arial" w:hAnsi="Arial"/>
          <w:sz w:val="18"/>
          <w:szCs w:val="18"/>
          <w:color w:val="2B2B2B"/>
        </w:rPr>
        <w:t>in</w:t>
      </w:r>
      <w:r>
        <w:rPr>
          <w:rFonts w:ascii="Arial" w:cs="Arial" w:eastAsia="Arial" w:hAnsi="Arial"/>
          <w:sz w:val="18"/>
          <w:szCs w:val="18"/>
          <w:color w:val="181818"/>
        </w:rPr>
        <w:t xml:space="preserve"> </w:t>
      </w:r>
      <w:r>
        <w:rPr>
          <w:rFonts w:ascii="Arial" w:cs="Arial" w:eastAsia="Arial" w:hAnsi="Arial"/>
          <w:sz w:val="18"/>
          <w:szCs w:val="18"/>
          <w:color w:val="1A1A1A"/>
        </w:rPr>
        <w:t>connection</w:t>
      </w:r>
      <w:r>
        <w:rPr>
          <w:rFonts w:ascii="Arial" w:cs="Arial" w:eastAsia="Arial" w:hAnsi="Arial"/>
          <w:sz w:val="18"/>
          <w:szCs w:val="18"/>
          <w:color w:val="181818"/>
        </w:rPr>
        <w:t xml:space="preserve"> </w:t>
      </w:r>
      <w:r>
        <w:rPr>
          <w:rFonts w:ascii="Arial" w:cs="Arial" w:eastAsia="Arial" w:hAnsi="Arial"/>
          <w:sz w:val="18"/>
          <w:szCs w:val="18"/>
          <w:color w:val="1D1D1D"/>
        </w:rPr>
        <w:t>with</w:t>
      </w:r>
      <w:r>
        <w:rPr>
          <w:rFonts w:ascii="Arial" w:cs="Arial" w:eastAsia="Arial" w:hAnsi="Arial"/>
          <w:sz w:val="18"/>
          <w:szCs w:val="18"/>
          <w:color w:val="181818"/>
        </w:rPr>
        <w:t xml:space="preserve"> </w:t>
      </w:r>
      <w:r>
        <w:rPr>
          <w:rFonts w:ascii="Arial" w:cs="Arial" w:eastAsia="Arial" w:hAnsi="Arial"/>
          <w:sz w:val="18"/>
          <w:szCs w:val="18"/>
          <w:color w:val="242424"/>
        </w:rPr>
        <w:t>this</w:t>
      </w:r>
      <w:r>
        <w:rPr>
          <w:rFonts w:ascii="Arial" w:cs="Arial" w:eastAsia="Arial" w:hAnsi="Arial"/>
          <w:sz w:val="18"/>
          <w:szCs w:val="18"/>
          <w:color w:val="181818"/>
        </w:rPr>
        <w:t xml:space="preserve"> document </w:t>
      </w:r>
      <w:r>
        <w:rPr>
          <w:rFonts w:ascii="Arial" w:cs="Arial" w:eastAsia="Arial" w:hAnsi="Arial"/>
          <w:sz w:val="18"/>
          <w:szCs w:val="18"/>
          <w:color w:val="262626"/>
        </w:rPr>
        <w:t>is</w:t>
      </w:r>
      <w:r>
        <w:rPr>
          <w:rFonts w:ascii="Arial" w:cs="Arial" w:eastAsia="Arial" w:hAnsi="Arial"/>
          <w:sz w:val="18"/>
          <w:szCs w:val="18"/>
          <w:color w:val="181818"/>
        </w:rPr>
        <w:t xml:space="preserve"> a </w:t>
      </w:r>
      <w:r>
        <w:rPr>
          <w:rFonts w:ascii="Arial" w:cs="Arial" w:eastAsia="Arial" w:hAnsi="Arial"/>
          <w:sz w:val="18"/>
          <w:szCs w:val="18"/>
          <w:color w:val="1F1F1F"/>
        </w:rPr>
        <w:t>Progressive or</w:t>
      </w:r>
      <w:r>
        <w:rPr>
          <w:rFonts w:ascii="Arial" w:cs="Arial" w:eastAsia="Arial" w:hAnsi="Arial"/>
          <w:sz w:val="18"/>
          <w:szCs w:val="18"/>
          <w:color w:val="181818"/>
        </w:rPr>
        <w:t xml:space="preserve"> </w:t>
      </w:r>
      <w:r>
        <w:rPr>
          <w:rFonts w:ascii="Arial" w:cs="Arial" w:eastAsia="Arial" w:hAnsi="Arial"/>
          <w:sz w:val="18"/>
          <w:szCs w:val="18"/>
          <w:color w:val="1A1A1A"/>
        </w:rPr>
        <w:t>Periodic</w:t>
      </w:r>
      <w:r>
        <w:rPr>
          <w:rFonts w:ascii="Arial" w:cs="Arial" w:eastAsia="Arial" w:hAnsi="Arial"/>
          <w:sz w:val="18"/>
          <w:szCs w:val="18"/>
          <w:color w:val="181818"/>
        </w:rPr>
        <w:t xml:space="preserve"> </w:t>
      </w:r>
      <w:r>
        <w:rPr>
          <w:rFonts w:ascii="Arial" w:cs="Arial" w:eastAsia="Arial" w:hAnsi="Arial"/>
          <w:sz w:val="18"/>
          <w:szCs w:val="18"/>
          <w:color w:val="151515"/>
        </w:rPr>
        <w:t>Supply,</w:t>
      </w:r>
      <w:r>
        <w:rPr>
          <w:rFonts w:ascii="Arial" w:cs="Arial" w:eastAsia="Arial" w:hAnsi="Arial"/>
          <w:sz w:val="18"/>
          <w:szCs w:val="18"/>
          <w:color w:val="181818"/>
        </w:rPr>
        <w:t xml:space="preserve"> </w:t>
      </w:r>
      <w:r>
        <w:rPr>
          <w:rFonts w:ascii="Arial" w:cs="Arial" w:eastAsia="Arial" w:hAnsi="Arial"/>
          <w:sz w:val="18"/>
          <w:szCs w:val="18"/>
          <w:color w:val="1D1D1D"/>
        </w:rPr>
        <w:t>clause</w:t>
      </w:r>
      <w:r>
        <w:rPr>
          <w:rFonts w:ascii="Arial" w:cs="Arial" w:eastAsia="Arial" w:hAnsi="Arial"/>
          <w:sz w:val="18"/>
          <w:szCs w:val="18"/>
          <w:color w:val="181818"/>
        </w:rPr>
        <w:t xml:space="preserve"> </w:t>
      </w:r>
      <w:r>
        <w:rPr>
          <w:rFonts w:ascii="Arial" w:cs="Arial" w:eastAsia="Arial" w:hAnsi="Arial"/>
          <w:sz w:val="18"/>
          <w:szCs w:val="18"/>
          <w:color w:val="1C1C1C"/>
        </w:rPr>
        <w:t>10.3</w:t>
      </w:r>
      <w:r>
        <w:rPr>
          <w:rFonts w:ascii="Arial" w:cs="Arial" w:eastAsia="Arial" w:hAnsi="Arial"/>
          <w:sz w:val="18"/>
          <w:szCs w:val="18"/>
          <w:color w:val="181818"/>
        </w:rPr>
        <w:t xml:space="preserve"> </w:t>
      </w:r>
      <w:r>
        <w:rPr>
          <w:rFonts w:ascii="Arial" w:cs="Arial" w:eastAsia="Arial" w:hAnsi="Arial"/>
          <w:sz w:val="18"/>
          <w:szCs w:val="18"/>
          <w:color w:val="151515"/>
        </w:rPr>
        <w:t>applies</w:t>
      </w:r>
      <w:r>
        <w:rPr>
          <w:rFonts w:ascii="Arial" w:cs="Arial" w:eastAsia="Arial" w:hAnsi="Arial"/>
          <w:sz w:val="18"/>
          <w:szCs w:val="18"/>
          <w:color w:val="181818"/>
        </w:rPr>
        <w:t xml:space="preserve"> </w:t>
      </w:r>
      <w:r>
        <w:rPr>
          <w:rFonts w:ascii="Arial" w:cs="Arial" w:eastAsia="Arial" w:hAnsi="Arial"/>
          <w:sz w:val="18"/>
          <w:szCs w:val="18"/>
          <w:color w:val="212121"/>
        </w:rPr>
        <w:t>to</w:t>
      </w:r>
      <w:r>
        <w:rPr>
          <w:rFonts w:ascii="Arial" w:cs="Arial" w:eastAsia="Arial" w:hAnsi="Arial"/>
          <w:sz w:val="18"/>
          <w:szCs w:val="18"/>
          <w:color w:val="181818"/>
        </w:rPr>
        <w:t xml:space="preserve"> </w:t>
      </w:r>
      <w:r>
        <w:rPr>
          <w:rFonts w:ascii="Arial" w:cs="Arial" w:eastAsia="Arial" w:hAnsi="Arial"/>
          <w:sz w:val="18"/>
          <w:szCs w:val="18"/>
          <w:color w:val="161616"/>
        </w:rPr>
        <w:t>each</w:t>
      </w:r>
      <w:r>
        <w:rPr>
          <w:rFonts w:ascii="Arial" w:cs="Arial" w:eastAsia="Arial" w:hAnsi="Arial"/>
          <w:sz w:val="18"/>
          <w:szCs w:val="18"/>
          <w:color w:val="181818"/>
        </w:rPr>
        <w:t xml:space="preserve"> </w:t>
      </w:r>
      <w:r>
        <w:rPr>
          <w:rFonts w:ascii="Arial" w:cs="Arial" w:eastAsia="Arial" w:hAnsi="Arial"/>
          <w:sz w:val="18"/>
          <w:szCs w:val="18"/>
          <w:color w:val="212121"/>
        </w:rPr>
        <w:t xml:space="preserve">component of </w:t>
      </w:r>
      <w:r>
        <w:rPr>
          <w:rFonts w:ascii="Arial" w:cs="Arial" w:eastAsia="Arial" w:hAnsi="Arial"/>
          <w:sz w:val="18"/>
          <w:szCs w:val="18"/>
          <w:color w:val="1A1A1A"/>
        </w:rPr>
        <w:t>the</w:t>
      </w:r>
      <w:r>
        <w:rPr>
          <w:rFonts w:ascii="Arial" w:cs="Arial" w:eastAsia="Arial" w:hAnsi="Arial"/>
          <w:sz w:val="18"/>
          <w:szCs w:val="18"/>
          <w:color w:val="212121"/>
        </w:rPr>
        <w:t xml:space="preserve"> </w:t>
      </w:r>
      <w:r>
        <w:rPr>
          <w:rFonts w:ascii="Arial" w:cs="Arial" w:eastAsia="Arial" w:hAnsi="Arial"/>
          <w:sz w:val="18"/>
          <w:szCs w:val="18"/>
          <w:color w:val="181818"/>
        </w:rPr>
        <w:t>Progressive</w:t>
      </w:r>
      <w:r>
        <w:rPr>
          <w:rFonts w:ascii="Arial" w:cs="Arial" w:eastAsia="Arial" w:hAnsi="Arial"/>
          <w:sz w:val="18"/>
          <w:szCs w:val="18"/>
          <w:color w:val="212121"/>
        </w:rPr>
        <w:t xml:space="preserve"> </w:t>
      </w:r>
      <w:r>
        <w:rPr>
          <w:rFonts w:ascii="Arial" w:cs="Arial" w:eastAsia="Arial" w:hAnsi="Arial"/>
          <w:sz w:val="18"/>
          <w:szCs w:val="18"/>
          <w:color w:val="111111"/>
        </w:rPr>
        <w:t>or</w:t>
      </w:r>
      <w:r>
        <w:rPr>
          <w:rFonts w:ascii="Arial" w:cs="Arial" w:eastAsia="Arial" w:hAnsi="Arial"/>
          <w:sz w:val="18"/>
          <w:szCs w:val="18"/>
          <w:color w:val="212121"/>
        </w:rPr>
        <w:t xml:space="preserve"> </w:t>
      </w:r>
      <w:r>
        <w:rPr>
          <w:rFonts w:ascii="Arial" w:cs="Arial" w:eastAsia="Arial" w:hAnsi="Arial"/>
          <w:sz w:val="18"/>
          <w:szCs w:val="18"/>
          <w:color w:val="232323"/>
        </w:rPr>
        <w:t>Periodic</w:t>
      </w:r>
      <w:r>
        <w:rPr>
          <w:rFonts w:ascii="Arial" w:cs="Arial" w:eastAsia="Arial" w:hAnsi="Arial"/>
          <w:sz w:val="18"/>
          <w:szCs w:val="18"/>
          <w:color w:val="212121"/>
        </w:rPr>
        <w:t xml:space="preserve"> Supply </w:t>
      </w:r>
      <w:r>
        <w:rPr>
          <w:rFonts w:ascii="Arial" w:cs="Arial" w:eastAsia="Arial" w:hAnsi="Arial"/>
          <w:sz w:val="18"/>
          <w:szCs w:val="18"/>
          <w:color w:val="242424"/>
        </w:rPr>
        <w:t>as</w:t>
      </w:r>
      <w:r>
        <w:rPr>
          <w:rFonts w:ascii="Arial" w:cs="Arial" w:eastAsia="Arial" w:hAnsi="Arial"/>
          <w:sz w:val="18"/>
          <w:szCs w:val="18"/>
          <w:color w:val="212121"/>
        </w:rPr>
        <w:t xml:space="preserve"> </w:t>
      </w:r>
      <w:r>
        <w:rPr>
          <w:rFonts w:ascii="Arial" w:cs="Arial" w:eastAsia="Arial" w:hAnsi="Arial"/>
          <w:sz w:val="18"/>
          <w:szCs w:val="18"/>
          <w:color w:val="2A2A2A"/>
        </w:rPr>
        <w:t>if</w:t>
      </w:r>
      <w:r>
        <w:rPr>
          <w:rFonts w:ascii="Arial" w:cs="Arial" w:eastAsia="Arial" w:hAnsi="Arial"/>
          <w:sz w:val="18"/>
          <w:szCs w:val="18"/>
          <w:color w:val="212121"/>
        </w:rPr>
        <w:t xml:space="preserve"> </w:t>
      </w:r>
      <w:r>
        <w:rPr>
          <w:rFonts w:ascii="Arial" w:cs="Arial" w:eastAsia="Arial" w:hAnsi="Arial"/>
          <w:sz w:val="18"/>
          <w:szCs w:val="18"/>
          <w:color w:val="262626"/>
        </w:rPr>
        <w:t>it</w:t>
      </w:r>
      <w:r>
        <w:rPr>
          <w:rFonts w:ascii="Arial" w:cs="Arial" w:eastAsia="Arial" w:hAnsi="Arial"/>
          <w:sz w:val="18"/>
          <w:szCs w:val="18"/>
          <w:color w:val="212121"/>
        </w:rPr>
        <w:t xml:space="preserve"> </w:t>
      </w:r>
      <w:r>
        <w:rPr>
          <w:rFonts w:ascii="Arial" w:cs="Arial" w:eastAsia="Arial" w:hAnsi="Arial"/>
          <w:sz w:val="18"/>
          <w:szCs w:val="18"/>
          <w:color w:val="1A1A1A"/>
        </w:rPr>
        <w:t>were</w:t>
      </w:r>
      <w:r>
        <w:rPr>
          <w:rFonts w:ascii="Arial" w:cs="Arial" w:eastAsia="Arial" w:hAnsi="Arial"/>
          <w:sz w:val="18"/>
          <w:szCs w:val="18"/>
          <w:color w:val="212121"/>
        </w:rPr>
        <w:t xml:space="preserve"> </w:t>
      </w:r>
      <w:r>
        <w:rPr>
          <w:rFonts w:ascii="Arial" w:cs="Arial" w:eastAsia="Arial" w:hAnsi="Arial"/>
          <w:sz w:val="18"/>
          <w:szCs w:val="18"/>
          <w:color w:val="000000"/>
        </w:rPr>
        <w:t>a separate</w:t>
      </w:r>
      <w:r>
        <w:rPr>
          <w:rFonts w:ascii="Arial" w:cs="Arial" w:eastAsia="Arial" w:hAnsi="Arial"/>
          <w:sz w:val="18"/>
          <w:szCs w:val="18"/>
          <w:color w:val="212121"/>
        </w:rPr>
        <w:t xml:space="preserve"> </w:t>
      </w:r>
      <w:r>
        <w:rPr>
          <w:rFonts w:ascii="Arial" w:cs="Arial" w:eastAsia="Arial" w:hAnsi="Arial"/>
          <w:sz w:val="18"/>
          <w:szCs w:val="18"/>
          <w:color w:val="232323"/>
        </w:rPr>
        <w:t>Supply.</w:t>
      </w:r>
    </w:p>
    <w:p>
      <w:pPr>
        <w:spacing w:after="0" w:line="183" w:lineRule="exact"/>
        <w:rPr>
          <w:sz w:val="20"/>
          <w:szCs w:val="20"/>
          <w:color w:val="auto"/>
        </w:rPr>
      </w:pPr>
    </w:p>
    <w:p>
      <w:pPr>
        <w:spacing w:after="0"/>
        <w:tabs>
          <w:tab w:leader="none" w:pos="1340" w:val="left"/>
          <w:tab w:leader="none" w:pos="1680" w:val="left"/>
          <w:tab w:leader="none" w:pos="110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Deed of access, insurance and indemnity</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r>
              <w:rPr>
                <w:rFonts w:ascii="Arial" w:cs="Arial" w:eastAsia="Arial" w:hAnsi="Arial"/>
                <w:sz w:val="18"/>
                <w:szCs w:val="18"/>
                <w:b w:val="1"/>
                <w:bCs w:val="1"/>
                <w:color w:val="2F2F2F"/>
              </w:rPr>
              <w:t>11</w:t>
            </w:r>
          </w:p>
        </w:tc>
        <w:tc>
          <w:tcPr>
            <w:tcW w:w="10480" w:type="dxa"/>
            <w:vAlign w:val="bottom"/>
            <w:gridSpan w:val="2"/>
          </w:tcPr>
          <w:p>
            <w:pPr>
              <w:ind w:left="160"/>
              <w:spacing w:after="0"/>
              <w:rPr>
                <w:sz w:val="20"/>
                <w:szCs w:val="20"/>
                <w:color w:val="auto"/>
              </w:rPr>
            </w:pPr>
            <w:r>
              <w:rPr>
                <w:rFonts w:ascii="Arial" w:cs="Arial" w:eastAsia="Arial" w:hAnsi="Arial"/>
                <w:sz w:val="18"/>
                <w:szCs w:val="18"/>
                <w:b w:val="1"/>
                <w:bCs w:val="1"/>
                <w:color w:val="2F2F2F"/>
              </w:rPr>
              <w:t>General</w:t>
            </w:r>
          </w:p>
        </w:tc>
        <w:tc>
          <w:tcPr>
            <w:tcW w:w="260" w:type="dxa"/>
            <w:vAlign w:val="bottom"/>
          </w:tcPr>
          <w:p>
            <w:pPr>
              <w:spacing w:after="0"/>
              <w:rPr>
                <w:sz w:val="20"/>
                <w:szCs w:val="20"/>
                <w:color w:val="auto"/>
              </w:rPr>
            </w:pPr>
          </w:p>
        </w:tc>
      </w:tr>
      <w:tr>
        <w:trPr>
          <w:trHeight w:val="41"/>
        </w:trPr>
        <w:tc>
          <w:tcPr>
            <w:tcW w:w="500" w:type="dxa"/>
            <w:vAlign w:val="bottom"/>
            <w:tcBorders>
              <w:bottom w:val="single" w:sz="8" w:color="auto"/>
            </w:tcBorders>
          </w:tcPr>
          <w:p>
            <w:pPr>
              <w:spacing w:after="0"/>
              <w:rPr>
                <w:sz w:val="3"/>
                <w:szCs w:val="3"/>
                <w:color w:val="auto"/>
              </w:rPr>
            </w:pPr>
          </w:p>
        </w:tc>
        <w:tc>
          <w:tcPr>
            <w:tcW w:w="104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479"/>
        </w:trPr>
        <w:tc>
          <w:tcPr>
            <w:tcW w:w="500" w:type="dxa"/>
            <w:vAlign w:val="bottom"/>
          </w:tcPr>
          <w:p>
            <w:pPr>
              <w:spacing w:after="0"/>
              <w:rPr>
                <w:sz w:val="20"/>
                <w:szCs w:val="20"/>
                <w:color w:val="auto"/>
              </w:rPr>
            </w:pPr>
            <w:r>
              <w:rPr>
                <w:rFonts w:ascii="Arial" w:cs="Arial" w:eastAsia="Arial" w:hAnsi="Arial"/>
                <w:sz w:val="18"/>
                <w:szCs w:val="18"/>
                <w:b w:val="1"/>
                <w:bCs w:val="1"/>
                <w:color w:val="2F2F2F"/>
              </w:rPr>
              <w:t>11.1</w:t>
            </w:r>
          </w:p>
        </w:tc>
        <w:tc>
          <w:tcPr>
            <w:tcW w:w="10480" w:type="dxa"/>
            <w:vAlign w:val="bottom"/>
            <w:gridSpan w:val="2"/>
          </w:tcPr>
          <w:p>
            <w:pPr>
              <w:ind w:left="160"/>
              <w:spacing w:after="0"/>
              <w:rPr>
                <w:sz w:val="20"/>
                <w:szCs w:val="20"/>
                <w:color w:val="auto"/>
              </w:rPr>
            </w:pPr>
            <w:r>
              <w:rPr>
                <w:rFonts w:ascii="Arial" w:cs="Arial" w:eastAsia="Arial" w:hAnsi="Arial"/>
                <w:sz w:val="18"/>
                <w:szCs w:val="18"/>
                <w:b w:val="1"/>
                <w:bCs w:val="1"/>
                <w:color w:val="2A2A2A"/>
              </w:rPr>
              <w:t>Amendments</w:t>
            </w:r>
          </w:p>
        </w:tc>
        <w:tc>
          <w:tcPr>
            <w:tcW w:w="260" w:type="dxa"/>
            <w:vAlign w:val="bottom"/>
          </w:tcPr>
          <w:p>
            <w:pPr>
              <w:spacing w:after="0"/>
              <w:rPr>
                <w:sz w:val="24"/>
                <w:szCs w:val="24"/>
                <w:color w:val="auto"/>
              </w:rPr>
            </w:pPr>
          </w:p>
        </w:tc>
      </w:tr>
      <w:tr>
        <w:trPr>
          <w:trHeight w:val="405"/>
        </w:trPr>
        <w:tc>
          <w:tcPr>
            <w:tcW w:w="500" w:type="dxa"/>
            <w:vAlign w:val="bottom"/>
          </w:tcPr>
          <w:p>
            <w:pPr>
              <w:spacing w:after="0"/>
              <w:rPr>
                <w:sz w:val="24"/>
                <w:szCs w:val="24"/>
                <w:color w:val="auto"/>
              </w:rPr>
            </w:pPr>
          </w:p>
        </w:tc>
        <w:tc>
          <w:tcPr>
            <w:tcW w:w="10480" w:type="dxa"/>
            <w:vAlign w:val="bottom"/>
            <w:gridSpan w:val="2"/>
          </w:tcPr>
          <w:p>
            <w:pPr>
              <w:ind w:left="160"/>
              <w:spacing w:after="0"/>
              <w:rPr>
                <w:sz w:val="20"/>
                <w:szCs w:val="20"/>
                <w:color w:val="auto"/>
              </w:rPr>
            </w:pPr>
            <w:r>
              <w:rPr>
                <w:rFonts w:ascii="Arial" w:cs="Arial" w:eastAsia="Arial" w:hAnsi="Arial"/>
                <w:sz w:val="18"/>
                <w:szCs w:val="18"/>
                <w:color w:val="2D2D2D"/>
              </w:rPr>
              <w:t xml:space="preserve">This </w:t>
            </w:r>
            <w:r>
              <w:rPr>
                <w:rFonts w:ascii="Arial" w:cs="Arial" w:eastAsia="Arial" w:hAnsi="Arial"/>
                <w:sz w:val="18"/>
                <w:szCs w:val="18"/>
                <w:color w:val="2A2A2A"/>
              </w:rPr>
              <w:t>document</w:t>
            </w:r>
            <w:r>
              <w:rPr>
                <w:rFonts w:ascii="Arial" w:cs="Arial" w:eastAsia="Arial" w:hAnsi="Arial"/>
                <w:sz w:val="18"/>
                <w:szCs w:val="18"/>
                <w:color w:val="2D2D2D"/>
              </w:rPr>
              <w:t xml:space="preserve"> </w:t>
            </w:r>
            <w:r>
              <w:rPr>
                <w:rFonts w:ascii="Arial" w:cs="Arial" w:eastAsia="Arial" w:hAnsi="Arial"/>
                <w:sz w:val="18"/>
                <w:szCs w:val="18"/>
                <w:color w:val="313131"/>
              </w:rPr>
              <w:t>may</w:t>
            </w:r>
            <w:r>
              <w:rPr>
                <w:rFonts w:ascii="Arial" w:cs="Arial" w:eastAsia="Arial" w:hAnsi="Arial"/>
                <w:sz w:val="18"/>
                <w:szCs w:val="18"/>
                <w:color w:val="2D2D2D"/>
              </w:rPr>
              <w:t xml:space="preserve"> </w:t>
            </w:r>
            <w:r>
              <w:rPr>
                <w:rFonts w:ascii="Arial" w:cs="Arial" w:eastAsia="Arial" w:hAnsi="Arial"/>
                <w:sz w:val="18"/>
                <w:szCs w:val="18"/>
                <w:color w:val="2B2B2B"/>
              </w:rPr>
              <w:t>only</w:t>
            </w:r>
            <w:r>
              <w:rPr>
                <w:rFonts w:ascii="Arial" w:cs="Arial" w:eastAsia="Arial" w:hAnsi="Arial"/>
                <w:sz w:val="18"/>
                <w:szCs w:val="18"/>
                <w:color w:val="2D2D2D"/>
              </w:rPr>
              <w:t xml:space="preserve"> </w:t>
            </w:r>
            <w:r>
              <w:rPr>
                <w:rFonts w:ascii="Arial" w:cs="Arial" w:eastAsia="Arial" w:hAnsi="Arial"/>
                <w:sz w:val="18"/>
                <w:szCs w:val="18"/>
                <w:color w:val="262626"/>
              </w:rPr>
              <w:t>be</w:t>
            </w:r>
            <w:r>
              <w:rPr>
                <w:rFonts w:ascii="Arial" w:cs="Arial" w:eastAsia="Arial" w:hAnsi="Arial"/>
                <w:sz w:val="18"/>
                <w:szCs w:val="18"/>
                <w:color w:val="2D2D2D"/>
              </w:rPr>
              <w:t xml:space="preserve"> </w:t>
            </w:r>
            <w:r>
              <w:rPr>
                <w:rFonts w:ascii="Arial" w:cs="Arial" w:eastAsia="Arial" w:hAnsi="Arial"/>
                <w:sz w:val="18"/>
                <w:szCs w:val="18"/>
                <w:color w:val="1C1C1C"/>
              </w:rPr>
              <w:t>amended</w:t>
            </w:r>
            <w:r>
              <w:rPr>
                <w:rFonts w:ascii="Arial" w:cs="Arial" w:eastAsia="Arial" w:hAnsi="Arial"/>
                <w:sz w:val="18"/>
                <w:szCs w:val="18"/>
                <w:color w:val="2D2D2D"/>
              </w:rPr>
              <w:t xml:space="preserve"> </w:t>
            </w:r>
            <w:r>
              <w:rPr>
                <w:rFonts w:ascii="Arial" w:cs="Arial" w:eastAsia="Arial" w:hAnsi="Arial"/>
                <w:sz w:val="18"/>
                <w:szCs w:val="18"/>
                <w:color w:val="2A2A2A"/>
              </w:rPr>
              <w:t>by</w:t>
            </w:r>
            <w:r>
              <w:rPr>
                <w:rFonts w:ascii="Arial" w:cs="Arial" w:eastAsia="Arial" w:hAnsi="Arial"/>
                <w:sz w:val="18"/>
                <w:szCs w:val="18"/>
                <w:color w:val="2D2D2D"/>
              </w:rPr>
              <w:t xml:space="preserve"> </w:t>
            </w:r>
            <w:r>
              <w:rPr>
                <w:rFonts w:ascii="Arial" w:cs="Arial" w:eastAsia="Arial" w:hAnsi="Arial"/>
                <w:sz w:val="18"/>
                <w:szCs w:val="18"/>
                <w:color w:val="1D1D1D"/>
              </w:rPr>
              <w:t>written</w:t>
            </w:r>
            <w:r>
              <w:rPr>
                <w:rFonts w:ascii="Arial" w:cs="Arial" w:eastAsia="Arial" w:hAnsi="Arial"/>
                <w:sz w:val="18"/>
                <w:szCs w:val="18"/>
                <w:color w:val="2D2D2D"/>
              </w:rPr>
              <w:t xml:space="preserve"> </w:t>
            </w:r>
            <w:r>
              <w:rPr>
                <w:rFonts w:ascii="Arial" w:cs="Arial" w:eastAsia="Arial" w:hAnsi="Arial"/>
                <w:sz w:val="18"/>
                <w:szCs w:val="18"/>
                <w:color w:val="232323"/>
              </w:rPr>
              <w:t>agreement between</w:t>
            </w:r>
            <w:r>
              <w:rPr>
                <w:rFonts w:ascii="Arial" w:cs="Arial" w:eastAsia="Arial" w:hAnsi="Arial"/>
                <w:sz w:val="18"/>
                <w:szCs w:val="18"/>
                <w:color w:val="2D2D2D"/>
              </w:rPr>
              <w:t xml:space="preserve"> </w:t>
            </w:r>
            <w:r>
              <w:rPr>
                <w:rFonts w:ascii="Arial" w:cs="Arial" w:eastAsia="Arial" w:hAnsi="Arial"/>
                <w:sz w:val="18"/>
                <w:szCs w:val="18"/>
                <w:color w:val="2A2A2A"/>
              </w:rPr>
              <w:t>all</w:t>
            </w:r>
            <w:r>
              <w:rPr>
                <w:rFonts w:ascii="Arial" w:cs="Arial" w:eastAsia="Arial" w:hAnsi="Arial"/>
                <w:sz w:val="18"/>
                <w:szCs w:val="18"/>
                <w:color w:val="2D2D2D"/>
              </w:rPr>
              <w:t xml:space="preserve"> </w:t>
            </w:r>
            <w:r>
              <w:rPr>
                <w:rFonts w:ascii="Arial" w:cs="Arial" w:eastAsia="Arial" w:hAnsi="Arial"/>
                <w:sz w:val="18"/>
                <w:szCs w:val="18"/>
                <w:color w:val="282828"/>
              </w:rPr>
              <w:t>parties.</w:t>
            </w:r>
          </w:p>
        </w:tc>
        <w:tc>
          <w:tcPr>
            <w:tcW w:w="260" w:type="dxa"/>
            <w:vAlign w:val="bottom"/>
          </w:tcPr>
          <w:p>
            <w:pPr>
              <w:spacing w:after="0"/>
              <w:rPr>
                <w:sz w:val="24"/>
                <w:szCs w:val="24"/>
                <w:color w:val="auto"/>
              </w:rPr>
            </w:pP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2A2A2A"/>
              </w:rPr>
              <w:t>11.2</w:t>
            </w:r>
          </w:p>
        </w:tc>
        <w:tc>
          <w:tcPr>
            <w:tcW w:w="10480" w:type="dxa"/>
            <w:vAlign w:val="bottom"/>
            <w:gridSpan w:val="2"/>
          </w:tcPr>
          <w:p>
            <w:pPr>
              <w:ind w:left="160"/>
              <w:spacing w:after="0"/>
              <w:rPr>
                <w:sz w:val="20"/>
                <w:szCs w:val="20"/>
                <w:color w:val="auto"/>
              </w:rPr>
            </w:pPr>
            <w:r>
              <w:rPr>
                <w:rFonts w:ascii="Arial" w:cs="Arial" w:eastAsia="Arial" w:hAnsi="Arial"/>
                <w:sz w:val="18"/>
                <w:szCs w:val="18"/>
                <w:b w:val="1"/>
                <w:bCs w:val="1"/>
                <w:color w:val="2A2A2A"/>
              </w:rPr>
              <w:t>Assignment</w:t>
            </w:r>
          </w:p>
        </w:tc>
        <w:tc>
          <w:tcPr>
            <w:tcW w:w="260" w:type="dxa"/>
            <w:vAlign w:val="bottom"/>
          </w:tcPr>
          <w:p>
            <w:pPr>
              <w:spacing w:after="0"/>
              <w:rPr>
                <w:sz w:val="24"/>
                <w:szCs w:val="24"/>
                <w:color w:val="auto"/>
              </w:rPr>
            </w:pPr>
          </w:p>
        </w:tc>
      </w:tr>
      <w:tr>
        <w:trPr>
          <w:trHeight w:val="391"/>
        </w:trPr>
        <w:tc>
          <w:tcPr>
            <w:tcW w:w="500" w:type="dxa"/>
            <w:vAlign w:val="bottom"/>
          </w:tcPr>
          <w:p>
            <w:pPr>
              <w:spacing w:after="0"/>
              <w:rPr>
                <w:sz w:val="24"/>
                <w:szCs w:val="24"/>
                <w:color w:val="auto"/>
              </w:rPr>
            </w:pPr>
          </w:p>
        </w:tc>
        <w:tc>
          <w:tcPr>
            <w:tcW w:w="10740" w:type="dxa"/>
            <w:vAlign w:val="bottom"/>
            <w:gridSpan w:val="3"/>
          </w:tcPr>
          <w:p>
            <w:pPr>
              <w:ind w:left="160"/>
              <w:spacing w:after="0"/>
              <w:rPr>
                <w:sz w:val="20"/>
                <w:szCs w:val="20"/>
                <w:color w:val="auto"/>
              </w:rPr>
            </w:pPr>
            <w:r>
              <w:rPr>
                <w:rFonts w:ascii="Arial" w:cs="Arial" w:eastAsia="Arial" w:hAnsi="Arial"/>
                <w:sz w:val="18"/>
                <w:szCs w:val="18"/>
                <w:color w:val="2F2F2F"/>
              </w:rPr>
              <w:t xml:space="preserve">A </w:t>
            </w:r>
            <w:r>
              <w:rPr>
                <w:rFonts w:ascii="Arial" w:cs="Arial" w:eastAsia="Arial" w:hAnsi="Arial"/>
                <w:sz w:val="18"/>
                <w:szCs w:val="18"/>
                <w:color w:val="2A2A2A"/>
              </w:rPr>
              <w:t>party</w:t>
            </w:r>
            <w:r>
              <w:rPr>
                <w:rFonts w:ascii="Arial" w:cs="Arial" w:eastAsia="Arial" w:hAnsi="Arial"/>
                <w:sz w:val="18"/>
                <w:szCs w:val="18"/>
                <w:color w:val="2F2F2F"/>
              </w:rPr>
              <w:t xml:space="preserve"> </w:t>
            </w:r>
            <w:r>
              <w:rPr>
                <w:rFonts w:ascii="Arial" w:cs="Arial" w:eastAsia="Arial" w:hAnsi="Arial"/>
                <w:sz w:val="18"/>
                <w:szCs w:val="18"/>
                <w:color w:val="1A1A1A"/>
              </w:rPr>
              <w:t>may</w:t>
            </w:r>
            <w:r>
              <w:rPr>
                <w:rFonts w:ascii="Arial" w:cs="Arial" w:eastAsia="Arial" w:hAnsi="Arial"/>
                <w:sz w:val="18"/>
                <w:szCs w:val="18"/>
                <w:color w:val="2F2F2F"/>
              </w:rPr>
              <w:t xml:space="preserve"> </w:t>
            </w:r>
            <w:r>
              <w:rPr>
                <w:rFonts w:ascii="Arial" w:cs="Arial" w:eastAsia="Arial" w:hAnsi="Arial"/>
                <w:sz w:val="18"/>
                <w:szCs w:val="18"/>
                <w:color w:val="2D2D2D"/>
              </w:rPr>
              <w:t>only</w:t>
            </w:r>
            <w:r>
              <w:rPr>
                <w:rFonts w:ascii="Arial" w:cs="Arial" w:eastAsia="Arial" w:hAnsi="Arial"/>
                <w:sz w:val="18"/>
                <w:szCs w:val="18"/>
                <w:color w:val="2F2F2F"/>
              </w:rPr>
              <w:t xml:space="preserve"> </w:t>
            </w:r>
            <w:r>
              <w:rPr>
                <w:rFonts w:ascii="Arial" w:cs="Arial" w:eastAsia="Arial" w:hAnsi="Arial"/>
                <w:sz w:val="18"/>
                <w:szCs w:val="18"/>
                <w:color w:val="2A2A2A"/>
              </w:rPr>
              <w:t>assign</w:t>
            </w:r>
            <w:r>
              <w:rPr>
                <w:rFonts w:ascii="Arial" w:cs="Arial" w:eastAsia="Arial" w:hAnsi="Arial"/>
                <w:sz w:val="18"/>
                <w:szCs w:val="18"/>
                <w:color w:val="2F2F2F"/>
              </w:rPr>
              <w:t xml:space="preserve"> </w:t>
            </w:r>
            <w:r>
              <w:rPr>
                <w:rFonts w:ascii="Arial" w:cs="Arial" w:eastAsia="Arial" w:hAnsi="Arial"/>
                <w:sz w:val="18"/>
                <w:szCs w:val="18"/>
                <w:color w:val="242424"/>
              </w:rPr>
              <w:t>this</w:t>
            </w:r>
            <w:r>
              <w:rPr>
                <w:rFonts w:ascii="Arial" w:cs="Arial" w:eastAsia="Arial" w:hAnsi="Arial"/>
                <w:sz w:val="18"/>
                <w:szCs w:val="18"/>
                <w:color w:val="2F2F2F"/>
              </w:rPr>
              <w:t xml:space="preserve"> </w:t>
            </w:r>
            <w:r>
              <w:rPr>
                <w:rFonts w:ascii="Arial" w:cs="Arial" w:eastAsia="Arial" w:hAnsi="Arial"/>
                <w:sz w:val="18"/>
                <w:szCs w:val="18"/>
                <w:color w:val="262626"/>
              </w:rPr>
              <w:t>document</w:t>
            </w:r>
            <w:r>
              <w:rPr>
                <w:rFonts w:ascii="Arial" w:cs="Arial" w:eastAsia="Arial" w:hAnsi="Arial"/>
                <w:sz w:val="18"/>
                <w:szCs w:val="18"/>
                <w:color w:val="2F2F2F"/>
              </w:rPr>
              <w:t xml:space="preserve"> </w:t>
            </w:r>
            <w:r>
              <w:rPr>
                <w:rFonts w:ascii="Arial" w:cs="Arial" w:eastAsia="Arial" w:hAnsi="Arial"/>
                <w:sz w:val="18"/>
                <w:szCs w:val="18"/>
                <w:color w:val="2A2A2A"/>
              </w:rPr>
              <w:t>or a</w:t>
            </w:r>
            <w:r>
              <w:rPr>
                <w:rFonts w:ascii="Arial" w:cs="Arial" w:eastAsia="Arial" w:hAnsi="Arial"/>
                <w:sz w:val="18"/>
                <w:szCs w:val="18"/>
                <w:color w:val="2F2F2F"/>
              </w:rPr>
              <w:t xml:space="preserve"> </w:t>
            </w:r>
            <w:r>
              <w:rPr>
                <w:rFonts w:ascii="Arial" w:cs="Arial" w:eastAsia="Arial" w:hAnsi="Arial"/>
                <w:sz w:val="18"/>
                <w:szCs w:val="18"/>
                <w:color w:val="232323"/>
              </w:rPr>
              <w:t>right under</w:t>
            </w:r>
            <w:r>
              <w:rPr>
                <w:rFonts w:ascii="Arial" w:cs="Arial" w:eastAsia="Arial" w:hAnsi="Arial"/>
                <w:sz w:val="18"/>
                <w:szCs w:val="18"/>
                <w:color w:val="2F2F2F"/>
              </w:rPr>
              <w:t xml:space="preserve"> </w:t>
            </w:r>
            <w:r>
              <w:rPr>
                <w:rFonts w:ascii="Arial" w:cs="Arial" w:eastAsia="Arial" w:hAnsi="Arial"/>
                <w:sz w:val="18"/>
                <w:szCs w:val="18"/>
                <w:color w:val="282828"/>
              </w:rPr>
              <w:t>this</w:t>
            </w:r>
            <w:r>
              <w:rPr>
                <w:rFonts w:ascii="Arial" w:cs="Arial" w:eastAsia="Arial" w:hAnsi="Arial"/>
                <w:sz w:val="18"/>
                <w:szCs w:val="18"/>
                <w:color w:val="2F2F2F"/>
              </w:rPr>
              <w:t xml:space="preserve"> </w:t>
            </w:r>
            <w:r>
              <w:rPr>
                <w:rFonts w:ascii="Arial" w:cs="Arial" w:eastAsia="Arial" w:hAnsi="Arial"/>
                <w:sz w:val="18"/>
                <w:szCs w:val="18"/>
                <w:color w:val="1F1F1F"/>
              </w:rPr>
              <w:t>document</w:t>
            </w:r>
            <w:r>
              <w:rPr>
                <w:rFonts w:ascii="Arial" w:cs="Arial" w:eastAsia="Arial" w:hAnsi="Arial"/>
                <w:sz w:val="18"/>
                <w:szCs w:val="18"/>
                <w:color w:val="2F2F2F"/>
              </w:rPr>
              <w:t xml:space="preserve"> </w:t>
            </w:r>
            <w:r>
              <w:rPr>
                <w:rFonts w:ascii="Arial" w:cs="Arial" w:eastAsia="Arial" w:hAnsi="Arial"/>
                <w:sz w:val="18"/>
                <w:szCs w:val="18"/>
                <w:color w:val="2A2A2A"/>
              </w:rPr>
              <w:t>with</w:t>
            </w:r>
            <w:r>
              <w:rPr>
                <w:rFonts w:ascii="Arial" w:cs="Arial" w:eastAsia="Arial" w:hAnsi="Arial"/>
                <w:sz w:val="18"/>
                <w:szCs w:val="18"/>
                <w:color w:val="2F2F2F"/>
              </w:rPr>
              <w:t xml:space="preserve"> </w:t>
            </w:r>
            <w:r>
              <w:rPr>
                <w:rFonts w:ascii="Arial" w:cs="Arial" w:eastAsia="Arial" w:hAnsi="Arial"/>
                <w:sz w:val="18"/>
                <w:szCs w:val="18"/>
                <w:color w:val="2D2D2D"/>
              </w:rPr>
              <w:t>the</w:t>
            </w:r>
            <w:r>
              <w:rPr>
                <w:rFonts w:ascii="Arial" w:cs="Arial" w:eastAsia="Arial" w:hAnsi="Arial"/>
                <w:sz w:val="18"/>
                <w:szCs w:val="18"/>
                <w:color w:val="2F2F2F"/>
              </w:rPr>
              <w:t xml:space="preserve"> </w:t>
            </w:r>
            <w:r>
              <w:rPr>
                <w:rFonts w:ascii="Arial" w:cs="Arial" w:eastAsia="Arial" w:hAnsi="Arial"/>
                <w:sz w:val="18"/>
                <w:szCs w:val="18"/>
                <w:color w:val="282828"/>
              </w:rPr>
              <w:t>written</w:t>
            </w:r>
            <w:r>
              <w:rPr>
                <w:rFonts w:ascii="Arial" w:cs="Arial" w:eastAsia="Arial" w:hAnsi="Arial"/>
                <w:sz w:val="18"/>
                <w:szCs w:val="18"/>
                <w:color w:val="2F2F2F"/>
              </w:rPr>
              <w:t xml:space="preserve"> </w:t>
            </w:r>
            <w:r>
              <w:rPr>
                <w:rFonts w:ascii="Arial" w:cs="Arial" w:eastAsia="Arial" w:hAnsi="Arial"/>
                <w:sz w:val="18"/>
                <w:szCs w:val="18"/>
                <w:color w:val="1C1C1C"/>
              </w:rPr>
              <w:t>consent</w:t>
            </w:r>
            <w:r>
              <w:rPr>
                <w:rFonts w:ascii="Arial" w:cs="Arial" w:eastAsia="Arial" w:hAnsi="Arial"/>
                <w:sz w:val="18"/>
                <w:szCs w:val="18"/>
                <w:color w:val="2F2F2F"/>
              </w:rPr>
              <w:t xml:space="preserve"> </w:t>
            </w:r>
            <w:r>
              <w:rPr>
                <w:rFonts w:ascii="Arial" w:cs="Arial" w:eastAsia="Arial" w:hAnsi="Arial"/>
                <w:sz w:val="18"/>
                <w:szCs w:val="18"/>
                <w:color w:val="363636"/>
              </w:rPr>
              <w:t>of</w:t>
            </w:r>
            <w:r>
              <w:rPr>
                <w:rFonts w:ascii="Arial" w:cs="Arial" w:eastAsia="Arial" w:hAnsi="Arial"/>
                <w:sz w:val="18"/>
                <w:szCs w:val="18"/>
                <w:color w:val="2F2F2F"/>
              </w:rPr>
              <w:t xml:space="preserve"> </w:t>
            </w:r>
            <w:r>
              <w:rPr>
                <w:rFonts w:ascii="Arial" w:cs="Arial" w:eastAsia="Arial" w:hAnsi="Arial"/>
                <w:sz w:val="18"/>
                <w:szCs w:val="18"/>
                <w:color w:val="343434"/>
              </w:rPr>
              <w:t>the</w:t>
            </w:r>
            <w:r>
              <w:rPr>
                <w:rFonts w:ascii="Arial" w:cs="Arial" w:eastAsia="Arial" w:hAnsi="Arial"/>
                <w:sz w:val="18"/>
                <w:szCs w:val="18"/>
                <w:color w:val="2F2F2F"/>
              </w:rPr>
              <w:t xml:space="preserve"> </w:t>
            </w:r>
            <w:r>
              <w:rPr>
                <w:rFonts w:ascii="Arial" w:cs="Arial" w:eastAsia="Arial" w:hAnsi="Arial"/>
                <w:sz w:val="18"/>
                <w:szCs w:val="18"/>
                <w:color w:val="1F1F1F"/>
              </w:rPr>
              <w:t>other</w:t>
            </w:r>
            <w:r>
              <w:rPr>
                <w:rFonts w:ascii="Arial" w:cs="Arial" w:eastAsia="Arial" w:hAnsi="Arial"/>
                <w:sz w:val="18"/>
                <w:szCs w:val="18"/>
                <w:color w:val="2F2F2F"/>
              </w:rPr>
              <w:t xml:space="preserve"> party </w:t>
            </w:r>
            <w:r>
              <w:rPr>
                <w:rFonts w:ascii="Arial" w:cs="Arial" w:eastAsia="Arial" w:hAnsi="Arial"/>
                <w:sz w:val="18"/>
                <w:szCs w:val="18"/>
                <w:color w:val="282828"/>
              </w:rPr>
              <w:t>whose</w:t>
            </w:r>
            <w:r>
              <w:rPr>
                <w:rFonts w:ascii="Arial" w:cs="Arial" w:eastAsia="Arial" w:hAnsi="Arial"/>
                <w:sz w:val="18"/>
                <w:szCs w:val="18"/>
                <w:color w:val="2F2F2F"/>
              </w:rPr>
              <w:t xml:space="preserve"> </w:t>
            </w:r>
            <w:r>
              <w:rPr>
                <w:rFonts w:ascii="Arial" w:cs="Arial" w:eastAsia="Arial" w:hAnsi="Arial"/>
                <w:sz w:val="18"/>
                <w:szCs w:val="18"/>
                <w:color w:val="232323"/>
              </w:rPr>
              <w:t>consent</w:t>
            </w:r>
            <w:r>
              <w:rPr>
                <w:rFonts w:ascii="Arial" w:cs="Arial" w:eastAsia="Arial" w:hAnsi="Arial"/>
                <w:sz w:val="18"/>
                <w:szCs w:val="18"/>
                <w:color w:val="2F2F2F"/>
              </w:rPr>
              <w:t xml:space="preserve"> </w:t>
            </w:r>
            <w:r>
              <w:rPr>
                <w:rFonts w:ascii="Arial" w:cs="Arial" w:eastAsia="Arial" w:hAnsi="Arial"/>
                <w:sz w:val="18"/>
                <w:szCs w:val="18"/>
                <w:color w:val="212121"/>
              </w:rPr>
              <w:t>may</w:t>
            </w:r>
          </w:p>
        </w:tc>
      </w:tr>
      <w:tr>
        <w:trPr>
          <w:trHeight w:val="217"/>
        </w:trPr>
        <w:tc>
          <w:tcPr>
            <w:tcW w:w="500" w:type="dxa"/>
            <w:vAlign w:val="bottom"/>
          </w:tcPr>
          <w:p>
            <w:pPr>
              <w:spacing w:after="0"/>
              <w:rPr>
                <w:sz w:val="18"/>
                <w:szCs w:val="18"/>
                <w:color w:val="auto"/>
              </w:rPr>
            </w:pPr>
          </w:p>
        </w:tc>
        <w:tc>
          <w:tcPr>
            <w:tcW w:w="10480" w:type="dxa"/>
            <w:vAlign w:val="bottom"/>
            <w:gridSpan w:val="2"/>
          </w:tcPr>
          <w:p>
            <w:pPr>
              <w:ind w:left="160"/>
              <w:spacing w:after="0"/>
              <w:rPr>
                <w:sz w:val="20"/>
                <w:szCs w:val="20"/>
                <w:color w:val="auto"/>
              </w:rPr>
            </w:pPr>
            <w:r>
              <w:rPr>
                <w:rFonts w:ascii="Arial" w:cs="Arial" w:eastAsia="Arial" w:hAnsi="Arial"/>
                <w:sz w:val="18"/>
                <w:szCs w:val="18"/>
                <w:color w:val="262626"/>
              </w:rPr>
              <w:t xml:space="preserve">not </w:t>
            </w:r>
            <w:r>
              <w:rPr>
                <w:rFonts w:ascii="Arial" w:cs="Arial" w:eastAsia="Arial" w:hAnsi="Arial"/>
                <w:sz w:val="18"/>
                <w:szCs w:val="18"/>
                <w:color w:val="343434"/>
              </w:rPr>
              <w:t>be</w:t>
            </w:r>
            <w:r>
              <w:rPr>
                <w:rFonts w:ascii="Arial" w:cs="Arial" w:eastAsia="Arial" w:hAnsi="Arial"/>
                <w:sz w:val="18"/>
                <w:szCs w:val="18"/>
                <w:color w:val="262626"/>
              </w:rPr>
              <w:t xml:space="preserve"> </w:t>
            </w:r>
            <w:r>
              <w:rPr>
                <w:rFonts w:ascii="Arial" w:cs="Arial" w:eastAsia="Arial" w:hAnsi="Arial"/>
                <w:sz w:val="18"/>
                <w:szCs w:val="18"/>
                <w:color w:val="212121"/>
              </w:rPr>
              <w:t>unreasonably</w:t>
            </w:r>
            <w:r>
              <w:rPr>
                <w:rFonts w:ascii="Arial" w:cs="Arial" w:eastAsia="Arial" w:hAnsi="Arial"/>
                <w:sz w:val="18"/>
                <w:szCs w:val="18"/>
                <w:color w:val="262626"/>
              </w:rPr>
              <w:t xml:space="preserve"> </w:t>
            </w:r>
            <w:r>
              <w:rPr>
                <w:rFonts w:ascii="Arial" w:cs="Arial" w:eastAsia="Arial" w:hAnsi="Arial"/>
                <w:sz w:val="18"/>
                <w:szCs w:val="18"/>
                <w:color w:val="242424"/>
              </w:rPr>
              <w:t>withheld.</w:t>
            </w:r>
          </w:p>
        </w:tc>
        <w:tc>
          <w:tcPr>
            <w:tcW w:w="260" w:type="dxa"/>
            <w:vAlign w:val="bottom"/>
          </w:tcPr>
          <w:p>
            <w:pPr>
              <w:spacing w:after="0"/>
              <w:rPr>
                <w:sz w:val="18"/>
                <w:szCs w:val="18"/>
                <w:color w:val="auto"/>
              </w:rPr>
            </w:pP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313131"/>
              </w:rPr>
              <w:t>11.3</w:t>
            </w:r>
          </w:p>
        </w:tc>
        <w:tc>
          <w:tcPr>
            <w:tcW w:w="10480" w:type="dxa"/>
            <w:vAlign w:val="bottom"/>
            <w:gridSpan w:val="2"/>
          </w:tcPr>
          <w:p>
            <w:pPr>
              <w:ind w:left="160"/>
              <w:spacing w:after="0"/>
              <w:rPr>
                <w:sz w:val="20"/>
                <w:szCs w:val="20"/>
                <w:color w:val="auto"/>
              </w:rPr>
            </w:pPr>
            <w:r>
              <w:rPr>
                <w:rFonts w:ascii="Arial" w:cs="Arial" w:eastAsia="Arial" w:hAnsi="Arial"/>
                <w:sz w:val="18"/>
                <w:szCs w:val="18"/>
                <w:b w:val="1"/>
                <w:bCs w:val="1"/>
                <w:color w:val="232323"/>
              </w:rPr>
              <w:t>Counterparts</w:t>
            </w:r>
          </w:p>
        </w:tc>
        <w:tc>
          <w:tcPr>
            <w:tcW w:w="260" w:type="dxa"/>
            <w:vAlign w:val="bottom"/>
          </w:tcPr>
          <w:p>
            <w:pPr>
              <w:spacing w:after="0"/>
              <w:rPr>
                <w:sz w:val="24"/>
                <w:szCs w:val="24"/>
                <w:color w:val="auto"/>
              </w:rPr>
            </w:pPr>
          </w:p>
        </w:tc>
      </w:tr>
      <w:tr>
        <w:trPr>
          <w:trHeight w:val="405"/>
        </w:trPr>
        <w:tc>
          <w:tcPr>
            <w:tcW w:w="500" w:type="dxa"/>
            <w:vAlign w:val="bottom"/>
          </w:tcPr>
          <w:p>
            <w:pPr>
              <w:spacing w:after="0"/>
              <w:rPr>
                <w:sz w:val="24"/>
                <w:szCs w:val="24"/>
                <w:color w:val="auto"/>
              </w:rPr>
            </w:pPr>
          </w:p>
        </w:tc>
        <w:tc>
          <w:tcPr>
            <w:tcW w:w="10480" w:type="dxa"/>
            <w:vAlign w:val="bottom"/>
            <w:gridSpan w:val="2"/>
          </w:tcPr>
          <w:p>
            <w:pPr>
              <w:ind w:left="160"/>
              <w:spacing w:after="0"/>
              <w:rPr>
                <w:sz w:val="20"/>
                <w:szCs w:val="20"/>
                <w:color w:val="auto"/>
              </w:rPr>
            </w:pPr>
            <w:r>
              <w:rPr>
                <w:rFonts w:ascii="Arial" w:cs="Arial" w:eastAsia="Arial" w:hAnsi="Arial"/>
                <w:sz w:val="18"/>
                <w:szCs w:val="18"/>
                <w:color w:val="242424"/>
              </w:rPr>
              <w:t xml:space="preserve">This </w:t>
            </w:r>
            <w:r>
              <w:rPr>
                <w:rFonts w:ascii="Arial" w:cs="Arial" w:eastAsia="Arial" w:hAnsi="Arial"/>
                <w:sz w:val="18"/>
                <w:szCs w:val="18"/>
                <w:color w:val="1F1F1F"/>
              </w:rPr>
              <w:t>document</w:t>
            </w:r>
            <w:r>
              <w:rPr>
                <w:rFonts w:ascii="Arial" w:cs="Arial" w:eastAsia="Arial" w:hAnsi="Arial"/>
                <w:sz w:val="18"/>
                <w:szCs w:val="18"/>
                <w:color w:val="242424"/>
              </w:rPr>
              <w:t xml:space="preserve"> </w:t>
            </w:r>
            <w:r>
              <w:rPr>
                <w:rFonts w:ascii="Arial" w:cs="Arial" w:eastAsia="Arial" w:hAnsi="Arial"/>
                <w:sz w:val="18"/>
                <w:szCs w:val="18"/>
                <w:color w:val="313131"/>
              </w:rPr>
              <w:t>may</w:t>
            </w:r>
            <w:r>
              <w:rPr>
                <w:rFonts w:ascii="Arial" w:cs="Arial" w:eastAsia="Arial" w:hAnsi="Arial"/>
                <w:sz w:val="18"/>
                <w:szCs w:val="18"/>
                <w:color w:val="242424"/>
              </w:rPr>
              <w:t xml:space="preserve"> </w:t>
            </w:r>
            <w:r>
              <w:rPr>
                <w:rFonts w:ascii="Arial" w:cs="Arial" w:eastAsia="Arial" w:hAnsi="Arial"/>
                <w:sz w:val="18"/>
                <w:szCs w:val="18"/>
                <w:color w:val="2A2A2A"/>
              </w:rPr>
              <w:t>be signed</w:t>
            </w:r>
            <w:r>
              <w:rPr>
                <w:rFonts w:ascii="Arial" w:cs="Arial" w:eastAsia="Arial" w:hAnsi="Arial"/>
                <w:sz w:val="18"/>
                <w:szCs w:val="18"/>
                <w:color w:val="242424"/>
              </w:rPr>
              <w:t xml:space="preserve"> </w:t>
            </w:r>
            <w:r>
              <w:rPr>
                <w:rFonts w:ascii="Arial" w:cs="Arial" w:eastAsia="Arial" w:hAnsi="Arial"/>
                <w:sz w:val="18"/>
                <w:szCs w:val="18"/>
                <w:color w:val="313131"/>
              </w:rPr>
              <w:t>in</w:t>
            </w:r>
            <w:r>
              <w:rPr>
                <w:rFonts w:ascii="Arial" w:cs="Arial" w:eastAsia="Arial" w:hAnsi="Arial"/>
                <w:sz w:val="18"/>
                <w:szCs w:val="18"/>
                <w:color w:val="242424"/>
              </w:rPr>
              <w:t xml:space="preserve"> </w:t>
            </w:r>
            <w:r>
              <w:rPr>
                <w:rFonts w:ascii="Arial" w:cs="Arial" w:eastAsia="Arial" w:hAnsi="Arial"/>
                <w:sz w:val="18"/>
                <w:szCs w:val="18"/>
                <w:color w:val="2F2F2F"/>
              </w:rPr>
              <w:t>any</w:t>
            </w:r>
            <w:r>
              <w:rPr>
                <w:rFonts w:ascii="Arial" w:cs="Arial" w:eastAsia="Arial" w:hAnsi="Arial"/>
                <w:sz w:val="18"/>
                <w:szCs w:val="18"/>
                <w:color w:val="242424"/>
              </w:rPr>
              <w:t xml:space="preserve"> </w:t>
            </w:r>
            <w:r>
              <w:rPr>
                <w:rFonts w:ascii="Arial" w:cs="Arial" w:eastAsia="Arial" w:hAnsi="Arial"/>
                <w:sz w:val="18"/>
                <w:szCs w:val="18"/>
                <w:color w:val="262626"/>
              </w:rPr>
              <w:t>number of</w:t>
            </w:r>
            <w:r>
              <w:rPr>
                <w:rFonts w:ascii="Arial" w:cs="Arial" w:eastAsia="Arial" w:hAnsi="Arial"/>
                <w:sz w:val="18"/>
                <w:szCs w:val="18"/>
                <w:color w:val="242424"/>
              </w:rPr>
              <w:t xml:space="preserve"> </w:t>
            </w:r>
            <w:r>
              <w:rPr>
                <w:rFonts w:ascii="Arial" w:cs="Arial" w:eastAsia="Arial" w:hAnsi="Arial"/>
                <w:sz w:val="18"/>
                <w:szCs w:val="18"/>
                <w:color w:val="161616"/>
              </w:rPr>
              <w:t>counterparts.</w:t>
            </w:r>
            <w:r>
              <w:rPr>
                <w:rFonts w:ascii="Arial" w:cs="Arial" w:eastAsia="Arial" w:hAnsi="Arial"/>
                <w:sz w:val="18"/>
                <w:szCs w:val="18"/>
                <w:color w:val="242424"/>
              </w:rPr>
              <w:t xml:space="preserve"> </w:t>
            </w:r>
            <w:r>
              <w:rPr>
                <w:rFonts w:ascii="Arial" w:cs="Arial" w:eastAsia="Arial" w:hAnsi="Arial"/>
                <w:sz w:val="18"/>
                <w:szCs w:val="18"/>
                <w:color w:val="262626"/>
              </w:rPr>
              <w:t>All</w:t>
            </w:r>
            <w:r>
              <w:rPr>
                <w:rFonts w:ascii="Arial" w:cs="Arial" w:eastAsia="Arial" w:hAnsi="Arial"/>
                <w:sz w:val="18"/>
                <w:szCs w:val="18"/>
                <w:color w:val="242424"/>
              </w:rPr>
              <w:t xml:space="preserve"> </w:t>
            </w:r>
            <w:r>
              <w:rPr>
                <w:rFonts w:ascii="Arial" w:cs="Arial" w:eastAsia="Arial" w:hAnsi="Arial"/>
                <w:sz w:val="18"/>
                <w:szCs w:val="18"/>
                <w:color w:val="1F1F1F"/>
              </w:rPr>
              <w:t>counterparts</w:t>
            </w:r>
            <w:r>
              <w:rPr>
                <w:rFonts w:ascii="Arial" w:cs="Arial" w:eastAsia="Arial" w:hAnsi="Arial"/>
                <w:sz w:val="18"/>
                <w:szCs w:val="18"/>
                <w:color w:val="242424"/>
              </w:rPr>
              <w:t xml:space="preserve"> </w:t>
            </w:r>
            <w:r>
              <w:rPr>
                <w:rFonts w:ascii="Arial" w:cs="Arial" w:eastAsia="Arial" w:hAnsi="Arial"/>
                <w:sz w:val="18"/>
                <w:szCs w:val="18"/>
                <w:color w:val="212121"/>
              </w:rPr>
              <w:t>together</w:t>
            </w:r>
            <w:r>
              <w:rPr>
                <w:rFonts w:ascii="Arial" w:cs="Arial" w:eastAsia="Arial" w:hAnsi="Arial"/>
                <w:sz w:val="18"/>
                <w:szCs w:val="18"/>
                <w:color w:val="242424"/>
              </w:rPr>
              <w:t xml:space="preserve"> </w:t>
            </w:r>
            <w:r>
              <w:rPr>
                <w:rFonts w:ascii="Arial" w:cs="Arial" w:eastAsia="Arial" w:hAnsi="Arial"/>
                <w:sz w:val="18"/>
                <w:szCs w:val="18"/>
                <w:color w:val="2D2D2D"/>
              </w:rPr>
              <w:t>make</w:t>
            </w:r>
            <w:r>
              <w:rPr>
                <w:rFonts w:ascii="Arial" w:cs="Arial" w:eastAsia="Arial" w:hAnsi="Arial"/>
                <w:sz w:val="18"/>
                <w:szCs w:val="18"/>
                <w:color w:val="242424"/>
              </w:rPr>
              <w:t xml:space="preserve"> </w:t>
            </w:r>
            <w:r>
              <w:rPr>
                <w:rFonts w:ascii="Arial" w:cs="Arial" w:eastAsia="Arial" w:hAnsi="Arial"/>
                <w:sz w:val="18"/>
                <w:szCs w:val="18"/>
                <w:color w:val="2B2B2B"/>
              </w:rPr>
              <w:t>one</w:t>
            </w:r>
            <w:r>
              <w:rPr>
                <w:rFonts w:ascii="Arial" w:cs="Arial" w:eastAsia="Arial" w:hAnsi="Arial"/>
                <w:sz w:val="18"/>
                <w:szCs w:val="18"/>
                <w:color w:val="242424"/>
              </w:rPr>
              <w:t xml:space="preserve"> </w:t>
            </w:r>
            <w:r>
              <w:rPr>
                <w:rFonts w:ascii="Arial" w:cs="Arial" w:eastAsia="Arial" w:hAnsi="Arial"/>
                <w:sz w:val="18"/>
                <w:szCs w:val="18"/>
                <w:color w:val="1F1F1F"/>
              </w:rPr>
              <w:t>instrument.</w:t>
            </w:r>
          </w:p>
        </w:tc>
        <w:tc>
          <w:tcPr>
            <w:tcW w:w="260" w:type="dxa"/>
            <w:vAlign w:val="bottom"/>
          </w:tcPr>
          <w:p>
            <w:pPr>
              <w:spacing w:after="0"/>
              <w:rPr>
                <w:sz w:val="24"/>
                <w:szCs w:val="24"/>
                <w:color w:val="auto"/>
              </w:rPr>
            </w:pP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2A2A2A"/>
              </w:rPr>
              <w:t>11.4</w:t>
            </w:r>
          </w:p>
        </w:tc>
        <w:tc>
          <w:tcPr>
            <w:tcW w:w="10480" w:type="dxa"/>
            <w:vAlign w:val="bottom"/>
            <w:gridSpan w:val="2"/>
          </w:tcPr>
          <w:p>
            <w:pPr>
              <w:ind w:left="160"/>
              <w:spacing w:after="0"/>
              <w:rPr>
                <w:sz w:val="20"/>
                <w:szCs w:val="20"/>
                <w:color w:val="auto"/>
              </w:rPr>
            </w:pPr>
            <w:r>
              <w:rPr>
                <w:rFonts w:ascii="Arial" w:cs="Arial" w:eastAsia="Arial" w:hAnsi="Arial"/>
                <w:sz w:val="18"/>
                <w:szCs w:val="18"/>
                <w:b w:val="1"/>
                <w:bCs w:val="1"/>
                <w:color w:val="2B2B2B"/>
              </w:rPr>
              <w:t>No merger</w:t>
            </w:r>
          </w:p>
        </w:tc>
        <w:tc>
          <w:tcPr>
            <w:tcW w:w="260" w:type="dxa"/>
            <w:vAlign w:val="bottom"/>
          </w:tcPr>
          <w:p>
            <w:pPr>
              <w:spacing w:after="0"/>
              <w:rPr>
                <w:sz w:val="24"/>
                <w:szCs w:val="24"/>
                <w:color w:val="auto"/>
              </w:rPr>
            </w:pPr>
          </w:p>
        </w:tc>
      </w:tr>
      <w:tr>
        <w:trPr>
          <w:trHeight w:val="391"/>
        </w:trPr>
        <w:tc>
          <w:tcPr>
            <w:tcW w:w="500" w:type="dxa"/>
            <w:vAlign w:val="bottom"/>
          </w:tcPr>
          <w:p>
            <w:pPr>
              <w:spacing w:after="0"/>
              <w:rPr>
                <w:sz w:val="24"/>
                <w:szCs w:val="24"/>
                <w:color w:val="auto"/>
              </w:rPr>
            </w:pPr>
          </w:p>
        </w:tc>
        <w:tc>
          <w:tcPr>
            <w:tcW w:w="10480" w:type="dxa"/>
            <w:vAlign w:val="bottom"/>
            <w:gridSpan w:val="2"/>
          </w:tcPr>
          <w:p>
            <w:pPr>
              <w:ind w:left="160"/>
              <w:spacing w:after="0"/>
              <w:rPr>
                <w:sz w:val="20"/>
                <w:szCs w:val="20"/>
                <w:color w:val="auto"/>
              </w:rPr>
            </w:pPr>
            <w:r>
              <w:rPr>
                <w:rFonts w:ascii="Arial" w:cs="Arial" w:eastAsia="Arial" w:hAnsi="Arial"/>
                <w:sz w:val="18"/>
                <w:szCs w:val="18"/>
                <w:color w:val="2D2D2D"/>
              </w:rPr>
              <w:t xml:space="preserve">The </w:t>
            </w:r>
            <w:r>
              <w:rPr>
                <w:rFonts w:ascii="Arial" w:cs="Arial" w:eastAsia="Arial" w:hAnsi="Arial"/>
                <w:sz w:val="18"/>
                <w:szCs w:val="18"/>
                <w:color w:val="1C1C1C"/>
              </w:rPr>
              <w:t>rights</w:t>
            </w:r>
            <w:r>
              <w:rPr>
                <w:rFonts w:ascii="Arial" w:cs="Arial" w:eastAsia="Arial" w:hAnsi="Arial"/>
                <w:sz w:val="18"/>
                <w:szCs w:val="18"/>
                <w:color w:val="2D2D2D"/>
              </w:rPr>
              <w:t xml:space="preserve"> </w:t>
            </w:r>
            <w:r>
              <w:rPr>
                <w:rFonts w:ascii="Arial" w:cs="Arial" w:eastAsia="Arial" w:hAnsi="Arial"/>
                <w:sz w:val="18"/>
                <w:szCs w:val="18"/>
                <w:color w:val="232323"/>
              </w:rPr>
              <w:t>and</w:t>
            </w:r>
            <w:r>
              <w:rPr>
                <w:rFonts w:ascii="Arial" w:cs="Arial" w:eastAsia="Arial" w:hAnsi="Arial"/>
                <w:sz w:val="18"/>
                <w:szCs w:val="18"/>
                <w:color w:val="2D2D2D"/>
              </w:rPr>
              <w:t xml:space="preserve"> </w:t>
            </w:r>
            <w:r>
              <w:rPr>
                <w:rFonts w:ascii="Arial" w:cs="Arial" w:eastAsia="Arial" w:hAnsi="Arial"/>
                <w:sz w:val="18"/>
                <w:szCs w:val="18"/>
                <w:color w:val="161616"/>
              </w:rPr>
              <w:t>obligations</w:t>
            </w:r>
            <w:r>
              <w:rPr>
                <w:rFonts w:ascii="Arial" w:cs="Arial" w:eastAsia="Arial" w:hAnsi="Arial"/>
                <w:sz w:val="18"/>
                <w:szCs w:val="18"/>
                <w:color w:val="2D2D2D"/>
              </w:rPr>
              <w:t xml:space="preserve"> </w:t>
            </w:r>
            <w:r>
              <w:rPr>
                <w:rFonts w:ascii="Arial" w:cs="Arial" w:eastAsia="Arial" w:hAnsi="Arial"/>
                <w:sz w:val="18"/>
                <w:szCs w:val="18"/>
                <w:color w:val="282828"/>
              </w:rPr>
              <w:t>of</w:t>
            </w:r>
            <w:r>
              <w:rPr>
                <w:rFonts w:ascii="Arial" w:cs="Arial" w:eastAsia="Arial" w:hAnsi="Arial"/>
                <w:sz w:val="18"/>
                <w:szCs w:val="18"/>
                <w:color w:val="2D2D2D"/>
              </w:rPr>
              <w:t xml:space="preserve"> </w:t>
            </w:r>
            <w:r>
              <w:rPr>
                <w:rFonts w:ascii="Arial" w:cs="Arial" w:eastAsia="Arial" w:hAnsi="Arial"/>
                <w:sz w:val="18"/>
                <w:szCs w:val="18"/>
                <w:color w:val="212121"/>
              </w:rPr>
              <w:t>the</w:t>
            </w:r>
            <w:r>
              <w:rPr>
                <w:rFonts w:ascii="Arial" w:cs="Arial" w:eastAsia="Arial" w:hAnsi="Arial"/>
                <w:sz w:val="18"/>
                <w:szCs w:val="18"/>
                <w:color w:val="2D2D2D"/>
              </w:rPr>
              <w:t xml:space="preserve"> </w:t>
            </w:r>
            <w:r>
              <w:rPr>
                <w:rFonts w:ascii="Arial" w:cs="Arial" w:eastAsia="Arial" w:hAnsi="Arial"/>
                <w:sz w:val="18"/>
                <w:szCs w:val="18"/>
                <w:color w:val="232323"/>
              </w:rPr>
              <w:t>parties under</w:t>
            </w:r>
            <w:r>
              <w:rPr>
                <w:rFonts w:ascii="Arial" w:cs="Arial" w:eastAsia="Arial" w:hAnsi="Arial"/>
                <w:sz w:val="18"/>
                <w:szCs w:val="18"/>
                <w:color w:val="2D2D2D"/>
              </w:rPr>
              <w:t xml:space="preserve"> </w:t>
            </w:r>
            <w:r>
              <w:rPr>
                <w:rFonts w:ascii="Arial" w:cs="Arial" w:eastAsia="Arial" w:hAnsi="Arial"/>
                <w:sz w:val="18"/>
                <w:szCs w:val="18"/>
                <w:color w:val="2F2F2F"/>
              </w:rPr>
              <w:t>this</w:t>
            </w:r>
            <w:r>
              <w:rPr>
                <w:rFonts w:ascii="Arial" w:cs="Arial" w:eastAsia="Arial" w:hAnsi="Arial"/>
                <w:sz w:val="18"/>
                <w:szCs w:val="18"/>
                <w:color w:val="2D2D2D"/>
              </w:rPr>
              <w:t xml:space="preserve"> </w:t>
            </w:r>
            <w:r>
              <w:rPr>
                <w:rFonts w:ascii="Arial" w:cs="Arial" w:eastAsia="Arial" w:hAnsi="Arial"/>
                <w:sz w:val="18"/>
                <w:szCs w:val="18"/>
                <w:color w:val="1D1D1D"/>
              </w:rPr>
              <w:t>document</w:t>
            </w:r>
            <w:r>
              <w:rPr>
                <w:rFonts w:ascii="Arial" w:cs="Arial" w:eastAsia="Arial" w:hAnsi="Arial"/>
                <w:sz w:val="18"/>
                <w:szCs w:val="18"/>
                <w:color w:val="2D2D2D"/>
              </w:rPr>
              <w:t xml:space="preserve"> </w:t>
            </w:r>
            <w:r>
              <w:rPr>
                <w:rFonts w:ascii="Arial" w:cs="Arial" w:eastAsia="Arial" w:hAnsi="Arial"/>
                <w:sz w:val="18"/>
                <w:szCs w:val="18"/>
                <w:color w:val="262626"/>
              </w:rPr>
              <w:t>do</w:t>
            </w:r>
            <w:r>
              <w:rPr>
                <w:rFonts w:ascii="Arial" w:cs="Arial" w:eastAsia="Arial" w:hAnsi="Arial"/>
                <w:sz w:val="18"/>
                <w:szCs w:val="18"/>
                <w:color w:val="2D2D2D"/>
              </w:rPr>
              <w:t xml:space="preserve"> </w:t>
            </w:r>
            <w:r>
              <w:rPr>
                <w:rFonts w:ascii="Arial" w:cs="Arial" w:eastAsia="Arial" w:hAnsi="Arial"/>
                <w:sz w:val="18"/>
                <w:szCs w:val="18"/>
                <w:color w:val="1A1A1A"/>
              </w:rPr>
              <w:t>not</w:t>
            </w:r>
            <w:r>
              <w:rPr>
                <w:rFonts w:ascii="Arial" w:cs="Arial" w:eastAsia="Arial" w:hAnsi="Arial"/>
                <w:sz w:val="18"/>
                <w:szCs w:val="18"/>
                <w:color w:val="2D2D2D"/>
              </w:rPr>
              <w:t xml:space="preserve"> </w:t>
            </w:r>
            <w:r>
              <w:rPr>
                <w:rFonts w:ascii="Arial" w:cs="Arial" w:eastAsia="Arial" w:hAnsi="Arial"/>
                <w:sz w:val="18"/>
                <w:szCs w:val="18"/>
                <w:color w:val="282828"/>
              </w:rPr>
              <w:t>merge</w:t>
            </w:r>
            <w:r>
              <w:rPr>
                <w:rFonts w:ascii="Arial" w:cs="Arial" w:eastAsia="Arial" w:hAnsi="Arial"/>
                <w:sz w:val="18"/>
                <w:szCs w:val="18"/>
                <w:color w:val="2D2D2D"/>
              </w:rPr>
              <w:t xml:space="preserve"> </w:t>
            </w:r>
            <w:r>
              <w:rPr>
                <w:rFonts w:ascii="Arial" w:cs="Arial" w:eastAsia="Arial" w:hAnsi="Arial"/>
                <w:sz w:val="18"/>
                <w:szCs w:val="18"/>
                <w:color w:val="1C1C1C"/>
              </w:rPr>
              <w:t>on</w:t>
            </w:r>
            <w:r>
              <w:rPr>
                <w:rFonts w:ascii="Arial" w:cs="Arial" w:eastAsia="Arial" w:hAnsi="Arial"/>
                <w:sz w:val="18"/>
                <w:szCs w:val="18"/>
                <w:color w:val="2D2D2D"/>
              </w:rPr>
              <w:t xml:space="preserve"> </w:t>
            </w:r>
            <w:r>
              <w:rPr>
                <w:rFonts w:ascii="Arial" w:cs="Arial" w:eastAsia="Arial" w:hAnsi="Arial"/>
                <w:sz w:val="18"/>
                <w:szCs w:val="18"/>
                <w:color w:val="1D1D1D"/>
              </w:rPr>
              <w:t>completion</w:t>
            </w:r>
            <w:r>
              <w:rPr>
                <w:rFonts w:ascii="Arial" w:cs="Arial" w:eastAsia="Arial" w:hAnsi="Arial"/>
                <w:sz w:val="18"/>
                <w:szCs w:val="18"/>
                <w:color w:val="2D2D2D"/>
              </w:rPr>
              <w:t xml:space="preserve"> </w:t>
            </w:r>
            <w:r>
              <w:rPr>
                <w:rFonts w:ascii="Arial" w:cs="Arial" w:eastAsia="Arial" w:hAnsi="Arial"/>
                <w:sz w:val="18"/>
                <w:szCs w:val="18"/>
                <w:color w:val="232323"/>
              </w:rPr>
              <w:t>of</w:t>
            </w:r>
            <w:r>
              <w:rPr>
                <w:rFonts w:ascii="Arial" w:cs="Arial" w:eastAsia="Arial" w:hAnsi="Arial"/>
                <w:sz w:val="18"/>
                <w:szCs w:val="18"/>
                <w:color w:val="2D2D2D"/>
              </w:rPr>
              <w:t xml:space="preserve"> </w:t>
            </w:r>
            <w:r>
              <w:rPr>
                <w:rFonts w:ascii="Arial" w:cs="Arial" w:eastAsia="Arial" w:hAnsi="Arial"/>
                <w:sz w:val="18"/>
                <w:szCs w:val="18"/>
                <w:color w:val="212121"/>
              </w:rPr>
              <w:t>any</w:t>
            </w:r>
            <w:r>
              <w:rPr>
                <w:rFonts w:ascii="Arial" w:cs="Arial" w:eastAsia="Arial" w:hAnsi="Arial"/>
                <w:sz w:val="18"/>
                <w:szCs w:val="18"/>
                <w:color w:val="2D2D2D"/>
              </w:rPr>
              <w:t xml:space="preserve"> </w:t>
            </w:r>
            <w:r>
              <w:rPr>
                <w:rFonts w:ascii="Arial" w:cs="Arial" w:eastAsia="Arial" w:hAnsi="Arial"/>
                <w:sz w:val="18"/>
                <w:szCs w:val="18"/>
                <w:color w:val="1F1F1F"/>
              </w:rPr>
              <w:t>transaction</w:t>
            </w:r>
            <w:r>
              <w:rPr>
                <w:rFonts w:ascii="Arial" w:cs="Arial" w:eastAsia="Arial" w:hAnsi="Arial"/>
                <w:sz w:val="18"/>
                <w:szCs w:val="18"/>
                <w:color w:val="2D2D2D"/>
              </w:rPr>
              <w:t xml:space="preserve"> </w:t>
            </w:r>
            <w:r>
              <w:rPr>
                <w:rFonts w:ascii="Arial" w:cs="Arial" w:eastAsia="Arial" w:hAnsi="Arial"/>
                <w:sz w:val="18"/>
                <w:szCs w:val="18"/>
                <w:color w:val="181818"/>
              </w:rPr>
              <w:t>contemplated</w:t>
            </w:r>
            <w:r>
              <w:rPr>
                <w:rFonts w:ascii="Arial" w:cs="Arial" w:eastAsia="Arial" w:hAnsi="Arial"/>
                <w:sz w:val="18"/>
                <w:szCs w:val="18"/>
                <w:color w:val="2D2D2D"/>
              </w:rPr>
              <w:t xml:space="preserve"> </w:t>
            </w:r>
            <w:r>
              <w:rPr>
                <w:rFonts w:ascii="Arial" w:cs="Arial" w:eastAsia="Arial" w:hAnsi="Arial"/>
                <w:sz w:val="18"/>
                <w:szCs w:val="18"/>
                <w:color w:val="2A2A2A"/>
              </w:rPr>
              <w:t>by</w:t>
            </w:r>
            <w:r>
              <w:rPr>
                <w:rFonts w:ascii="Arial" w:cs="Arial" w:eastAsia="Arial" w:hAnsi="Arial"/>
                <w:sz w:val="18"/>
                <w:szCs w:val="18"/>
                <w:color w:val="2D2D2D"/>
              </w:rPr>
              <w:t xml:space="preserve"> </w:t>
            </w:r>
            <w:r>
              <w:rPr>
                <w:rFonts w:ascii="Arial" w:cs="Arial" w:eastAsia="Arial" w:hAnsi="Arial"/>
                <w:sz w:val="18"/>
                <w:szCs w:val="18"/>
                <w:color w:val="1A1A1A"/>
              </w:rPr>
              <w:t>this</w:t>
            </w:r>
          </w:p>
        </w:tc>
        <w:tc>
          <w:tcPr>
            <w:tcW w:w="260" w:type="dxa"/>
            <w:vAlign w:val="bottom"/>
          </w:tcPr>
          <w:p>
            <w:pPr>
              <w:spacing w:after="0"/>
              <w:rPr>
                <w:sz w:val="24"/>
                <w:szCs w:val="24"/>
                <w:color w:val="auto"/>
              </w:rPr>
            </w:pPr>
          </w:p>
        </w:tc>
      </w:tr>
      <w:tr>
        <w:trPr>
          <w:trHeight w:val="217"/>
        </w:trPr>
        <w:tc>
          <w:tcPr>
            <w:tcW w:w="500" w:type="dxa"/>
            <w:vAlign w:val="bottom"/>
          </w:tcPr>
          <w:p>
            <w:pPr>
              <w:spacing w:after="0"/>
              <w:rPr>
                <w:sz w:val="18"/>
                <w:szCs w:val="18"/>
                <w:color w:val="auto"/>
              </w:rPr>
            </w:pPr>
          </w:p>
        </w:tc>
        <w:tc>
          <w:tcPr>
            <w:tcW w:w="10480" w:type="dxa"/>
            <w:vAlign w:val="bottom"/>
            <w:gridSpan w:val="2"/>
          </w:tcPr>
          <w:p>
            <w:pPr>
              <w:ind w:left="160"/>
              <w:spacing w:after="0"/>
              <w:rPr>
                <w:sz w:val="20"/>
                <w:szCs w:val="20"/>
                <w:color w:val="auto"/>
              </w:rPr>
            </w:pPr>
            <w:r>
              <w:rPr>
                <w:rFonts w:ascii="Arial" w:cs="Arial" w:eastAsia="Arial" w:hAnsi="Arial"/>
                <w:sz w:val="18"/>
                <w:szCs w:val="18"/>
                <w:color w:val="232323"/>
              </w:rPr>
              <w:t>document.</w:t>
            </w:r>
          </w:p>
        </w:tc>
        <w:tc>
          <w:tcPr>
            <w:tcW w:w="260" w:type="dxa"/>
            <w:vAlign w:val="bottom"/>
          </w:tcPr>
          <w:p>
            <w:pPr>
              <w:spacing w:after="0"/>
              <w:rPr>
                <w:sz w:val="18"/>
                <w:szCs w:val="18"/>
                <w:color w:val="auto"/>
              </w:rPr>
            </w:pP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383838"/>
              </w:rPr>
              <w:t>11.5</w:t>
            </w:r>
          </w:p>
        </w:tc>
        <w:tc>
          <w:tcPr>
            <w:tcW w:w="10480" w:type="dxa"/>
            <w:vAlign w:val="bottom"/>
            <w:gridSpan w:val="2"/>
          </w:tcPr>
          <w:p>
            <w:pPr>
              <w:ind w:left="160"/>
              <w:spacing w:after="0"/>
              <w:rPr>
                <w:sz w:val="20"/>
                <w:szCs w:val="20"/>
                <w:color w:val="auto"/>
              </w:rPr>
            </w:pPr>
            <w:r>
              <w:rPr>
                <w:rFonts w:ascii="Arial" w:cs="Arial" w:eastAsia="Arial" w:hAnsi="Arial"/>
                <w:sz w:val="18"/>
                <w:szCs w:val="18"/>
                <w:b w:val="1"/>
                <w:bCs w:val="1"/>
                <w:color w:val="313131"/>
              </w:rPr>
              <w:t xml:space="preserve">Entire </w:t>
            </w:r>
            <w:r>
              <w:rPr>
                <w:rFonts w:ascii="Arial" w:cs="Arial" w:eastAsia="Arial" w:hAnsi="Arial"/>
                <w:sz w:val="18"/>
                <w:szCs w:val="18"/>
                <w:b w:val="1"/>
                <w:bCs w:val="1"/>
                <w:color w:val="282828"/>
              </w:rPr>
              <w:t>agreement</w:t>
            </w:r>
          </w:p>
        </w:tc>
        <w:tc>
          <w:tcPr>
            <w:tcW w:w="260" w:type="dxa"/>
            <w:vAlign w:val="bottom"/>
          </w:tcPr>
          <w:p>
            <w:pPr>
              <w:spacing w:after="0"/>
              <w:rPr>
                <w:sz w:val="24"/>
                <w:szCs w:val="24"/>
                <w:color w:val="auto"/>
              </w:rPr>
            </w:pPr>
          </w:p>
        </w:tc>
      </w:tr>
      <w:tr>
        <w:trPr>
          <w:trHeight w:val="391"/>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Arial" w:cs="Arial" w:eastAsia="Arial" w:hAnsi="Arial"/>
                <w:sz w:val="18"/>
                <w:szCs w:val="18"/>
                <w:color w:val="212121"/>
              </w:rPr>
              <w:t>(a)</w:t>
            </w:r>
          </w:p>
        </w:tc>
        <w:tc>
          <w:tcPr>
            <w:tcW w:w="9880" w:type="dxa"/>
            <w:vAlign w:val="bottom"/>
          </w:tcPr>
          <w:p>
            <w:pPr>
              <w:ind w:left="200"/>
              <w:spacing w:after="0"/>
              <w:rPr>
                <w:sz w:val="20"/>
                <w:szCs w:val="20"/>
                <w:color w:val="auto"/>
              </w:rPr>
            </w:pPr>
            <w:r>
              <w:rPr>
                <w:rFonts w:ascii="Arial" w:cs="Arial" w:eastAsia="Arial" w:hAnsi="Arial"/>
                <w:sz w:val="18"/>
                <w:szCs w:val="18"/>
                <w:color w:val="2D2D2D"/>
              </w:rPr>
              <w:t xml:space="preserve">This </w:t>
            </w:r>
            <w:r>
              <w:rPr>
                <w:rFonts w:ascii="Arial" w:cs="Arial" w:eastAsia="Arial" w:hAnsi="Arial"/>
                <w:sz w:val="18"/>
                <w:szCs w:val="18"/>
                <w:color w:val="262626"/>
              </w:rPr>
              <w:t>document supersedes</w:t>
            </w:r>
            <w:r>
              <w:rPr>
                <w:rFonts w:ascii="Arial" w:cs="Arial" w:eastAsia="Arial" w:hAnsi="Arial"/>
                <w:sz w:val="18"/>
                <w:szCs w:val="18"/>
                <w:color w:val="2D2D2D"/>
              </w:rPr>
              <w:t xml:space="preserve"> </w:t>
            </w:r>
            <w:r>
              <w:rPr>
                <w:rFonts w:ascii="Arial" w:cs="Arial" w:eastAsia="Arial" w:hAnsi="Arial"/>
                <w:sz w:val="18"/>
                <w:szCs w:val="18"/>
                <w:color w:val="232323"/>
              </w:rPr>
              <w:t>all</w:t>
            </w:r>
            <w:r>
              <w:rPr>
                <w:rFonts w:ascii="Arial" w:cs="Arial" w:eastAsia="Arial" w:hAnsi="Arial"/>
                <w:sz w:val="18"/>
                <w:szCs w:val="18"/>
                <w:color w:val="2D2D2D"/>
              </w:rPr>
              <w:t xml:space="preserve"> </w:t>
            </w:r>
            <w:r>
              <w:rPr>
                <w:rFonts w:ascii="Arial" w:cs="Arial" w:eastAsia="Arial" w:hAnsi="Arial"/>
                <w:sz w:val="18"/>
                <w:szCs w:val="18"/>
                <w:color w:val="242424"/>
              </w:rPr>
              <w:t>previous</w:t>
            </w:r>
            <w:r>
              <w:rPr>
                <w:rFonts w:ascii="Arial" w:cs="Arial" w:eastAsia="Arial" w:hAnsi="Arial"/>
                <w:sz w:val="18"/>
                <w:szCs w:val="18"/>
                <w:color w:val="2D2D2D"/>
              </w:rPr>
              <w:t xml:space="preserve"> </w:t>
            </w:r>
            <w:r>
              <w:rPr>
                <w:rFonts w:ascii="Arial" w:cs="Arial" w:eastAsia="Arial" w:hAnsi="Arial"/>
                <w:sz w:val="18"/>
                <w:szCs w:val="18"/>
                <w:color w:val="1C1C1C"/>
              </w:rPr>
              <w:t>agreements</w:t>
            </w:r>
            <w:r>
              <w:rPr>
                <w:rFonts w:ascii="Arial" w:cs="Arial" w:eastAsia="Arial" w:hAnsi="Arial"/>
                <w:sz w:val="18"/>
                <w:szCs w:val="18"/>
                <w:color w:val="2D2D2D"/>
              </w:rPr>
              <w:t xml:space="preserve"> about </w:t>
            </w:r>
            <w:r>
              <w:rPr>
                <w:rFonts w:ascii="Arial" w:cs="Arial" w:eastAsia="Arial" w:hAnsi="Arial"/>
                <w:sz w:val="18"/>
                <w:szCs w:val="18"/>
                <w:color w:val="262626"/>
              </w:rPr>
              <w:t>its</w:t>
            </w:r>
            <w:r>
              <w:rPr>
                <w:rFonts w:ascii="Arial" w:cs="Arial" w:eastAsia="Arial" w:hAnsi="Arial"/>
                <w:sz w:val="18"/>
                <w:szCs w:val="18"/>
                <w:color w:val="2D2D2D"/>
              </w:rPr>
              <w:t xml:space="preserve"> </w:t>
            </w:r>
            <w:r>
              <w:rPr>
                <w:rFonts w:ascii="Arial" w:cs="Arial" w:eastAsia="Arial" w:hAnsi="Arial"/>
                <w:sz w:val="18"/>
                <w:szCs w:val="18"/>
                <w:color w:val="181818"/>
              </w:rPr>
              <w:t>subject</w:t>
            </w:r>
            <w:r>
              <w:rPr>
                <w:rFonts w:ascii="Arial" w:cs="Arial" w:eastAsia="Arial" w:hAnsi="Arial"/>
                <w:sz w:val="18"/>
                <w:szCs w:val="18"/>
                <w:color w:val="2D2D2D"/>
              </w:rPr>
              <w:t xml:space="preserve"> </w:t>
            </w:r>
            <w:r>
              <w:rPr>
                <w:rFonts w:ascii="Arial" w:cs="Arial" w:eastAsia="Arial" w:hAnsi="Arial"/>
                <w:sz w:val="18"/>
                <w:szCs w:val="18"/>
                <w:color w:val="2A2A2A"/>
              </w:rPr>
              <w:t>matter.</w:t>
            </w:r>
            <w:r>
              <w:rPr>
                <w:rFonts w:ascii="Arial" w:cs="Arial" w:eastAsia="Arial" w:hAnsi="Arial"/>
                <w:sz w:val="18"/>
                <w:szCs w:val="18"/>
                <w:color w:val="2D2D2D"/>
              </w:rPr>
              <w:t xml:space="preserve"> This </w:t>
            </w:r>
            <w:r>
              <w:rPr>
                <w:rFonts w:ascii="Arial" w:cs="Arial" w:eastAsia="Arial" w:hAnsi="Arial"/>
                <w:sz w:val="18"/>
                <w:szCs w:val="18"/>
                <w:color w:val="212121"/>
              </w:rPr>
              <w:t>document embodies</w:t>
            </w:r>
            <w:r>
              <w:rPr>
                <w:rFonts w:ascii="Arial" w:cs="Arial" w:eastAsia="Arial" w:hAnsi="Arial"/>
                <w:sz w:val="18"/>
                <w:szCs w:val="18"/>
                <w:color w:val="2D2D2D"/>
              </w:rPr>
              <w:t xml:space="preserve"> </w:t>
            </w:r>
            <w:r>
              <w:rPr>
                <w:rFonts w:ascii="Arial" w:cs="Arial" w:eastAsia="Arial" w:hAnsi="Arial"/>
                <w:sz w:val="18"/>
                <w:szCs w:val="18"/>
                <w:color w:val="242424"/>
              </w:rPr>
              <w:t>the</w:t>
            </w:r>
          </w:p>
        </w:tc>
        <w:tc>
          <w:tcPr>
            <w:tcW w:w="260" w:type="dxa"/>
            <w:vAlign w:val="bottom"/>
          </w:tcPr>
          <w:p>
            <w:pPr>
              <w:spacing w:after="0"/>
              <w:rPr>
                <w:sz w:val="24"/>
                <w:szCs w:val="24"/>
                <w:color w:val="auto"/>
              </w:rPr>
            </w:pPr>
          </w:p>
        </w:tc>
      </w:tr>
      <w:tr>
        <w:trPr>
          <w:trHeight w:val="217"/>
        </w:trPr>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232323"/>
              </w:rPr>
              <w:t xml:space="preserve">entire agreement </w:t>
            </w:r>
            <w:r>
              <w:rPr>
                <w:rFonts w:ascii="Arial" w:cs="Arial" w:eastAsia="Arial" w:hAnsi="Arial"/>
                <w:sz w:val="18"/>
                <w:szCs w:val="18"/>
                <w:color w:val="212121"/>
              </w:rPr>
              <w:t>between</w:t>
            </w:r>
            <w:r>
              <w:rPr>
                <w:rFonts w:ascii="Arial" w:cs="Arial" w:eastAsia="Arial" w:hAnsi="Arial"/>
                <w:sz w:val="18"/>
                <w:szCs w:val="18"/>
                <w:color w:val="232323"/>
              </w:rPr>
              <w:t xml:space="preserve"> </w:t>
            </w:r>
            <w:r>
              <w:rPr>
                <w:rFonts w:ascii="Arial" w:cs="Arial" w:eastAsia="Arial" w:hAnsi="Arial"/>
                <w:sz w:val="18"/>
                <w:szCs w:val="18"/>
                <w:color w:val="2A2A2A"/>
              </w:rPr>
              <w:t>the</w:t>
            </w:r>
            <w:r>
              <w:rPr>
                <w:rFonts w:ascii="Arial" w:cs="Arial" w:eastAsia="Arial" w:hAnsi="Arial"/>
                <w:sz w:val="18"/>
                <w:szCs w:val="18"/>
                <w:color w:val="232323"/>
              </w:rPr>
              <w:t xml:space="preserve"> parties.</w:t>
            </w:r>
          </w:p>
        </w:tc>
        <w:tc>
          <w:tcPr>
            <w:tcW w:w="260" w:type="dxa"/>
            <w:vAlign w:val="bottom"/>
          </w:tcPr>
          <w:p>
            <w:pPr>
              <w:spacing w:after="0"/>
              <w:rPr>
                <w:sz w:val="18"/>
                <w:szCs w:val="18"/>
                <w:color w:val="auto"/>
              </w:rPr>
            </w:pPr>
          </w:p>
        </w:tc>
      </w:tr>
      <w:tr>
        <w:trPr>
          <w:trHeight w:val="391"/>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Arial" w:cs="Arial" w:eastAsia="Arial" w:hAnsi="Arial"/>
                <w:sz w:val="18"/>
                <w:szCs w:val="18"/>
                <w:color w:val="262626"/>
              </w:rPr>
              <w:t>(b)</w:t>
            </w:r>
          </w:p>
        </w:tc>
        <w:tc>
          <w:tcPr>
            <w:tcW w:w="9880" w:type="dxa"/>
            <w:vAlign w:val="bottom"/>
          </w:tcPr>
          <w:p>
            <w:pPr>
              <w:ind w:left="200"/>
              <w:spacing w:after="0"/>
              <w:rPr>
                <w:sz w:val="20"/>
                <w:szCs w:val="20"/>
                <w:color w:val="auto"/>
              </w:rPr>
            </w:pPr>
            <w:r>
              <w:rPr>
                <w:rFonts w:ascii="Arial" w:cs="Arial" w:eastAsia="Arial" w:hAnsi="Arial"/>
                <w:sz w:val="18"/>
                <w:szCs w:val="18"/>
                <w:color w:val="333333"/>
              </w:rPr>
              <w:t xml:space="preserve">To </w:t>
            </w:r>
            <w:r>
              <w:rPr>
                <w:rFonts w:ascii="Arial" w:cs="Arial" w:eastAsia="Arial" w:hAnsi="Arial"/>
                <w:sz w:val="18"/>
                <w:szCs w:val="18"/>
                <w:color w:val="2D2D2D"/>
              </w:rPr>
              <w:t>the</w:t>
            </w:r>
            <w:r>
              <w:rPr>
                <w:rFonts w:ascii="Arial" w:cs="Arial" w:eastAsia="Arial" w:hAnsi="Arial"/>
                <w:sz w:val="18"/>
                <w:szCs w:val="18"/>
                <w:color w:val="333333"/>
              </w:rPr>
              <w:t xml:space="preserve"> </w:t>
            </w:r>
            <w:r>
              <w:rPr>
                <w:rFonts w:ascii="Arial" w:cs="Arial" w:eastAsia="Arial" w:hAnsi="Arial"/>
                <w:sz w:val="18"/>
                <w:szCs w:val="18"/>
                <w:color w:val="2A2A2A"/>
              </w:rPr>
              <w:t>extent</w:t>
            </w:r>
            <w:r>
              <w:rPr>
                <w:rFonts w:ascii="Arial" w:cs="Arial" w:eastAsia="Arial" w:hAnsi="Arial"/>
                <w:sz w:val="18"/>
                <w:szCs w:val="18"/>
                <w:color w:val="333333"/>
              </w:rPr>
              <w:t xml:space="preserve"> </w:t>
            </w:r>
            <w:r>
              <w:rPr>
                <w:rFonts w:ascii="Arial" w:cs="Arial" w:eastAsia="Arial" w:hAnsi="Arial"/>
                <w:sz w:val="18"/>
                <w:szCs w:val="18"/>
                <w:color w:val="282828"/>
              </w:rPr>
              <w:t>permitted</w:t>
            </w:r>
            <w:r>
              <w:rPr>
                <w:rFonts w:ascii="Arial" w:cs="Arial" w:eastAsia="Arial" w:hAnsi="Arial"/>
                <w:sz w:val="18"/>
                <w:szCs w:val="18"/>
                <w:color w:val="333333"/>
              </w:rPr>
              <w:t xml:space="preserve"> </w:t>
            </w:r>
            <w:r>
              <w:rPr>
                <w:rFonts w:ascii="Arial" w:cs="Arial" w:eastAsia="Arial" w:hAnsi="Arial"/>
                <w:sz w:val="18"/>
                <w:szCs w:val="18"/>
                <w:color w:val="2D2D2D"/>
              </w:rPr>
              <w:t>by law,</w:t>
            </w:r>
            <w:r>
              <w:rPr>
                <w:rFonts w:ascii="Arial" w:cs="Arial" w:eastAsia="Arial" w:hAnsi="Arial"/>
                <w:sz w:val="18"/>
                <w:szCs w:val="18"/>
                <w:color w:val="333333"/>
              </w:rPr>
              <w:t xml:space="preserve"> </w:t>
            </w:r>
            <w:r>
              <w:rPr>
                <w:rFonts w:ascii="Arial" w:cs="Arial" w:eastAsia="Arial" w:hAnsi="Arial"/>
                <w:sz w:val="18"/>
                <w:szCs w:val="18"/>
                <w:color w:val="282828"/>
              </w:rPr>
              <w:t>any</w:t>
            </w:r>
            <w:r>
              <w:rPr>
                <w:rFonts w:ascii="Arial" w:cs="Arial" w:eastAsia="Arial" w:hAnsi="Arial"/>
                <w:sz w:val="18"/>
                <w:szCs w:val="18"/>
                <w:color w:val="333333"/>
              </w:rPr>
              <w:t xml:space="preserve"> </w:t>
            </w:r>
            <w:r>
              <w:rPr>
                <w:rFonts w:ascii="Arial" w:cs="Arial" w:eastAsia="Arial" w:hAnsi="Arial"/>
                <w:sz w:val="18"/>
                <w:szCs w:val="18"/>
                <w:color w:val="232323"/>
              </w:rPr>
              <w:t>statement,</w:t>
            </w:r>
            <w:r>
              <w:rPr>
                <w:rFonts w:ascii="Arial" w:cs="Arial" w:eastAsia="Arial" w:hAnsi="Arial"/>
                <w:sz w:val="18"/>
                <w:szCs w:val="18"/>
                <w:color w:val="333333"/>
              </w:rPr>
              <w:t xml:space="preserve"> </w:t>
            </w:r>
            <w:r>
              <w:rPr>
                <w:rFonts w:ascii="Arial" w:cs="Arial" w:eastAsia="Arial" w:hAnsi="Arial"/>
                <w:sz w:val="18"/>
                <w:szCs w:val="18"/>
                <w:color w:val="1C1C1C"/>
              </w:rPr>
              <w:t>representation</w:t>
            </w:r>
            <w:r>
              <w:rPr>
                <w:rFonts w:ascii="Arial" w:cs="Arial" w:eastAsia="Arial" w:hAnsi="Arial"/>
                <w:sz w:val="18"/>
                <w:szCs w:val="18"/>
                <w:color w:val="333333"/>
              </w:rPr>
              <w:t xml:space="preserve"> </w:t>
            </w:r>
            <w:r>
              <w:rPr>
                <w:rFonts w:ascii="Arial" w:cs="Arial" w:eastAsia="Arial" w:hAnsi="Arial"/>
                <w:sz w:val="18"/>
                <w:szCs w:val="18"/>
                <w:color w:val="282828"/>
              </w:rPr>
              <w:t>or</w:t>
            </w:r>
            <w:r>
              <w:rPr>
                <w:rFonts w:ascii="Arial" w:cs="Arial" w:eastAsia="Arial" w:hAnsi="Arial"/>
                <w:sz w:val="18"/>
                <w:szCs w:val="18"/>
                <w:color w:val="333333"/>
              </w:rPr>
              <w:t xml:space="preserve"> </w:t>
            </w:r>
            <w:r>
              <w:rPr>
                <w:rFonts w:ascii="Arial" w:cs="Arial" w:eastAsia="Arial" w:hAnsi="Arial"/>
                <w:sz w:val="18"/>
                <w:szCs w:val="18"/>
                <w:color w:val="242424"/>
              </w:rPr>
              <w:t>promise</w:t>
            </w:r>
            <w:r>
              <w:rPr>
                <w:rFonts w:ascii="Arial" w:cs="Arial" w:eastAsia="Arial" w:hAnsi="Arial"/>
                <w:sz w:val="18"/>
                <w:szCs w:val="18"/>
                <w:color w:val="333333"/>
              </w:rPr>
              <w:t xml:space="preserve"> </w:t>
            </w:r>
            <w:r>
              <w:rPr>
                <w:rFonts w:ascii="Arial" w:cs="Arial" w:eastAsia="Arial" w:hAnsi="Arial"/>
                <w:sz w:val="18"/>
                <w:szCs w:val="18"/>
                <w:color w:val="1F1F1F"/>
              </w:rPr>
              <w:t>made</w:t>
            </w:r>
            <w:r>
              <w:rPr>
                <w:rFonts w:ascii="Arial" w:cs="Arial" w:eastAsia="Arial" w:hAnsi="Arial"/>
                <w:sz w:val="18"/>
                <w:szCs w:val="18"/>
                <w:color w:val="333333"/>
              </w:rPr>
              <w:t xml:space="preserve"> </w:t>
            </w:r>
            <w:r>
              <w:rPr>
                <w:rFonts w:ascii="Arial" w:cs="Arial" w:eastAsia="Arial" w:hAnsi="Arial"/>
                <w:sz w:val="18"/>
                <w:szCs w:val="18"/>
                <w:color w:val="313131"/>
              </w:rPr>
              <w:t>in</w:t>
            </w:r>
            <w:r>
              <w:rPr>
                <w:rFonts w:ascii="Arial" w:cs="Arial" w:eastAsia="Arial" w:hAnsi="Arial"/>
                <w:sz w:val="18"/>
                <w:szCs w:val="18"/>
                <w:color w:val="333333"/>
              </w:rPr>
              <w:t xml:space="preserve"> </w:t>
            </w:r>
            <w:r>
              <w:rPr>
                <w:rFonts w:ascii="Arial" w:cs="Arial" w:eastAsia="Arial" w:hAnsi="Arial"/>
                <w:sz w:val="18"/>
                <w:szCs w:val="18"/>
                <w:color w:val="2A2A2A"/>
              </w:rPr>
              <w:t>any</w:t>
            </w:r>
            <w:r>
              <w:rPr>
                <w:rFonts w:ascii="Arial" w:cs="Arial" w:eastAsia="Arial" w:hAnsi="Arial"/>
                <w:sz w:val="18"/>
                <w:szCs w:val="18"/>
                <w:color w:val="333333"/>
              </w:rPr>
              <w:t xml:space="preserve"> </w:t>
            </w:r>
            <w:r>
              <w:rPr>
                <w:rFonts w:ascii="Arial" w:cs="Arial" w:eastAsia="Arial" w:hAnsi="Arial"/>
                <w:sz w:val="18"/>
                <w:szCs w:val="18"/>
                <w:color w:val="1C1C1C"/>
              </w:rPr>
              <w:t>negotiation</w:t>
            </w:r>
            <w:r>
              <w:rPr>
                <w:rFonts w:ascii="Arial" w:cs="Arial" w:eastAsia="Arial" w:hAnsi="Arial"/>
                <w:sz w:val="18"/>
                <w:szCs w:val="18"/>
                <w:color w:val="333333"/>
              </w:rPr>
              <w:t xml:space="preserve"> </w:t>
            </w:r>
            <w:r>
              <w:rPr>
                <w:rFonts w:ascii="Arial" w:cs="Arial" w:eastAsia="Arial" w:hAnsi="Arial"/>
                <w:sz w:val="18"/>
                <w:szCs w:val="18"/>
                <w:color w:val="1A1A1A"/>
              </w:rPr>
              <w:t>or</w:t>
            </w:r>
            <w:r>
              <w:rPr>
                <w:rFonts w:ascii="Arial" w:cs="Arial" w:eastAsia="Arial" w:hAnsi="Arial"/>
                <w:sz w:val="18"/>
                <w:szCs w:val="18"/>
                <w:color w:val="333333"/>
              </w:rPr>
              <w:t xml:space="preserve"> </w:t>
            </w:r>
            <w:r>
              <w:rPr>
                <w:rFonts w:ascii="Arial" w:cs="Arial" w:eastAsia="Arial" w:hAnsi="Arial"/>
                <w:sz w:val="18"/>
                <w:szCs w:val="18"/>
                <w:color w:val="1F1F1F"/>
              </w:rPr>
              <w:t>discussion,</w:t>
            </w:r>
            <w:r>
              <w:rPr>
                <w:rFonts w:ascii="Arial" w:cs="Arial" w:eastAsia="Arial" w:hAnsi="Arial"/>
                <w:sz w:val="18"/>
                <w:szCs w:val="18"/>
                <w:color w:val="333333"/>
              </w:rPr>
              <w:t xml:space="preserve"> </w:t>
            </w:r>
            <w:r>
              <w:rPr>
                <w:rFonts w:ascii="Arial" w:cs="Arial" w:eastAsia="Arial" w:hAnsi="Arial"/>
                <w:sz w:val="18"/>
                <w:szCs w:val="18"/>
                <w:color w:val="2A2A2A"/>
              </w:rPr>
              <w:t>is</w:t>
            </w:r>
          </w:p>
        </w:tc>
        <w:tc>
          <w:tcPr>
            <w:tcW w:w="260" w:type="dxa"/>
            <w:vAlign w:val="bottom"/>
          </w:tcPr>
          <w:p>
            <w:pPr>
              <w:spacing w:after="0"/>
              <w:rPr>
                <w:sz w:val="24"/>
                <w:szCs w:val="24"/>
                <w:color w:val="auto"/>
              </w:rPr>
            </w:pPr>
          </w:p>
        </w:tc>
      </w:tr>
      <w:tr>
        <w:trPr>
          <w:trHeight w:val="217"/>
        </w:trPr>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232323"/>
              </w:rPr>
              <w:t xml:space="preserve">withdrawn </w:t>
            </w:r>
            <w:r>
              <w:rPr>
                <w:rFonts w:ascii="Arial" w:cs="Arial" w:eastAsia="Arial" w:hAnsi="Arial"/>
                <w:sz w:val="18"/>
                <w:szCs w:val="18"/>
                <w:color w:val="2D2D2D"/>
              </w:rPr>
              <w:t>and</w:t>
            </w:r>
            <w:r>
              <w:rPr>
                <w:rFonts w:ascii="Arial" w:cs="Arial" w:eastAsia="Arial" w:hAnsi="Arial"/>
                <w:sz w:val="18"/>
                <w:szCs w:val="18"/>
                <w:color w:val="232323"/>
              </w:rPr>
              <w:t xml:space="preserve"> </w:t>
            </w:r>
            <w:r>
              <w:rPr>
                <w:rFonts w:ascii="Arial" w:cs="Arial" w:eastAsia="Arial" w:hAnsi="Arial"/>
                <w:sz w:val="18"/>
                <w:szCs w:val="18"/>
                <w:color w:val="1F1F1F"/>
              </w:rPr>
              <w:t>has</w:t>
            </w:r>
            <w:r>
              <w:rPr>
                <w:rFonts w:ascii="Arial" w:cs="Arial" w:eastAsia="Arial" w:hAnsi="Arial"/>
                <w:sz w:val="18"/>
                <w:szCs w:val="18"/>
                <w:color w:val="232323"/>
              </w:rPr>
              <w:t xml:space="preserve"> </w:t>
            </w:r>
            <w:r>
              <w:rPr>
                <w:rFonts w:ascii="Arial" w:cs="Arial" w:eastAsia="Arial" w:hAnsi="Arial"/>
                <w:sz w:val="18"/>
                <w:szCs w:val="18"/>
                <w:color w:val="2F2F2F"/>
              </w:rPr>
              <w:t>no</w:t>
            </w:r>
            <w:r>
              <w:rPr>
                <w:rFonts w:ascii="Arial" w:cs="Arial" w:eastAsia="Arial" w:hAnsi="Arial"/>
                <w:sz w:val="18"/>
                <w:szCs w:val="18"/>
                <w:color w:val="232323"/>
              </w:rPr>
              <w:t xml:space="preserve"> </w:t>
            </w:r>
            <w:r>
              <w:rPr>
                <w:rFonts w:ascii="Arial" w:cs="Arial" w:eastAsia="Arial" w:hAnsi="Arial"/>
                <w:sz w:val="18"/>
                <w:szCs w:val="18"/>
                <w:color w:val="1A1A1A"/>
              </w:rPr>
              <w:t>effect</w:t>
            </w:r>
            <w:r>
              <w:rPr>
                <w:rFonts w:ascii="Arial" w:cs="Arial" w:eastAsia="Arial" w:hAnsi="Arial"/>
                <w:sz w:val="18"/>
                <w:szCs w:val="18"/>
                <w:color w:val="232323"/>
              </w:rPr>
              <w:t xml:space="preserve"> </w:t>
            </w:r>
            <w:r>
              <w:rPr>
                <w:rFonts w:ascii="Arial" w:cs="Arial" w:eastAsia="Arial" w:hAnsi="Arial"/>
                <w:sz w:val="18"/>
                <w:szCs w:val="18"/>
                <w:color w:val="242424"/>
              </w:rPr>
              <w:t>except</w:t>
            </w:r>
            <w:r>
              <w:rPr>
                <w:rFonts w:ascii="Arial" w:cs="Arial" w:eastAsia="Arial" w:hAnsi="Arial"/>
                <w:sz w:val="18"/>
                <w:szCs w:val="18"/>
                <w:color w:val="232323"/>
              </w:rPr>
              <w:t xml:space="preserve"> </w:t>
            </w:r>
            <w:r>
              <w:rPr>
                <w:rFonts w:ascii="Arial" w:cs="Arial" w:eastAsia="Arial" w:hAnsi="Arial"/>
                <w:sz w:val="18"/>
                <w:szCs w:val="18"/>
                <w:color w:val="2D2D2D"/>
              </w:rPr>
              <w:t>to</w:t>
            </w:r>
            <w:r>
              <w:rPr>
                <w:rFonts w:ascii="Arial" w:cs="Arial" w:eastAsia="Arial" w:hAnsi="Arial"/>
                <w:sz w:val="18"/>
                <w:szCs w:val="18"/>
                <w:color w:val="232323"/>
              </w:rPr>
              <w:t xml:space="preserve"> </w:t>
            </w:r>
            <w:r>
              <w:rPr>
                <w:rFonts w:ascii="Arial" w:cs="Arial" w:eastAsia="Arial" w:hAnsi="Arial"/>
                <w:sz w:val="18"/>
                <w:szCs w:val="18"/>
                <w:color w:val="2A2A2A"/>
              </w:rPr>
              <w:t>the</w:t>
            </w:r>
            <w:r>
              <w:rPr>
                <w:rFonts w:ascii="Arial" w:cs="Arial" w:eastAsia="Arial" w:hAnsi="Arial"/>
                <w:sz w:val="18"/>
                <w:szCs w:val="18"/>
                <w:color w:val="232323"/>
              </w:rPr>
              <w:t xml:space="preserve"> extent </w:t>
            </w:r>
            <w:r>
              <w:rPr>
                <w:rFonts w:ascii="Arial" w:cs="Arial" w:eastAsia="Arial" w:hAnsi="Arial"/>
                <w:sz w:val="18"/>
                <w:szCs w:val="18"/>
                <w:color w:val="1F1F1F"/>
              </w:rPr>
              <w:t>expressly</w:t>
            </w:r>
            <w:r>
              <w:rPr>
                <w:rFonts w:ascii="Arial" w:cs="Arial" w:eastAsia="Arial" w:hAnsi="Arial"/>
                <w:sz w:val="18"/>
                <w:szCs w:val="18"/>
                <w:color w:val="232323"/>
              </w:rPr>
              <w:t xml:space="preserve"> </w:t>
            </w:r>
            <w:r>
              <w:rPr>
                <w:rFonts w:ascii="Arial" w:cs="Arial" w:eastAsia="Arial" w:hAnsi="Arial"/>
                <w:sz w:val="18"/>
                <w:szCs w:val="18"/>
                <w:color w:val="2A2A2A"/>
              </w:rPr>
              <w:t>set</w:t>
            </w:r>
            <w:r>
              <w:rPr>
                <w:rFonts w:ascii="Arial" w:cs="Arial" w:eastAsia="Arial" w:hAnsi="Arial"/>
                <w:sz w:val="18"/>
                <w:szCs w:val="18"/>
                <w:color w:val="232323"/>
              </w:rPr>
              <w:t xml:space="preserve"> </w:t>
            </w:r>
            <w:r>
              <w:rPr>
                <w:rFonts w:ascii="Arial" w:cs="Arial" w:eastAsia="Arial" w:hAnsi="Arial"/>
                <w:sz w:val="18"/>
                <w:szCs w:val="18"/>
                <w:color w:val="262626"/>
              </w:rPr>
              <w:t>out</w:t>
            </w:r>
            <w:r>
              <w:rPr>
                <w:rFonts w:ascii="Arial" w:cs="Arial" w:eastAsia="Arial" w:hAnsi="Arial"/>
                <w:sz w:val="18"/>
                <w:szCs w:val="18"/>
                <w:color w:val="232323"/>
              </w:rPr>
              <w:t xml:space="preserve"> </w:t>
            </w:r>
            <w:r>
              <w:rPr>
                <w:rFonts w:ascii="Arial" w:cs="Arial" w:eastAsia="Arial" w:hAnsi="Arial"/>
                <w:sz w:val="18"/>
                <w:szCs w:val="18"/>
                <w:color w:val="282828"/>
              </w:rPr>
              <w:t>or</w:t>
            </w:r>
            <w:r>
              <w:rPr>
                <w:rFonts w:ascii="Arial" w:cs="Arial" w:eastAsia="Arial" w:hAnsi="Arial"/>
                <w:sz w:val="18"/>
                <w:szCs w:val="18"/>
                <w:color w:val="232323"/>
              </w:rPr>
              <w:t xml:space="preserve"> incorporated </w:t>
            </w:r>
            <w:r>
              <w:rPr>
                <w:rFonts w:ascii="Arial" w:cs="Arial" w:eastAsia="Arial" w:hAnsi="Arial"/>
                <w:sz w:val="18"/>
                <w:szCs w:val="18"/>
                <w:color w:val="242424"/>
              </w:rPr>
              <w:t>by</w:t>
            </w:r>
            <w:r>
              <w:rPr>
                <w:rFonts w:ascii="Arial" w:cs="Arial" w:eastAsia="Arial" w:hAnsi="Arial"/>
                <w:sz w:val="18"/>
                <w:szCs w:val="18"/>
                <w:color w:val="232323"/>
              </w:rPr>
              <w:t xml:space="preserve"> </w:t>
            </w:r>
            <w:r>
              <w:rPr>
                <w:rFonts w:ascii="Arial" w:cs="Arial" w:eastAsia="Arial" w:hAnsi="Arial"/>
                <w:sz w:val="18"/>
                <w:szCs w:val="18"/>
                <w:color w:val="212121"/>
              </w:rPr>
              <w:t>reference</w:t>
            </w:r>
            <w:r>
              <w:rPr>
                <w:rFonts w:ascii="Arial" w:cs="Arial" w:eastAsia="Arial" w:hAnsi="Arial"/>
                <w:sz w:val="18"/>
                <w:szCs w:val="18"/>
                <w:color w:val="232323"/>
              </w:rPr>
              <w:t xml:space="preserve"> </w:t>
            </w:r>
            <w:r>
              <w:rPr>
                <w:rFonts w:ascii="Arial" w:cs="Arial" w:eastAsia="Arial" w:hAnsi="Arial"/>
                <w:sz w:val="18"/>
                <w:szCs w:val="18"/>
                <w:color w:val="1C1C1C"/>
              </w:rPr>
              <w:t>in</w:t>
            </w:r>
            <w:r>
              <w:rPr>
                <w:rFonts w:ascii="Arial" w:cs="Arial" w:eastAsia="Arial" w:hAnsi="Arial"/>
                <w:sz w:val="18"/>
                <w:szCs w:val="18"/>
                <w:color w:val="232323"/>
              </w:rPr>
              <w:t xml:space="preserve"> </w:t>
            </w:r>
            <w:r>
              <w:rPr>
                <w:rFonts w:ascii="Arial" w:cs="Arial" w:eastAsia="Arial" w:hAnsi="Arial"/>
                <w:sz w:val="18"/>
                <w:szCs w:val="18"/>
                <w:color w:val="212121"/>
              </w:rPr>
              <w:t>this</w:t>
            </w:r>
            <w:r>
              <w:rPr>
                <w:rFonts w:ascii="Arial" w:cs="Arial" w:eastAsia="Arial" w:hAnsi="Arial"/>
                <w:sz w:val="18"/>
                <w:szCs w:val="18"/>
                <w:color w:val="232323"/>
              </w:rPr>
              <w:t xml:space="preserve"> </w:t>
            </w:r>
            <w:r>
              <w:rPr>
                <w:rFonts w:ascii="Arial" w:cs="Arial" w:eastAsia="Arial" w:hAnsi="Arial"/>
                <w:sz w:val="18"/>
                <w:szCs w:val="18"/>
                <w:color w:val="1F1F1F"/>
              </w:rPr>
              <w:t>document.</w:t>
            </w:r>
          </w:p>
        </w:tc>
        <w:tc>
          <w:tcPr>
            <w:tcW w:w="260" w:type="dxa"/>
            <w:vAlign w:val="bottom"/>
          </w:tcPr>
          <w:p>
            <w:pPr>
              <w:spacing w:after="0"/>
              <w:rPr>
                <w:sz w:val="18"/>
                <w:szCs w:val="18"/>
                <w:color w:val="auto"/>
              </w:rPr>
            </w:pPr>
          </w:p>
        </w:tc>
      </w:tr>
      <w:tr>
        <w:trPr>
          <w:trHeight w:val="391"/>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Arial" w:cs="Arial" w:eastAsia="Arial" w:hAnsi="Arial"/>
                <w:sz w:val="18"/>
                <w:szCs w:val="18"/>
                <w:color w:val="282828"/>
              </w:rPr>
              <w:t>(c)</w:t>
            </w:r>
          </w:p>
        </w:tc>
        <w:tc>
          <w:tcPr>
            <w:tcW w:w="9880" w:type="dxa"/>
            <w:vAlign w:val="bottom"/>
          </w:tcPr>
          <w:p>
            <w:pPr>
              <w:ind w:left="200"/>
              <w:spacing w:after="0"/>
              <w:rPr>
                <w:sz w:val="20"/>
                <w:szCs w:val="20"/>
                <w:color w:val="auto"/>
              </w:rPr>
            </w:pPr>
            <w:r>
              <w:rPr>
                <w:rFonts w:ascii="Arial" w:cs="Arial" w:eastAsia="Arial" w:hAnsi="Arial"/>
                <w:sz w:val="18"/>
                <w:szCs w:val="18"/>
                <w:color w:val="2D2D2D"/>
              </w:rPr>
              <w:t xml:space="preserve">Each </w:t>
            </w:r>
            <w:r>
              <w:rPr>
                <w:rFonts w:ascii="Arial" w:cs="Arial" w:eastAsia="Arial" w:hAnsi="Arial"/>
                <w:sz w:val="18"/>
                <w:szCs w:val="18"/>
                <w:color w:val="1C1C1C"/>
              </w:rPr>
              <w:t>party</w:t>
            </w:r>
            <w:r>
              <w:rPr>
                <w:rFonts w:ascii="Arial" w:cs="Arial" w:eastAsia="Arial" w:hAnsi="Arial"/>
                <w:sz w:val="18"/>
                <w:szCs w:val="18"/>
                <w:color w:val="2D2D2D"/>
              </w:rPr>
              <w:t xml:space="preserve"> </w:t>
            </w:r>
            <w:r>
              <w:rPr>
                <w:rFonts w:ascii="Arial" w:cs="Arial" w:eastAsia="Arial" w:hAnsi="Arial"/>
                <w:sz w:val="18"/>
                <w:szCs w:val="18"/>
                <w:color w:val="1F1F1F"/>
              </w:rPr>
              <w:t>acknowledges</w:t>
            </w:r>
            <w:r>
              <w:rPr>
                <w:rFonts w:ascii="Arial" w:cs="Arial" w:eastAsia="Arial" w:hAnsi="Arial"/>
                <w:sz w:val="18"/>
                <w:szCs w:val="18"/>
                <w:color w:val="2D2D2D"/>
              </w:rPr>
              <w:t xml:space="preserve"> </w:t>
            </w:r>
            <w:r>
              <w:rPr>
                <w:rFonts w:ascii="Arial" w:cs="Arial" w:eastAsia="Arial" w:hAnsi="Arial"/>
                <w:sz w:val="18"/>
                <w:szCs w:val="18"/>
                <w:color w:val="1A1A1A"/>
              </w:rPr>
              <w:t>and</w:t>
            </w:r>
            <w:r>
              <w:rPr>
                <w:rFonts w:ascii="Arial" w:cs="Arial" w:eastAsia="Arial" w:hAnsi="Arial"/>
                <w:sz w:val="18"/>
                <w:szCs w:val="18"/>
                <w:color w:val="2D2D2D"/>
              </w:rPr>
              <w:t xml:space="preserve"> </w:t>
            </w:r>
            <w:r>
              <w:rPr>
                <w:rFonts w:ascii="Arial" w:cs="Arial" w:eastAsia="Arial" w:hAnsi="Arial"/>
                <w:sz w:val="18"/>
                <w:szCs w:val="18"/>
                <w:color w:val="242424"/>
              </w:rPr>
              <w:t>agrees</w:t>
            </w:r>
            <w:r>
              <w:rPr>
                <w:rFonts w:ascii="Arial" w:cs="Arial" w:eastAsia="Arial" w:hAnsi="Arial"/>
                <w:sz w:val="18"/>
                <w:szCs w:val="18"/>
                <w:color w:val="2D2D2D"/>
              </w:rPr>
              <w:t xml:space="preserve"> </w:t>
            </w:r>
            <w:r>
              <w:rPr>
                <w:rFonts w:ascii="Arial" w:cs="Arial" w:eastAsia="Arial" w:hAnsi="Arial"/>
                <w:sz w:val="18"/>
                <w:szCs w:val="18"/>
                <w:color w:val="1C1C1C"/>
              </w:rPr>
              <w:t>that</w:t>
            </w:r>
            <w:r>
              <w:rPr>
                <w:rFonts w:ascii="Arial" w:cs="Arial" w:eastAsia="Arial" w:hAnsi="Arial"/>
                <w:sz w:val="18"/>
                <w:szCs w:val="18"/>
                <w:color w:val="2D2D2D"/>
              </w:rPr>
              <w:t xml:space="preserve"> </w:t>
            </w:r>
            <w:r>
              <w:rPr>
                <w:rFonts w:ascii="Arial" w:cs="Arial" w:eastAsia="Arial" w:hAnsi="Arial"/>
                <w:sz w:val="18"/>
                <w:szCs w:val="18"/>
                <w:color w:val="232323"/>
              </w:rPr>
              <w:t>it</w:t>
            </w:r>
            <w:r>
              <w:rPr>
                <w:rFonts w:ascii="Arial" w:cs="Arial" w:eastAsia="Arial" w:hAnsi="Arial"/>
                <w:sz w:val="18"/>
                <w:szCs w:val="18"/>
                <w:color w:val="2D2D2D"/>
              </w:rPr>
              <w:t xml:space="preserve"> </w:t>
            </w:r>
            <w:r>
              <w:rPr>
                <w:rFonts w:ascii="Arial" w:cs="Arial" w:eastAsia="Arial" w:hAnsi="Arial"/>
                <w:sz w:val="18"/>
                <w:szCs w:val="18"/>
                <w:color w:val="181818"/>
              </w:rPr>
              <w:t>does</w:t>
            </w:r>
            <w:r>
              <w:rPr>
                <w:rFonts w:ascii="Arial" w:cs="Arial" w:eastAsia="Arial" w:hAnsi="Arial"/>
                <w:sz w:val="18"/>
                <w:szCs w:val="18"/>
                <w:color w:val="2D2D2D"/>
              </w:rPr>
              <w:t xml:space="preserve"> </w:t>
            </w:r>
            <w:r>
              <w:rPr>
                <w:rFonts w:ascii="Arial" w:cs="Arial" w:eastAsia="Arial" w:hAnsi="Arial"/>
                <w:sz w:val="18"/>
                <w:szCs w:val="18"/>
                <w:color w:val="232323"/>
              </w:rPr>
              <w:t>not</w:t>
            </w:r>
            <w:r>
              <w:rPr>
                <w:rFonts w:ascii="Arial" w:cs="Arial" w:eastAsia="Arial" w:hAnsi="Arial"/>
                <w:sz w:val="18"/>
                <w:szCs w:val="18"/>
                <w:color w:val="2D2D2D"/>
              </w:rPr>
              <w:t xml:space="preserve"> </w:t>
            </w:r>
            <w:r>
              <w:rPr>
                <w:rFonts w:ascii="Arial" w:cs="Arial" w:eastAsia="Arial" w:hAnsi="Arial"/>
                <w:sz w:val="18"/>
                <w:szCs w:val="18"/>
                <w:color w:val="282828"/>
              </w:rPr>
              <w:t>rely</w:t>
            </w:r>
            <w:r>
              <w:rPr>
                <w:rFonts w:ascii="Arial" w:cs="Arial" w:eastAsia="Arial" w:hAnsi="Arial"/>
                <w:sz w:val="18"/>
                <w:szCs w:val="18"/>
                <w:color w:val="2D2D2D"/>
              </w:rPr>
              <w:t xml:space="preserve"> </w:t>
            </w:r>
            <w:r>
              <w:rPr>
                <w:rFonts w:ascii="Arial" w:cs="Arial" w:eastAsia="Arial" w:hAnsi="Arial"/>
                <w:sz w:val="18"/>
                <w:szCs w:val="18"/>
                <w:color w:val="2F2F2F"/>
              </w:rPr>
              <w:t>on</w:t>
            </w:r>
            <w:r>
              <w:rPr>
                <w:rFonts w:ascii="Arial" w:cs="Arial" w:eastAsia="Arial" w:hAnsi="Arial"/>
                <w:sz w:val="18"/>
                <w:szCs w:val="18"/>
                <w:color w:val="2D2D2D"/>
              </w:rPr>
              <w:t xml:space="preserve"> </w:t>
            </w:r>
            <w:r>
              <w:rPr>
                <w:rFonts w:ascii="Arial" w:cs="Arial" w:eastAsia="Arial" w:hAnsi="Arial"/>
                <w:sz w:val="18"/>
                <w:szCs w:val="18"/>
                <w:color w:val="262626"/>
              </w:rPr>
              <w:t>any</w:t>
            </w:r>
            <w:r>
              <w:rPr>
                <w:rFonts w:ascii="Arial" w:cs="Arial" w:eastAsia="Arial" w:hAnsi="Arial"/>
                <w:sz w:val="18"/>
                <w:szCs w:val="18"/>
                <w:color w:val="2D2D2D"/>
              </w:rPr>
              <w:t xml:space="preserve"> </w:t>
            </w:r>
            <w:r>
              <w:rPr>
                <w:rFonts w:ascii="Arial" w:cs="Arial" w:eastAsia="Arial" w:hAnsi="Arial"/>
                <w:sz w:val="18"/>
                <w:szCs w:val="18"/>
                <w:color w:val="242424"/>
              </w:rPr>
              <w:t>prior</w:t>
            </w:r>
            <w:r>
              <w:rPr>
                <w:rFonts w:ascii="Arial" w:cs="Arial" w:eastAsia="Arial" w:hAnsi="Arial"/>
                <w:sz w:val="18"/>
                <w:szCs w:val="18"/>
                <w:color w:val="2D2D2D"/>
              </w:rPr>
              <w:t xml:space="preserve"> </w:t>
            </w:r>
            <w:r>
              <w:rPr>
                <w:rFonts w:ascii="Arial" w:cs="Arial" w:eastAsia="Arial" w:hAnsi="Arial"/>
                <w:sz w:val="18"/>
                <w:szCs w:val="18"/>
                <w:color w:val="262626"/>
              </w:rPr>
              <w:t>conduct</w:t>
            </w:r>
            <w:r>
              <w:rPr>
                <w:rFonts w:ascii="Arial" w:cs="Arial" w:eastAsia="Arial" w:hAnsi="Arial"/>
                <w:sz w:val="18"/>
                <w:szCs w:val="18"/>
                <w:color w:val="2D2D2D"/>
              </w:rPr>
              <w:t xml:space="preserve"> </w:t>
            </w:r>
            <w:r>
              <w:rPr>
                <w:rFonts w:ascii="Arial" w:cs="Arial" w:eastAsia="Arial" w:hAnsi="Arial"/>
                <w:sz w:val="18"/>
                <w:szCs w:val="18"/>
                <w:color w:val="232323"/>
              </w:rPr>
              <w:t>or</w:t>
            </w:r>
            <w:r>
              <w:rPr>
                <w:rFonts w:ascii="Arial" w:cs="Arial" w:eastAsia="Arial" w:hAnsi="Arial"/>
                <w:sz w:val="18"/>
                <w:szCs w:val="18"/>
                <w:color w:val="2D2D2D"/>
              </w:rPr>
              <w:t xml:space="preserve"> </w:t>
            </w:r>
            <w:r>
              <w:rPr>
                <w:rFonts w:ascii="Arial" w:cs="Arial" w:eastAsia="Arial" w:hAnsi="Arial"/>
                <w:sz w:val="18"/>
                <w:szCs w:val="18"/>
                <w:color w:val="1C1C1C"/>
              </w:rPr>
              <w:t>representation</w:t>
            </w:r>
            <w:r>
              <w:rPr>
                <w:rFonts w:ascii="Arial" w:cs="Arial" w:eastAsia="Arial" w:hAnsi="Arial"/>
                <w:sz w:val="18"/>
                <w:szCs w:val="18"/>
                <w:color w:val="2D2D2D"/>
              </w:rPr>
              <w:t xml:space="preserve"> </w:t>
            </w:r>
            <w:r>
              <w:rPr>
                <w:rFonts w:ascii="Arial" w:cs="Arial" w:eastAsia="Arial" w:hAnsi="Arial"/>
                <w:sz w:val="18"/>
                <w:szCs w:val="18"/>
                <w:color w:val="1F1F1F"/>
              </w:rPr>
              <w:t>by the</w:t>
            </w:r>
            <w:r>
              <w:rPr>
                <w:rFonts w:ascii="Arial" w:cs="Arial" w:eastAsia="Arial" w:hAnsi="Arial"/>
                <w:sz w:val="18"/>
                <w:szCs w:val="18"/>
                <w:color w:val="2D2D2D"/>
              </w:rPr>
              <w:t xml:space="preserve"> </w:t>
            </w:r>
            <w:r>
              <w:rPr>
                <w:rFonts w:ascii="Arial" w:cs="Arial" w:eastAsia="Arial" w:hAnsi="Arial"/>
                <w:sz w:val="18"/>
                <w:szCs w:val="18"/>
                <w:color w:val="232323"/>
              </w:rPr>
              <w:t>other</w:t>
            </w:r>
          </w:p>
        </w:tc>
        <w:tc>
          <w:tcPr>
            <w:tcW w:w="260" w:type="dxa"/>
            <w:vAlign w:val="bottom"/>
          </w:tcPr>
          <w:p>
            <w:pPr>
              <w:spacing w:after="0"/>
              <w:rPr>
                <w:sz w:val="24"/>
                <w:szCs w:val="24"/>
                <w:color w:val="auto"/>
              </w:rPr>
            </w:pPr>
          </w:p>
        </w:tc>
      </w:tr>
      <w:tr>
        <w:trPr>
          <w:trHeight w:val="217"/>
        </w:trPr>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232323"/>
              </w:rPr>
              <w:t xml:space="preserve">party in entering </w:t>
            </w:r>
            <w:r>
              <w:rPr>
                <w:rFonts w:ascii="Arial" w:cs="Arial" w:eastAsia="Arial" w:hAnsi="Arial"/>
                <w:sz w:val="18"/>
                <w:szCs w:val="18"/>
                <w:color w:val="181818"/>
              </w:rPr>
              <w:t>into</w:t>
            </w:r>
            <w:r>
              <w:rPr>
                <w:rFonts w:ascii="Arial" w:cs="Arial" w:eastAsia="Arial" w:hAnsi="Arial"/>
                <w:sz w:val="18"/>
                <w:szCs w:val="18"/>
                <w:color w:val="232323"/>
              </w:rPr>
              <w:t xml:space="preserve"> </w:t>
            </w:r>
            <w:r>
              <w:rPr>
                <w:rFonts w:ascii="Arial" w:cs="Arial" w:eastAsia="Arial" w:hAnsi="Arial"/>
                <w:sz w:val="18"/>
                <w:szCs w:val="18"/>
                <w:color w:val="262626"/>
              </w:rPr>
              <w:t>this</w:t>
            </w:r>
            <w:r>
              <w:rPr>
                <w:rFonts w:ascii="Arial" w:cs="Arial" w:eastAsia="Arial" w:hAnsi="Arial"/>
                <w:sz w:val="18"/>
                <w:szCs w:val="18"/>
                <w:color w:val="232323"/>
              </w:rPr>
              <w:t xml:space="preserve"> </w:t>
            </w:r>
            <w:r>
              <w:rPr>
                <w:rFonts w:ascii="Arial" w:cs="Arial" w:eastAsia="Arial" w:hAnsi="Arial"/>
                <w:sz w:val="18"/>
                <w:szCs w:val="18"/>
                <w:color w:val="1C1C1C"/>
              </w:rPr>
              <w:t>document.</w:t>
            </w:r>
          </w:p>
        </w:tc>
        <w:tc>
          <w:tcPr>
            <w:tcW w:w="260" w:type="dxa"/>
            <w:vAlign w:val="bottom"/>
          </w:tcPr>
          <w:p>
            <w:pPr>
              <w:spacing w:after="0"/>
              <w:rPr>
                <w:sz w:val="18"/>
                <w:szCs w:val="18"/>
                <w:color w:val="auto"/>
              </w:rPr>
            </w:pP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232323"/>
              </w:rPr>
              <w:t>11.6</w:t>
            </w:r>
          </w:p>
        </w:tc>
        <w:tc>
          <w:tcPr>
            <w:tcW w:w="10480" w:type="dxa"/>
            <w:vAlign w:val="bottom"/>
            <w:gridSpan w:val="2"/>
          </w:tcPr>
          <w:p>
            <w:pPr>
              <w:ind w:left="160"/>
              <w:spacing w:after="0"/>
              <w:rPr>
                <w:sz w:val="20"/>
                <w:szCs w:val="20"/>
                <w:color w:val="auto"/>
              </w:rPr>
            </w:pPr>
            <w:r>
              <w:rPr>
                <w:rFonts w:ascii="Arial" w:cs="Arial" w:eastAsia="Arial" w:hAnsi="Arial"/>
                <w:sz w:val="18"/>
                <w:szCs w:val="18"/>
                <w:b w:val="1"/>
                <w:bCs w:val="1"/>
                <w:color w:val="232323"/>
              </w:rPr>
              <w:t xml:space="preserve">Further </w:t>
            </w:r>
            <w:r>
              <w:rPr>
                <w:rFonts w:ascii="Arial" w:cs="Arial" w:eastAsia="Arial" w:hAnsi="Arial"/>
                <w:sz w:val="18"/>
                <w:szCs w:val="18"/>
                <w:b w:val="1"/>
                <w:bCs w:val="1"/>
                <w:color w:val="151515"/>
              </w:rPr>
              <w:t>assurances</w:t>
            </w:r>
          </w:p>
        </w:tc>
        <w:tc>
          <w:tcPr>
            <w:tcW w:w="260" w:type="dxa"/>
            <w:vAlign w:val="bottom"/>
          </w:tcPr>
          <w:p>
            <w:pPr>
              <w:spacing w:after="0"/>
              <w:rPr>
                <w:sz w:val="24"/>
                <w:szCs w:val="24"/>
                <w:color w:val="auto"/>
              </w:rPr>
            </w:pPr>
          </w:p>
        </w:tc>
      </w:tr>
      <w:tr>
        <w:trPr>
          <w:trHeight w:val="405"/>
        </w:trPr>
        <w:tc>
          <w:tcPr>
            <w:tcW w:w="500" w:type="dxa"/>
            <w:vAlign w:val="bottom"/>
          </w:tcPr>
          <w:p>
            <w:pPr>
              <w:spacing w:after="0"/>
              <w:rPr>
                <w:sz w:val="24"/>
                <w:szCs w:val="24"/>
                <w:color w:val="auto"/>
              </w:rPr>
            </w:pPr>
          </w:p>
        </w:tc>
        <w:tc>
          <w:tcPr>
            <w:tcW w:w="10480" w:type="dxa"/>
            <w:vAlign w:val="bottom"/>
            <w:gridSpan w:val="2"/>
          </w:tcPr>
          <w:p>
            <w:pPr>
              <w:ind w:left="160"/>
              <w:spacing w:after="0"/>
              <w:rPr>
                <w:sz w:val="20"/>
                <w:szCs w:val="20"/>
                <w:color w:val="auto"/>
              </w:rPr>
            </w:pPr>
            <w:r>
              <w:rPr>
                <w:rFonts w:ascii="Arial" w:cs="Arial" w:eastAsia="Arial" w:hAnsi="Arial"/>
                <w:sz w:val="18"/>
                <w:szCs w:val="18"/>
                <w:color w:val="1D1D1D"/>
              </w:rPr>
              <w:t xml:space="preserve">Each </w:t>
            </w:r>
            <w:r>
              <w:rPr>
                <w:rFonts w:ascii="Arial" w:cs="Arial" w:eastAsia="Arial" w:hAnsi="Arial"/>
                <w:sz w:val="18"/>
                <w:szCs w:val="18"/>
                <w:color w:val="1F1F1F"/>
              </w:rPr>
              <w:t>party</w:t>
            </w:r>
            <w:r>
              <w:rPr>
                <w:rFonts w:ascii="Arial" w:cs="Arial" w:eastAsia="Arial" w:hAnsi="Arial"/>
                <w:sz w:val="18"/>
                <w:szCs w:val="18"/>
                <w:color w:val="1D1D1D"/>
              </w:rPr>
              <w:t xml:space="preserve"> must </w:t>
            </w:r>
            <w:r>
              <w:rPr>
                <w:rFonts w:ascii="Arial" w:cs="Arial" w:eastAsia="Arial" w:hAnsi="Arial"/>
                <w:sz w:val="18"/>
                <w:szCs w:val="18"/>
                <w:color w:val="2F2F2F"/>
              </w:rPr>
              <w:t>do</w:t>
            </w:r>
            <w:r>
              <w:rPr>
                <w:rFonts w:ascii="Arial" w:cs="Arial" w:eastAsia="Arial" w:hAnsi="Arial"/>
                <w:sz w:val="18"/>
                <w:szCs w:val="18"/>
                <w:color w:val="1D1D1D"/>
              </w:rPr>
              <w:t xml:space="preserve"> </w:t>
            </w:r>
            <w:r>
              <w:rPr>
                <w:rFonts w:ascii="Arial" w:cs="Arial" w:eastAsia="Arial" w:hAnsi="Arial"/>
                <w:sz w:val="18"/>
                <w:szCs w:val="18"/>
                <w:color w:val="212121"/>
              </w:rPr>
              <w:t>all</w:t>
            </w:r>
            <w:r>
              <w:rPr>
                <w:rFonts w:ascii="Arial" w:cs="Arial" w:eastAsia="Arial" w:hAnsi="Arial"/>
                <w:sz w:val="18"/>
                <w:szCs w:val="18"/>
                <w:color w:val="1D1D1D"/>
              </w:rPr>
              <w:t xml:space="preserve"> </w:t>
            </w:r>
            <w:r>
              <w:rPr>
                <w:rFonts w:ascii="Arial" w:cs="Arial" w:eastAsia="Arial" w:hAnsi="Arial"/>
                <w:sz w:val="18"/>
                <w:szCs w:val="18"/>
                <w:color w:val="1C1C1C"/>
              </w:rPr>
              <w:t>things</w:t>
            </w:r>
            <w:r>
              <w:rPr>
                <w:rFonts w:ascii="Arial" w:cs="Arial" w:eastAsia="Arial" w:hAnsi="Arial"/>
                <w:sz w:val="18"/>
                <w:szCs w:val="18"/>
                <w:color w:val="1D1D1D"/>
              </w:rPr>
              <w:t xml:space="preserve"> </w:t>
            </w:r>
            <w:r>
              <w:rPr>
                <w:rFonts w:ascii="Arial" w:cs="Arial" w:eastAsia="Arial" w:hAnsi="Arial"/>
                <w:sz w:val="18"/>
                <w:szCs w:val="18"/>
                <w:color w:val="262626"/>
              </w:rPr>
              <w:t>reasonably</w:t>
            </w:r>
            <w:r>
              <w:rPr>
                <w:rFonts w:ascii="Arial" w:cs="Arial" w:eastAsia="Arial" w:hAnsi="Arial"/>
                <w:sz w:val="18"/>
                <w:szCs w:val="18"/>
                <w:color w:val="1D1D1D"/>
              </w:rPr>
              <w:t xml:space="preserve"> </w:t>
            </w:r>
            <w:r>
              <w:rPr>
                <w:rFonts w:ascii="Arial" w:cs="Arial" w:eastAsia="Arial" w:hAnsi="Arial"/>
                <w:sz w:val="18"/>
                <w:szCs w:val="18"/>
                <w:color w:val="1A1A1A"/>
              </w:rPr>
              <w:t>necessary</w:t>
            </w:r>
            <w:r>
              <w:rPr>
                <w:rFonts w:ascii="Arial" w:cs="Arial" w:eastAsia="Arial" w:hAnsi="Arial"/>
                <w:sz w:val="18"/>
                <w:szCs w:val="18"/>
                <w:color w:val="1D1D1D"/>
              </w:rPr>
              <w:t xml:space="preserve"> </w:t>
            </w:r>
            <w:r>
              <w:rPr>
                <w:rFonts w:ascii="Arial" w:cs="Arial" w:eastAsia="Arial" w:hAnsi="Arial"/>
                <w:sz w:val="18"/>
                <w:szCs w:val="18"/>
                <w:color w:val="2A2A2A"/>
              </w:rPr>
              <w:t>to</w:t>
            </w:r>
            <w:r>
              <w:rPr>
                <w:rFonts w:ascii="Arial" w:cs="Arial" w:eastAsia="Arial" w:hAnsi="Arial"/>
                <w:sz w:val="18"/>
                <w:szCs w:val="18"/>
                <w:color w:val="1D1D1D"/>
              </w:rPr>
              <w:t xml:space="preserve"> </w:t>
            </w:r>
            <w:r>
              <w:rPr>
                <w:rFonts w:ascii="Arial" w:cs="Arial" w:eastAsia="Arial" w:hAnsi="Arial"/>
                <w:sz w:val="18"/>
                <w:szCs w:val="18"/>
                <w:color w:val="262626"/>
              </w:rPr>
              <w:t>give</w:t>
            </w:r>
            <w:r>
              <w:rPr>
                <w:rFonts w:ascii="Arial" w:cs="Arial" w:eastAsia="Arial" w:hAnsi="Arial"/>
                <w:sz w:val="18"/>
                <w:szCs w:val="18"/>
                <w:color w:val="1D1D1D"/>
              </w:rPr>
              <w:t xml:space="preserve"> </w:t>
            </w:r>
            <w:r>
              <w:rPr>
                <w:rFonts w:ascii="Arial" w:cs="Arial" w:eastAsia="Arial" w:hAnsi="Arial"/>
                <w:sz w:val="18"/>
                <w:szCs w:val="18"/>
                <w:color w:val="232323"/>
              </w:rPr>
              <w:t>effect to</w:t>
            </w:r>
            <w:r>
              <w:rPr>
                <w:rFonts w:ascii="Arial" w:cs="Arial" w:eastAsia="Arial" w:hAnsi="Arial"/>
                <w:sz w:val="18"/>
                <w:szCs w:val="18"/>
                <w:color w:val="1D1D1D"/>
              </w:rPr>
              <w:t xml:space="preserve"> </w:t>
            </w:r>
            <w:r>
              <w:rPr>
                <w:rFonts w:ascii="Arial" w:cs="Arial" w:eastAsia="Arial" w:hAnsi="Arial"/>
                <w:sz w:val="18"/>
                <w:szCs w:val="18"/>
                <w:color w:val="212121"/>
              </w:rPr>
              <w:t>this</w:t>
            </w:r>
            <w:r>
              <w:rPr>
                <w:rFonts w:ascii="Arial" w:cs="Arial" w:eastAsia="Arial" w:hAnsi="Arial"/>
                <w:sz w:val="18"/>
                <w:szCs w:val="18"/>
                <w:color w:val="1D1D1D"/>
              </w:rPr>
              <w:t xml:space="preserve"> </w:t>
            </w:r>
            <w:r>
              <w:rPr>
                <w:rFonts w:ascii="Arial" w:cs="Arial" w:eastAsia="Arial" w:hAnsi="Arial"/>
                <w:sz w:val="18"/>
                <w:szCs w:val="18"/>
                <w:color w:val="1F1F1F"/>
              </w:rPr>
              <w:t>document</w:t>
            </w:r>
            <w:r>
              <w:rPr>
                <w:rFonts w:ascii="Arial" w:cs="Arial" w:eastAsia="Arial" w:hAnsi="Arial"/>
                <w:sz w:val="18"/>
                <w:szCs w:val="18"/>
                <w:color w:val="1D1D1D"/>
              </w:rPr>
              <w:t xml:space="preserve"> </w:t>
            </w:r>
            <w:r>
              <w:rPr>
                <w:rFonts w:ascii="Arial" w:cs="Arial" w:eastAsia="Arial" w:hAnsi="Arial"/>
                <w:sz w:val="18"/>
                <w:szCs w:val="18"/>
                <w:color w:val="262626"/>
              </w:rPr>
              <w:t>and</w:t>
            </w:r>
            <w:r>
              <w:rPr>
                <w:rFonts w:ascii="Arial" w:cs="Arial" w:eastAsia="Arial" w:hAnsi="Arial"/>
                <w:sz w:val="18"/>
                <w:szCs w:val="18"/>
                <w:color w:val="1D1D1D"/>
              </w:rPr>
              <w:t xml:space="preserve"> </w:t>
            </w:r>
            <w:r>
              <w:rPr>
                <w:rFonts w:ascii="Arial" w:cs="Arial" w:eastAsia="Arial" w:hAnsi="Arial"/>
                <w:sz w:val="18"/>
                <w:szCs w:val="18"/>
                <w:color w:val="1F1F1F"/>
              </w:rPr>
              <w:t>the</w:t>
            </w:r>
            <w:r>
              <w:rPr>
                <w:rFonts w:ascii="Arial" w:cs="Arial" w:eastAsia="Arial" w:hAnsi="Arial"/>
                <w:sz w:val="18"/>
                <w:szCs w:val="18"/>
                <w:color w:val="1D1D1D"/>
              </w:rPr>
              <w:t xml:space="preserve"> </w:t>
            </w:r>
            <w:r>
              <w:rPr>
                <w:rFonts w:ascii="Arial" w:cs="Arial" w:eastAsia="Arial" w:hAnsi="Arial"/>
                <w:sz w:val="18"/>
                <w:szCs w:val="18"/>
                <w:color w:val="181818"/>
              </w:rPr>
              <w:t>transactions</w:t>
            </w:r>
            <w:r>
              <w:rPr>
                <w:rFonts w:ascii="Arial" w:cs="Arial" w:eastAsia="Arial" w:hAnsi="Arial"/>
                <w:sz w:val="18"/>
                <w:szCs w:val="18"/>
                <w:color w:val="1D1D1D"/>
              </w:rPr>
              <w:t xml:space="preserve"> </w:t>
            </w:r>
            <w:r>
              <w:rPr>
                <w:rFonts w:ascii="Arial" w:cs="Arial" w:eastAsia="Arial" w:hAnsi="Arial"/>
                <w:sz w:val="18"/>
                <w:szCs w:val="18"/>
                <w:color w:val="1F1F1F"/>
              </w:rPr>
              <w:t>contemplated</w:t>
            </w:r>
            <w:r>
              <w:rPr>
                <w:rFonts w:ascii="Arial" w:cs="Arial" w:eastAsia="Arial" w:hAnsi="Arial"/>
                <w:sz w:val="18"/>
                <w:szCs w:val="18"/>
                <w:color w:val="1D1D1D"/>
              </w:rPr>
              <w:t xml:space="preserve"> </w:t>
            </w:r>
            <w:r>
              <w:rPr>
                <w:rFonts w:ascii="Arial" w:cs="Arial" w:eastAsia="Arial" w:hAnsi="Arial"/>
                <w:sz w:val="18"/>
                <w:szCs w:val="18"/>
                <w:color w:val="242424"/>
              </w:rPr>
              <w:t>by</w:t>
            </w:r>
            <w:r>
              <w:rPr>
                <w:rFonts w:ascii="Arial" w:cs="Arial" w:eastAsia="Arial" w:hAnsi="Arial"/>
                <w:sz w:val="18"/>
                <w:szCs w:val="18"/>
                <w:color w:val="1D1D1D"/>
              </w:rPr>
              <w:t xml:space="preserve"> </w:t>
            </w:r>
            <w:r>
              <w:rPr>
                <w:rFonts w:ascii="Arial" w:cs="Arial" w:eastAsia="Arial" w:hAnsi="Arial"/>
                <w:sz w:val="18"/>
                <w:szCs w:val="18"/>
                <w:color w:val="1A1A1A"/>
              </w:rPr>
              <w:t>it.</w:t>
            </w:r>
          </w:p>
        </w:tc>
        <w:tc>
          <w:tcPr>
            <w:tcW w:w="260" w:type="dxa"/>
            <w:vAlign w:val="bottom"/>
          </w:tcPr>
          <w:p>
            <w:pPr>
              <w:spacing w:after="0"/>
              <w:rPr>
                <w:sz w:val="24"/>
                <w:szCs w:val="24"/>
                <w:color w:val="auto"/>
              </w:rPr>
            </w:pP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2D2D2D"/>
              </w:rPr>
              <w:t>11.7</w:t>
            </w:r>
          </w:p>
        </w:tc>
        <w:tc>
          <w:tcPr>
            <w:tcW w:w="10480" w:type="dxa"/>
            <w:vAlign w:val="bottom"/>
            <w:gridSpan w:val="2"/>
          </w:tcPr>
          <w:p>
            <w:pPr>
              <w:ind w:left="160"/>
              <w:spacing w:after="0"/>
              <w:rPr>
                <w:sz w:val="20"/>
                <w:szCs w:val="20"/>
                <w:color w:val="auto"/>
              </w:rPr>
            </w:pPr>
            <w:r>
              <w:rPr>
                <w:rFonts w:ascii="Arial" w:cs="Arial" w:eastAsia="Arial" w:hAnsi="Arial"/>
                <w:sz w:val="18"/>
                <w:szCs w:val="18"/>
                <w:b w:val="1"/>
                <w:bCs w:val="1"/>
                <w:color w:val="2D2D2D"/>
              </w:rPr>
              <w:t xml:space="preserve">No </w:t>
            </w:r>
            <w:r>
              <w:rPr>
                <w:rFonts w:ascii="Arial" w:cs="Arial" w:eastAsia="Arial" w:hAnsi="Arial"/>
                <w:sz w:val="18"/>
                <w:szCs w:val="18"/>
                <w:b w:val="1"/>
                <w:bCs w:val="1"/>
                <w:color w:val="242424"/>
              </w:rPr>
              <w:t>waiver</w:t>
            </w:r>
          </w:p>
        </w:tc>
        <w:tc>
          <w:tcPr>
            <w:tcW w:w="260" w:type="dxa"/>
            <w:vAlign w:val="bottom"/>
          </w:tcPr>
          <w:p>
            <w:pPr>
              <w:spacing w:after="0"/>
              <w:rPr>
                <w:sz w:val="24"/>
                <w:szCs w:val="24"/>
                <w:color w:val="auto"/>
              </w:rPr>
            </w:pPr>
          </w:p>
        </w:tc>
      </w:tr>
      <w:tr>
        <w:trPr>
          <w:trHeight w:val="391"/>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Arial" w:cs="Arial" w:eastAsia="Arial" w:hAnsi="Arial"/>
                <w:sz w:val="18"/>
                <w:szCs w:val="18"/>
                <w:color w:val="1F1F1F"/>
              </w:rPr>
              <w:t>(a)</w:t>
            </w:r>
          </w:p>
        </w:tc>
        <w:tc>
          <w:tcPr>
            <w:tcW w:w="9880" w:type="dxa"/>
            <w:vAlign w:val="bottom"/>
          </w:tcPr>
          <w:p>
            <w:pPr>
              <w:ind w:left="200"/>
              <w:spacing w:after="0"/>
              <w:rPr>
                <w:sz w:val="20"/>
                <w:szCs w:val="20"/>
                <w:color w:val="auto"/>
              </w:rPr>
            </w:pPr>
            <w:r>
              <w:rPr>
                <w:rFonts w:ascii="Arial" w:cs="Arial" w:eastAsia="Arial" w:hAnsi="Arial"/>
                <w:sz w:val="18"/>
                <w:szCs w:val="18"/>
                <w:color w:val="282828"/>
              </w:rPr>
              <w:t xml:space="preserve">The </w:t>
            </w:r>
            <w:r>
              <w:rPr>
                <w:rFonts w:ascii="Arial" w:cs="Arial" w:eastAsia="Arial" w:hAnsi="Arial"/>
                <w:sz w:val="18"/>
                <w:szCs w:val="18"/>
                <w:color w:val="1C1C1C"/>
              </w:rPr>
              <w:t>failure</w:t>
            </w:r>
            <w:r>
              <w:rPr>
                <w:rFonts w:ascii="Arial" w:cs="Arial" w:eastAsia="Arial" w:hAnsi="Arial"/>
                <w:sz w:val="18"/>
                <w:szCs w:val="18"/>
                <w:color w:val="282828"/>
              </w:rPr>
              <w:t xml:space="preserve"> </w:t>
            </w:r>
            <w:r>
              <w:rPr>
                <w:rFonts w:ascii="Arial" w:cs="Arial" w:eastAsia="Arial" w:hAnsi="Arial"/>
                <w:sz w:val="18"/>
                <w:szCs w:val="18"/>
                <w:color w:val="242424"/>
              </w:rPr>
              <w:t>of</w:t>
            </w:r>
            <w:r>
              <w:rPr>
                <w:rFonts w:ascii="Arial" w:cs="Arial" w:eastAsia="Arial" w:hAnsi="Arial"/>
                <w:sz w:val="18"/>
                <w:szCs w:val="18"/>
                <w:color w:val="282828"/>
              </w:rPr>
              <w:t xml:space="preserve"> </w:t>
            </w:r>
            <w:r>
              <w:rPr>
                <w:rFonts w:ascii="Arial" w:cs="Arial" w:eastAsia="Arial" w:hAnsi="Arial"/>
                <w:sz w:val="18"/>
                <w:szCs w:val="18"/>
                <w:color w:val="1C1C1C"/>
              </w:rPr>
              <w:t>a</w:t>
            </w:r>
            <w:r>
              <w:rPr>
                <w:rFonts w:ascii="Arial" w:cs="Arial" w:eastAsia="Arial" w:hAnsi="Arial"/>
                <w:sz w:val="18"/>
                <w:szCs w:val="18"/>
                <w:color w:val="282828"/>
              </w:rPr>
              <w:t xml:space="preserve"> party </w:t>
            </w:r>
            <w:r>
              <w:rPr>
                <w:rFonts w:ascii="Arial" w:cs="Arial" w:eastAsia="Arial" w:hAnsi="Arial"/>
                <w:sz w:val="18"/>
                <w:szCs w:val="18"/>
                <w:color w:val="262626"/>
              </w:rPr>
              <w:t>to</w:t>
            </w:r>
            <w:r>
              <w:rPr>
                <w:rFonts w:ascii="Arial" w:cs="Arial" w:eastAsia="Arial" w:hAnsi="Arial"/>
                <w:sz w:val="18"/>
                <w:szCs w:val="18"/>
                <w:color w:val="282828"/>
              </w:rPr>
              <w:t xml:space="preserve"> </w:t>
            </w:r>
            <w:r>
              <w:rPr>
                <w:rFonts w:ascii="Arial" w:cs="Arial" w:eastAsia="Arial" w:hAnsi="Arial"/>
                <w:sz w:val="18"/>
                <w:szCs w:val="18"/>
                <w:color w:val="212121"/>
              </w:rPr>
              <w:t>require</w:t>
            </w:r>
            <w:r>
              <w:rPr>
                <w:rFonts w:ascii="Arial" w:cs="Arial" w:eastAsia="Arial" w:hAnsi="Arial"/>
                <w:sz w:val="18"/>
                <w:szCs w:val="18"/>
                <w:color w:val="282828"/>
              </w:rPr>
              <w:t xml:space="preserve"> </w:t>
            </w:r>
            <w:r>
              <w:rPr>
                <w:rFonts w:ascii="Arial" w:cs="Arial" w:eastAsia="Arial" w:hAnsi="Arial"/>
                <w:sz w:val="18"/>
                <w:szCs w:val="18"/>
                <w:color w:val="1F1F1F"/>
              </w:rPr>
              <w:t>full</w:t>
            </w:r>
            <w:r>
              <w:rPr>
                <w:rFonts w:ascii="Arial" w:cs="Arial" w:eastAsia="Arial" w:hAnsi="Arial"/>
                <w:sz w:val="18"/>
                <w:szCs w:val="18"/>
                <w:color w:val="282828"/>
              </w:rPr>
              <w:t xml:space="preserve"> </w:t>
            </w:r>
            <w:r>
              <w:rPr>
                <w:rFonts w:ascii="Arial" w:cs="Arial" w:eastAsia="Arial" w:hAnsi="Arial"/>
                <w:sz w:val="18"/>
                <w:szCs w:val="18"/>
                <w:color w:val="2A2A2A"/>
              </w:rPr>
              <w:t>or</w:t>
            </w:r>
            <w:r>
              <w:rPr>
                <w:rFonts w:ascii="Arial" w:cs="Arial" w:eastAsia="Arial" w:hAnsi="Arial"/>
                <w:sz w:val="18"/>
                <w:szCs w:val="18"/>
                <w:color w:val="282828"/>
              </w:rPr>
              <w:t xml:space="preserve"> </w:t>
            </w:r>
            <w:r>
              <w:rPr>
                <w:rFonts w:ascii="Arial" w:cs="Arial" w:eastAsia="Arial" w:hAnsi="Arial"/>
                <w:sz w:val="18"/>
                <w:szCs w:val="18"/>
                <w:color w:val="242424"/>
              </w:rPr>
              <w:t>partiaI</w:t>
            </w:r>
            <w:r>
              <w:rPr>
                <w:rFonts w:ascii="Arial" w:cs="Arial" w:eastAsia="Arial" w:hAnsi="Arial"/>
                <w:sz w:val="18"/>
                <w:szCs w:val="18"/>
                <w:color w:val="282828"/>
              </w:rPr>
              <w:t xml:space="preserve"> </w:t>
            </w:r>
            <w:r>
              <w:rPr>
                <w:rFonts w:ascii="Arial" w:cs="Arial" w:eastAsia="Arial" w:hAnsi="Arial"/>
                <w:sz w:val="18"/>
                <w:szCs w:val="18"/>
                <w:color w:val="1C1C1C"/>
              </w:rPr>
              <w:t>performance</w:t>
            </w:r>
            <w:r>
              <w:rPr>
                <w:rFonts w:ascii="Arial" w:cs="Arial" w:eastAsia="Arial" w:hAnsi="Arial"/>
                <w:sz w:val="18"/>
                <w:szCs w:val="18"/>
                <w:color w:val="282828"/>
              </w:rPr>
              <w:t xml:space="preserve"> of a </w:t>
            </w:r>
            <w:r>
              <w:rPr>
                <w:rFonts w:ascii="Arial" w:cs="Arial" w:eastAsia="Arial" w:hAnsi="Arial"/>
                <w:sz w:val="18"/>
                <w:szCs w:val="18"/>
                <w:color w:val="212121"/>
              </w:rPr>
              <w:t>provision of</w:t>
            </w:r>
            <w:r>
              <w:rPr>
                <w:rFonts w:ascii="Arial" w:cs="Arial" w:eastAsia="Arial" w:hAnsi="Arial"/>
                <w:sz w:val="18"/>
                <w:szCs w:val="18"/>
                <w:color w:val="282828"/>
              </w:rPr>
              <w:t xml:space="preserve"> this </w:t>
            </w:r>
            <w:r>
              <w:rPr>
                <w:rFonts w:ascii="Arial" w:cs="Arial" w:eastAsia="Arial" w:hAnsi="Arial"/>
                <w:sz w:val="18"/>
                <w:szCs w:val="18"/>
                <w:color w:val="1F1F1F"/>
              </w:rPr>
              <w:t>document</w:t>
            </w:r>
            <w:r>
              <w:rPr>
                <w:rFonts w:ascii="Arial" w:cs="Arial" w:eastAsia="Arial" w:hAnsi="Arial"/>
                <w:sz w:val="18"/>
                <w:szCs w:val="18"/>
                <w:color w:val="282828"/>
              </w:rPr>
              <w:t xml:space="preserve"> </w:t>
            </w:r>
            <w:r>
              <w:rPr>
                <w:rFonts w:ascii="Arial" w:cs="Arial" w:eastAsia="Arial" w:hAnsi="Arial"/>
                <w:sz w:val="18"/>
                <w:szCs w:val="18"/>
                <w:color w:val="1D1D1D"/>
              </w:rPr>
              <w:t>does</w:t>
            </w:r>
            <w:r>
              <w:rPr>
                <w:rFonts w:ascii="Arial" w:cs="Arial" w:eastAsia="Arial" w:hAnsi="Arial"/>
                <w:sz w:val="18"/>
                <w:szCs w:val="18"/>
                <w:color w:val="282828"/>
              </w:rPr>
              <w:t xml:space="preserve"> </w:t>
            </w:r>
            <w:r>
              <w:rPr>
                <w:rFonts w:ascii="Arial" w:cs="Arial" w:eastAsia="Arial" w:hAnsi="Arial"/>
                <w:sz w:val="18"/>
                <w:szCs w:val="18"/>
                <w:color w:val="232323"/>
              </w:rPr>
              <w:t>not</w:t>
            </w:r>
            <w:r>
              <w:rPr>
                <w:rFonts w:ascii="Arial" w:cs="Arial" w:eastAsia="Arial" w:hAnsi="Arial"/>
                <w:sz w:val="18"/>
                <w:szCs w:val="18"/>
                <w:color w:val="282828"/>
              </w:rPr>
              <w:t xml:space="preserve"> affect </w:t>
            </w:r>
            <w:r>
              <w:rPr>
                <w:rFonts w:ascii="Arial" w:cs="Arial" w:eastAsia="Arial" w:hAnsi="Arial"/>
                <w:sz w:val="18"/>
                <w:szCs w:val="18"/>
                <w:color w:val="1D1D1D"/>
              </w:rPr>
              <w:t>the</w:t>
            </w:r>
            <w:r>
              <w:rPr>
                <w:rFonts w:ascii="Arial" w:cs="Arial" w:eastAsia="Arial" w:hAnsi="Arial"/>
                <w:sz w:val="18"/>
                <w:szCs w:val="18"/>
                <w:color w:val="282828"/>
              </w:rPr>
              <w:t xml:space="preserve"> </w:t>
            </w:r>
            <w:r>
              <w:rPr>
                <w:rFonts w:ascii="Arial" w:cs="Arial" w:eastAsia="Arial" w:hAnsi="Arial"/>
                <w:sz w:val="18"/>
                <w:szCs w:val="18"/>
                <w:color w:val="262626"/>
              </w:rPr>
              <w:t>right</w:t>
            </w:r>
          </w:p>
        </w:tc>
        <w:tc>
          <w:tcPr>
            <w:tcW w:w="260" w:type="dxa"/>
            <w:vAlign w:val="bottom"/>
          </w:tcPr>
          <w:p>
            <w:pPr>
              <w:spacing w:after="0"/>
              <w:rPr>
                <w:sz w:val="24"/>
                <w:szCs w:val="24"/>
                <w:color w:val="auto"/>
              </w:rPr>
            </w:pPr>
          </w:p>
        </w:tc>
      </w:tr>
      <w:tr>
        <w:trPr>
          <w:trHeight w:val="217"/>
        </w:trPr>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282828"/>
              </w:rPr>
              <w:t xml:space="preserve">of </w:t>
            </w:r>
            <w:r>
              <w:rPr>
                <w:rFonts w:ascii="Arial" w:cs="Arial" w:eastAsia="Arial" w:hAnsi="Arial"/>
                <w:sz w:val="18"/>
                <w:szCs w:val="18"/>
                <w:color w:val="212121"/>
              </w:rPr>
              <w:t>that</w:t>
            </w:r>
            <w:r>
              <w:rPr>
                <w:rFonts w:ascii="Arial" w:cs="Arial" w:eastAsia="Arial" w:hAnsi="Arial"/>
                <w:sz w:val="18"/>
                <w:szCs w:val="18"/>
                <w:color w:val="282828"/>
              </w:rPr>
              <w:t xml:space="preserve"> </w:t>
            </w:r>
            <w:r>
              <w:rPr>
                <w:rFonts w:ascii="Arial" w:cs="Arial" w:eastAsia="Arial" w:hAnsi="Arial"/>
                <w:sz w:val="18"/>
                <w:szCs w:val="18"/>
                <w:color w:val="232323"/>
              </w:rPr>
              <w:t>party</w:t>
            </w:r>
            <w:r>
              <w:rPr>
                <w:rFonts w:ascii="Arial" w:cs="Arial" w:eastAsia="Arial" w:hAnsi="Arial"/>
                <w:sz w:val="18"/>
                <w:szCs w:val="18"/>
                <w:color w:val="282828"/>
              </w:rPr>
              <w:t xml:space="preserve"> </w:t>
            </w:r>
            <w:r>
              <w:rPr>
                <w:rFonts w:ascii="Arial" w:cs="Arial" w:eastAsia="Arial" w:hAnsi="Arial"/>
                <w:sz w:val="18"/>
                <w:szCs w:val="18"/>
                <w:color w:val="2A2A2A"/>
              </w:rPr>
              <w:t>to</w:t>
            </w:r>
            <w:r>
              <w:rPr>
                <w:rFonts w:ascii="Arial" w:cs="Arial" w:eastAsia="Arial" w:hAnsi="Arial"/>
                <w:sz w:val="18"/>
                <w:szCs w:val="18"/>
                <w:color w:val="282828"/>
              </w:rPr>
              <w:t xml:space="preserve"> </w:t>
            </w:r>
            <w:r>
              <w:rPr>
                <w:rFonts w:ascii="Arial" w:cs="Arial" w:eastAsia="Arial" w:hAnsi="Arial"/>
                <w:sz w:val="18"/>
                <w:szCs w:val="18"/>
                <w:color w:val="181818"/>
              </w:rPr>
              <w:t>require</w:t>
            </w:r>
            <w:r>
              <w:rPr>
                <w:rFonts w:ascii="Arial" w:cs="Arial" w:eastAsia="Arial" w:hAnsi="Arial"/>
                <w:sz w:val="18"/>
                <w:szCs w:val="18"/>
                <w:color w:val="282828"/>
              </w:rPr>
              <w:t xml:space="preserve"> </w:t>
            </w:r>
            <w:r>
              <w:rPr>
                <w:rFonts w:ascii="Arial" w:cs="Arial" w:eastAsia="Arial" w:hAnsi="Arial"/>
                <w:sz w:val="18"/>
                <w:szCs w:val="18"/>
                <w:color w:val="212121"/>
              </w:rPr>
              <w:t>performance subsequently.</w:t>
            </w:r>
          </w:p>
        </w:tc>
        <w:tc>
          <w:tcPr>
            <w:tcW w:w="260" w:type="dxa"/>
            <w:vAlign w:val="bottom"/>
          </w:tcPr>
          <w:p>
            <w:pPr>
              <w:spacing w:after="0"/>
              <w:rPr>
                <w:sz w:val="18"/>
                <w:szCs w:val="18"/>
                <w:color w:val="auto"/>
              </w:rPr>
            </w:pPr>
          </w:p>
        </w:tc>
      </w:tr>
      <w:tr>
        <w:trPr>
          <w:trHeight w:val="391"/>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Arial" w:cs="Arial" w:eastAsia="Arial" w:hAnsi="Arial"/>
                <w:sz w:val="18"/>
                <w:szCs w:val="18"/>
                <w:color w:val="282828"/>
              </w:rPr>
              <w:t>(b)</w:t>
            </w:r>
          </w:p>
        </w:tc>
        <w:tc>
          <w:tcPr>
            <w:tcW w:w="9880" w:type="dxa"/>
            <w:vAlign w:val="bottom"/>
          </w:tcPr>
          <w:p>
            <w:pPr>
              <w:ind w:left="200"/>
              <w:spacing w:after="0"/>
              <w:rPr>
                <w:sz w:val="20"/>
                <w:szCs w:val="20"/>
                <w:color w:val="auto"/>
              </w:rPr>
            </w:pPr>
            <w:r>
              <w:rPr>
                <w:rFonts w:ascii="Arial" w:cs="Arial" w:eastAsia="Arial" w:hAnsi="Arial"/>
                <w:sz w:val="18"/>
                <w:szCs w:val="18"/>
                <w:color w:val="333333"/>
              </w:rPr>
              <w:t xml:space="preserve">A </w:t>
            </w:r>
            <w:r>
              <w:rPr>
                <w:rFonts w:ascii="Arial" w:cs="Arial" w:eastAsia="Arial" w:hAnsi="Arial"/>
                <w:sz w:val="18"/>
                <w:szCs w:val="18"/>
                <w:color w:val="1D1D1D"/>
              </w:rPr>
              <w:t>single</w:t>
            </w:r>
            <w:r>
              <w:rPr>
                <w:rFonts w:ascii="Arial" w:cs="Arial" w:eastAsia="Arial" w:hAnsi="Arial"/>
                <w:sz w:val="18"/>
                <w:szCs w:val="18"/>
                <w:color w:val="333333"/>
              </w:rPr>
              <w:t xml:space="preserve"> </w:t>
            </w:r>
            <w:r>
              <w:rPr>
                <w:rFonts w:ascii="Arial" w:cs="Arial" w:eastAsia="Arial" w:hAnsi="Arial"/>
                <w:sz w:val="18"/>
                <w:szCs w:val="18"/>
                <w:color w:val="212121"/>
              </w:rPr>
              <w:t>or partial</w:t>
            </w:r>
            <w:r>
              <w:rPr>
                <w:rFonts w:ascii="Arial" w:cs="Arial" w:eastAsia="Arial" w:hAnsi="Arial"/>
                <w:sz w:val="18"/>
                <w:szCs w:val="18"/>
                <w:color w:val="333333"/>
              </w:rPr>
              <w:t xml:space="preserve"> </w:t>
            </w:r>
            <w:r>
              <w:rPr>
                <w:rFonts w:ascii="Arial" w:cs="Arial" w:eastAsia="Arial" w:hAnsi="Arial"/>
                <w:sz w:val="18"/>
                <w:szCs w:val="18"/>
                <w:color w:val="262626"/>
              </w:rPr>
              <w:t>exercise</w:t>
            </w:r>
            <w:r>
              <w:rPr>
                <w:rFonts w:ascii="Arial" w:cs="Arial" w:eastAsia="Arial" w:hAnsi="Arial"/>
                <w:sz w:val="18"/>
                <w:szCs w:val="18"/>
                <w:color w:val="333333"/>
              </w:rPr>
              <w:t xml:space="preserve"> </w:t>
            </w:r>
            <w:r>
              <w:rPr>
                <w:rFonts w:ascii="Arial" w:cs="Arial" w:eastAsia="Arial" w:hAnsi="Arial"/>
                <w:sz w:val="18"/>
                <w:szCs w:val="18"/>
                <w:color w:val="212121"/>
              </w:rPr>
              <w:t>of</w:t>
            </w:r>
            <w:r>
              <w:rPr>
                <w:rFonts w:ascii="Arial" w:cs="Arial" w:eastAsia="Arial" w:hAnsi="Arial"/>
                <w:sz w:val="18"/>
                <w:szCs w:val="18"/>
                <w:color w:val="333333"/>
              </w:rPr>
              <w:t xml:space="preserve"> </w:t>
            </w:r>
            <w:r>
              <w:rPr>
                <w:rFonts w:ascii="Arial" w:cs="Arial" w:eastAsia="Arial" w:hAnsi="Arial"/>
                <w:sz w:val="18"/>
                <w:szCs w:val="18"/>
                <w:color w:val="2D2D2D"/>
              </w:rPr>
              <w:t>or</w:t>
            </w:r>
            <w:r>
              <w:rPr>
                <w:rFonts w:ascii="Arial" w:cs="Arial" w:eastAsia="Arial" w:hAnsi="Arial"/>
                <w:sz w:val="18"/>
                <w:szCs w:val="18"/>
                <w:color w:val="333333"/>
              </w:rPr>
              <w:t xml:space="preserve"> </w:t>
            </w:r>
            <w:r>
              <w:rPr>
                <w:rFonts w:ascii="Arial" w:cs="Arial" w:eastAsia="Arial" w:hAnsi="Arial"/>
                <w:sz w:val="18"/>
                <w:szCs w:val="18"/>
                <w:color w:val="1F1F1F"/>
              </w:rPr>
              <w:t>waiver</w:t>
            </w:r>
            <w:r>
              <w:rPr>
                <w:rFonts w:ascii="Arial" w:cs="Arial" w:eastAsia="Arial" w:hAnsi="Arial"/>
                <w:sz w:val="18"/>
                <w:szCs w:val="18"/>
                <w:color w:val="333333"/>
              </w:rPr>
              <w:t xml:space="preserve"> </w:t>
            </w:r>
            <w:r>
              <w:rPr>
                <w:rFonts w:ascii="Arial" w:cs="Arial" w:eastAsia="Arial" w:hAnsi="Arial"/>
                <w:sz w:val="18"/>
                <w:szCs w:val="18"/>
                <w:color w:val="2F2F2F"/>
              </w:rPr>
              <w:t>of</w:t>
            </w:r>
            <w:r>
              <w:rPr>
                <w:rFonts w:ascii="Arial" w:cs="Arial" w:eastAsia="Arial" w:hAnsi="Arial"/>
                <w:sz w:val="18"/>
                <w:szCs w:val="18"/>
                <w:color w:val="333333"/>
              </w:rPr>
              <w:t xml:space="preserve"> </w:t>
            </w:r>
            <w:r>
              <w:rPr>
                <w:rFonts w:ascii="Arial" w:cs="Arial" w:eastAsia="Arial" w:hAnsi="Arial"/>
                <w:sz w:val="18"/>
                <w:szCs w:val="18"/>
                <w:color w:val="1F1F1F"/>
              </w:rPr>
              <w:t>the exercise</w:t>
            </w:r>
            <w:r>
              <w:rPr>
                <w:rFonts w:ascii="Arial" w:cs="Arial" w:eastAsia="Arial" w:hAnsi="Arial"/>
                <w:sz w:val="18"/>
                <w:szCs w:val="18"/>
                <w:color w:val="333333"/>
              </w:rPr>
              <w:t xml:space="preserve"> </w:t>
            </w:r>
            <w:r>
              <w:rPr>
                <w:rFonts w:ascii="Arial" w:cs="Arial" w:eastAsia="Arial" w:hAnsi="Arial"/>
                <w:sz w:val="18"/>
                <w:szCs w:val="18"/>
                <w:color w:val="232323"/>
              </w:rPr>
              <w:t>of</w:t>
            </w:r>
            <w:r>
              <w:rPr>
                <w:rFonts w:ascii="Arial" w:cs="Arial" w:eastAsia="Arial" w:hAnsi="Arial"/>
                <w:sz w:val="18"/>
                <w:szCs w:val="18"/>
                <w:color w:val="333333"/>
              </w:rPr>
              <w:t xml:space="preserve"> </w:t>
            </w:r>
            <w:r>
              <w:rPr>
                <w:rFonts w:ascii="Arial" w:cs="Arial" w:eastAsia="Arial" w:hAnsi="Arial"/>
                <w:sz w:val="18"/>
                <w:szCs w:val="18"/>
                <w:color w:val="262626"/>
              </w:rPr>
              <w:t>any</w:t>
            </w:r>
            <w:r>
              <w:rPr>
                <w:rFonts w:ascii="Arial" w:cs="Arial" w:eastAsia="Arial" w:hAnsi="Arial"/>
                <w:sz w:val="18"/>
                <w:szCs w:val="18"/>
                <w:color w:val="333333"/>
              </w:rPr>
              <w:t xml:space="preserve"> </w:t>
            </w:r>
            <w:r>
              <w:rPr>
                <w:rFonts w:ascii="Arial" w:cs="Arial" w:eastAsia="Arial" w:hAnsi="Arial"/>
                <w:sz w:val="18"/>
                <w:szCs w:val="18"/>
                <w:color w:val="232323"/>
              </w:rPr>
              <w:t>right,</w:t>
            </w:r>
            <w:r>
              <w:rPr>
                <w:rFonts w:ascii="Arial" w:cs="Arial" w:eastAsia="Arial" w:hAnsi="Arial"/>
                <w:sz w:val="18"/>
                <w:szCs w:val="18"/>
                <w:color w:val="333333"/>
              </w:rPr>
              <w:t xml:space="preserve"> </w:t>
            </w:r>
            <w:r>
              <w:rPr>
                <w:rFonts w:ascii="Arial" w:cs="Arial" w:eastAsia="Arial" w:hAnsi="Arial"/>
                <w:sz w:val="18"/>
                <w:szCs w:val="18"/>
                <w:color w:val="262626"/>
              </w:rPr>
              <w:t>power</w:t>
            </w:r>
            <w:r>
              <w:rPr>
                <w:rFonts w:ascii="Arial" w:cs="Arial" w:eastAsia="Arial" w:hAnsi="Arial"/>
                <w:sz w:val="18"/>
                <w:szCs w:val="18"/>
                <w:color w:val="333333"/>
              </w:rPr>
              <w:t xml:space="preserve"> or </w:t>
            </w:r>
            <w:r>
              <w:rPr>
                <w:rFonts w:ascii="Arial" w:cs="Arial" w:eastAsia="Arial" w:hAnsi="Arial"/>
                <w:sz w:val="18"/>
                <w:szCs w:val="18"/>
                <w:color w:val="262626"/>
              </w:rPr>
              <w:t>remedy</w:t>
            </w:r>
            <w:r>
              <w:rPr>
                <w:rFonts w:ascii="Arial" w:cs="Arial" w:eastAsia="Arial" w:hAnsi="Arial"/>
                <w:sz w:val="18"/>
                <w:szCs w:val="18"/>
                <w:color w:val="333333"/>
              </w:rPr>
              <w:t xml:space="preserve"> </w:t>
            </w:r>
            <w:r>
              <w:rPr>
                <w:rFonts w:ascii="Arial" w:cs="Arial" w:eastAsia="Arial" w:hAnsi="Arial"/>
                <w:sz w:val="18"/>
                <w:szCs w:val="18"/>
                <w:color w:val="242424"/>
              </w:rPr>
              <w:t>does</w:t>
            </w:r>
            <w:r>
              <w:rPr>
                <w:rFonts w:ascii="Arial" w:cs="Arial" w:eastAsia="Arial" w:hAnsi="Arial"/>
                <w:sz w:val="18"/>
                <w:szCs w:val="18"/>
                <w:color w:val="333333"/>
              </w:rPr>
              <w:t xml:space="preserve"> </w:t>
            </w:r>
            <w:r>
              <w:rPr>
                <w:rFonts w:ascii="Arial" w:cs="Arial" w:eastAsia="Arial" w:hAnsi="Arial"/>
                <w:sz w:val="18"/>
                <w:szCs w:val="18"/>
                <w:color w:val="282828"/>
              </w:rPr>
              <w:t>not</w:t>
            </w:r>
            <w:r>
              <w:rPr>
                <w:rFonts w:ascii="Arial" w:cs="Arial" w:eastAsia="Arial" w:hAnsi="Arial"/>
                <w:sz w:val="18"/>
                <w:szCs w:val="18"/>
                <w:color w:val="333333"/>
              </w:rPr>
              <w:t xml:space="preserve"> </w:t>
            </w:r>
            <w:r>
              <w:rPr>
                <w:rFonts w:ascii="Arial" w:cs="Arial" w:eastAsia="Arial" w:hAnsi="Arial"/>
                <w:sz w:val="18"/>
                <w:szCs w:val="18"/>
                <w:color w:val="1F1F1F"/>
              </w:rPr>
              <w:t>preclude</w:t>
            </w:r>
            <w:r>
              <w:rPr>
                <w:rFonts w:ascii="Arial" w:cs="Arial" w:eastAsia="Arial" w:hAnsi="Arial"/>
                <w:sz w:val="18"/>
                <w:szCs w:val="18"/>
                <w:color w:val="333333"/>
              </w:rPr>
              <w:t xml:space="preserve"> </w:t>
            </w:r>
            <w:r>
              <w:rPr>
                <w:rFonts w:ascii="Arial" w:cs="Arial" w:eastAsia="Arial" w:hAnsi="Arial"/>
                <w:sz w:val="18"/>
                <w:szCs w:val="18"/>
                <w:color w:val="1C1C1C"/>
              </w:rPr>
              <w:t>any</w:t>
            </w:r>
            <w:r>
              <w:rPr>
                <w:rFonts w:ascii="Arial" w:cs="Arial" w:eastAsia="Arial" w:hAnsi="Arial"/>
                <w:sz w:val="18"/>
                <w:szCs w:val="18"/>
                <w:color w:val="333333"/>
              </w:rPr>
              <w:t xml:space="preserve"> </w:t>
            </w:r>
            <w:r>
              <w:rPr>
                <w:rFonts w:ascii="Arial" w:cs="Arial" w:eastAsia="Arial" w:hAnsi="Arial"/>
                <w:sz w:val="18"/>
                <w:szCs w:val="18"/>
                <w:color w:val="1F1F1F"/>
              </w:rPr>
              <w:t>other</w:t>
            </w:r>
          </w:p>
        </w:tc>
        <w:tc>
          <w:tcPr>
            <w:tcW w:w="260" w:type="dxa"/>
            <w:vAlign w:val="bottom"/>
          </w:tcPr>
          <w:p>
            <w:pPr>
              <w:spacing w:after="0"/>
              <w:rPr>
                <w:sz w:val="24"/>
                <w:szCs w:val="24"/>
                <w:color w:val="auto"/>
              </w:rPr>
            </w:pPr>
          </w:p>
        </w:tc>
      </w:tr>
      <w:tr>
        <w:trPr>
          <w:trHeight w:val="217"/>
        </w:trPr>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232323"/>
              </w:rPr>
              <w:t xml:space="preserve">or </w:t>
            </w:r>
            <w:r>
              <w:rPr>
                <w:rFonts w:ascii="Arial" w:cs="Arial" w:eastAsia="Arial" w:hAnsi="Arial"/>
                <w:sz w:val="18"/>
                <w:szCs w:val="18"/>
                <w:color w:val="1C1C1C"/>
              </w:rPr>
              <w:t>further</w:t>
            </w:r>
            <w:r>
              <w:rPr>
                <w:rFonts w:ascii="Arial" w:cs="Arial" w:eastAsia="Arial" w:hAnsi="Arial"/>
                <w:sz w:val="18"/>
                <w:szCs w:val="18"/>
                <w:color w:val="232323"/>
              </w:rPr>
              <w:t xml:space="preserve"> </w:t>
            </w:r>
            <w:r>
              <w:rPr>
                <w:rFonts w:ascii="Arial" w:cs="Arial" w:eastAsia="Arial" w:hAnsi="Arial"/>
                <w:sz w:val="18"/>
                <w:szCs w:val="18"/>
                <w:color w:val="181818"/>
              </w:rPr>
              <w:t>exercise</w:t>
            </w:r>
            <w:r>
              <w:rPr>
                <w:rFonts w:ascii="Arial" w:cs="Arial" w:eastAsia="Arial" w:hAnsi="Arial"/>
                <w:sz w:val="18"/>
                <w:szCs w:val="18"/>
                <w:color w:val="232323"/>
              </w:rPr>
              <w:t xml:space="preserve"> </w:t>
            </w:r>
            <w:r>
              <w:rPr>
                <w:rFonts w:ascii="Arial" w:cs="Arial" w:eastAsia="Arial" w:hAnsi="Arial"/>
                <w:sz w:val="18"/>
                <w:szCs w:val="18"/>
                <w:color w:val="2F2F2F"/>
              </w:rPr>
              <w:t>of</w:t>
            </w:r>
            <w:r>
              <w:rPr>
                <w:rFonts w:ascii="Arial" w:cs="Arial" w:eastAsia="Arial" w:hAnsi="Arial"/>
                <w:sz w:val="18"/>
                <w:szCs w:val="18"/>
                <w:color w:val="232323"/>
              </w:rPr>
              <w:t xml:space="preserve"> </w:t>
            </w:r>
            <w:r>
              <w:rPr>
                <w:rFonts w:ascii="Arial" w:cs="Arial" w:eastAsia="Arial" w:hAnsi="Arial"/>
                <w:sz w:val="18"/>
                <w:szCs w:val="18"/>
                <w:color w:val="1C1C1C"/>
              </w:rPr>
              <w:t>that</w:t>
            </w:r>
            <w:r>
              <w:rPr>
                <w:rFonts w:ascii="Arial" w:cs="Arial" w:eastAsia="Arial" w:hAnsi="Arial"/>
                <w:sz w:val="18"/>
                <w:szCs w:val="18"/>
                <w:color w:val="232323"/>
              </w:rPr>
              <w:t xml:space="preserve"> or </w:t>
            </w:r>
            <w:r>
              <w:rPr>
                <w:rFonts w:ascii="Arial" w:cs="Arial" w:eastAsia="Arial" w:hAnsi="Arial"/>
                <w:sz w:val="18"/>
                <w:szCs w:val="18"/>
                <w:color w:val="282828"/>
              </w:rPr>
              <w:t>any</w:t>
            </w:r>
            <w:r>
              <w:rPr>
                <w:rFonts w:ascii="Arial" w:cs="Arial" w:eastAsia="Arial" w:hAnsi="Arial"/>
                <w:sz w:val="18"/>
                <w:szCs w:val="18"/>
                <w:color w:val="232323"/>
              </w:rPr>
              <w:t xml:space="preserve"> </w:t>
            </w:r>
            <w:r>
              <w:rPr>
                <w:rFonts w:ascii="Arial" w:cs="Arial" w:eastAsia="Arial" w:hAnsi="Arial"/>
                <w:sz w:val="18"/>
                <w:szCs w:val="18"/>
                <w:color w:val="242424"/>
              </w:rPr>
              <w:t>other</w:t>
            </w:r>
            <w:r>
              <w:rPr>
                <w:rFonts w:ascii="Arial" w:cs="Arial" w:eastAsia="Arial" w:hAnsi="Arial"/>
                <w:sz w:val="18"/>
                <w:szCs w:val="18"/>
                <w:color w:val="232323"/>
              </w:rPr>
              <w:t xml:space="preserve"> </w:t>
            </w:r>
            <w:r>
              <w:rPr>
                <w:rFonts w:ascii="Arial" w:cs="Arial" w:eastAsia="Arial" w:hAnsi="Arial"/>
                <w:sz w:val="18"/>
                <w:szCs w:val="18"/>
                <w:color w:val="212121"/>
              </w:rPr>
              <w:t>right,</w:t>
            </w:r>
            <w:r>
              <w:rPr>
                <w:rFonts w:ascii="Arial" w:cs="Arial" w:eastAsia="Arial" w:hAnsi="Arial"/>
                <w:sz w:val="18"/>
                <w:szCs w:val="18"/>
                <w:color w:val="232323"/>
              </w:rPr>
              <w:t xml:space="preserve"> power </w:t>
            </w:r>
            <w:r>
              <w:rPr>
                <w:rFonts w:ascii="Arial" w:cs="Arial" w:eastAsia="Arial" w:hAnsi="Arial"/>
                <w:sz w:val="18"/>
                <w:szCs w:val="18"/>
                <w:color w:val="262626"/>
              </w:rPr>
              <w:t>or</w:t>
            </w:r>
            <w:r>
              <w:rPr>
                <w:rFonts w:ascii="Arial" w:cs="Arial" w:eastAsia="Arial" w:hAnsi="Arial"/>
                <w:sz w:val="18"/>
                <w:szCs w:val="18"/>
                <w:color w:val="232323"/>
              </w:rPr>
              <w:t xml:space="preserve"> remedy.</w:t>
            </w:r>
          </w:p>
        </w:tc>
        <w:tc>
          <w:tcPr>
            <w:tcW w:w="260" w:type="dxa"/>
            <w:vAlign w:val="bottom"/>
          </w:tcPr>
          <w:p>
            <w:pPr>
              <w:spacing w:after="0"/>
              <w:rPr>
                <w:sz w:val="18"/>
                <w:szCs w:val="18"/>
                <w:color w:val="auto"/>
              </w:rPr>
            </w:pPr>
          </w:p>
        </w:tc>
      </w:tr>
      <w:tr>
        <w:trPr>
          <w:trHeight w:val="391"/>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Arial" w:cs="Arial" w:eastAsia="Arial" w:hAnsi="Arial"/>
                <w:sz w:val="18"/>
                <w:szCs w:val="18"/>
                <w:color w:val="2F2F2F"/>
              </w:rPr>
              <w:t>(c)</w:t>
            </w:r>
          </w:p>
        </w:tc>
        <w:tc>
          <w:tcPr>
            <w:tcW w:w="9880" w:type="dxa"/>
            <w:vAlign w:val="bottom"/>
          </w:tcPr>
          <w:p>
            <w:pPr>
              <w:ind w:left="200"/>
              <w:spacing w:after="0"/>
              <w:rPr>
                <w:sz w:val="20"/>
                <w:szCs w:val="20"/>
                <w:color w:val="auto"/>
              </w:rPr>
            </w:pPr>
            <w:r>
              <w:rPr>
                <w:rFonts w:ascii="Arial" w:cs="Arial" w:eastAsia="Arial" w:hAnsi="Arial"/>
                <w:sz w:val="18"/>
                <w:szCs w:val="18"/>
                <w:color w:val="1F1F1F"/>
              </w:rPr>
              <w:t xml:space="preserve">A </w:t>
            </w:r>
            <w:r>
              <w:rPr>
                <w:rFonts w:ascii="Arial" w:cs="Arial" w:eastAsia="Arial" w:hAnsi="Arial"/>
                <w:sz w:val="18"/>
                <w:szCs w:val="18"/>
                <w:color w:val="242424"/>
              </w:rPr>
              <w:t>right</w:t>
            </w:r>
            <w:r>
              <w:rPr>
                <w:rFonts w:ascii="Arial" w:cs="Arial" w:eastAsia="Arial" w:hAnsi="Arial"/>
                <w:sz w:val="18"/>
                <w:szCs w:val="18"/>
                <w:color w:val="1F1F1F"/>
              </w:rPr>
              <w:t xml:space="preserve"> </w:t>
            </w:r>
            <w:r>
              <w:rPr>
                <w:rFonts w:ascii="Arial" w:cs="Arial" w:eastAsia="Arial" w:hAnsi="Arial"/>
                <w:sz w:val="18"/>
                <w:szCs w:val="18"/>
                <w:color w:val="232323"/>
              </w:rPr>
              <w:t>under</w:t>
            </w:r>
            <w:r>
              <w:rPr>
                <w:rFonts w:ascii="Arial" w:cs="Arial" w:eastAsia="Arial" w:hAnsi="Arial"/>
                <w:sz w:val="18"/>
                <w:szCs w:val="18"/>
                <w:color w:val="1F1F1F"/>
              </w:rPr>
              <w:t xml:space="preserve"> </w:t>
            </w:r>
            <w:r>
              <w:rPr>
                <w:rFonts w:ascii="Arial" w:cs="Arial" w:eastAsia="Arial" w:hAnsi="Arial"/>
                <w:sz w:val="18"/>
                <w:szCs w:val="18"/>
                <w:color w:val="282828"/>
              </w:rPr>
              <w:t>this</w:t>
            </w:r>
            <w:r>
              <w:rPr>
                <w:rFonts w:ascii="Arial" w:cs="Arial" w:eastAsia="Arial" w:hAnsi="Arial"/>
                <w:sz w:val="18"/>
                <w:szCs w:val="18"/>
                <w:color w:val="1F1F1F"/>
              </w:rPr>
              <w:t xml:space="preserve"> </w:t>
            </w:r>
            <w:r>
              <w:rPr>
                <w:rFonts w:ascii="Arial" w:cs="Arial" w:eastAsia="Arial" w:hAnsi="Arial"/>
                <w:sz w:val="18"/>
                <w:szCs w:val="18"/>
                <w:color w:val="262626"/>
              </w:rPr>
              <w:t>document</w:t>
            </w:r>
            <w:r>
              <w:rPr>
                <w:rFonts w:ascii="Arial" w:cs="Arial" w:eastAsia="Arial" w:hAnsi="Arial"/>
                <w:sz w:val="18"/>
                <w:szCs w:val="18"/>
                <w:color w:val="1F1F1F"/>
              </w:rPr>
              <w:t xml:space="preserve"> </w:t>
            </w:r>
            <w:r>
              <w:rPr>
                <w:rFonts w:ascii="Arial" w:cs="Arial" w:eastAsia="Arial" w:hAnsi="Arial"/>
                <w:sz w:val="18"/>
                <w:szCs w:val="18"/>
                <w:color w:val="2A2A2A"/>
              </w:rPr>
              <w:t>may</w:t>
            </w:r>
            <w:r>
              <w:rPr>
                <w:rFonts w:ascii="Arial" w:cs="Arial" w:eastAsia="Arial" w:hAnsi="Arial"/>
                <w:sz w:val="18"/>
                <w:szCs w:val="18"/>
                <w:color w:val="1F1F1F"/>
              </w:rPr>
              <w:t xml:space="preserve"> </w:t>
            </w:r>
            <w:r>
              <w:rPr>
                <w:rFonts w:ascii="Arial" w:cs="Arial" w:eastAsia="Arial" w:hAnsi="Arial"/>
                <w:sz w:val="18"/>
                <w:szCs w:val="18"/>
                <w:color w:val="212121"/>
              </w:rPr>
              <w:t>only</w:t>
            </w:r>
            <w:r>
              <w:rPr>
                <w:rFonts w:ascii="Arial" w:cs="Arial" w:eastAsia="Arial" w:hAnsi="Arial"/>
                <w:sz w:val="18"/>
                <w:szCs w:val="18"/>
                <w:color w:val="1F1F1F"/>
              </w:rPr>
              <w:t xml:space="preserve"> </w:t>
            </w:r>
            <w:r>
              <w:rPr>
                <w:rFonts w:ascii="Arial" w:cs="Arial" w:eastAsia="Arial" w:hAnsi="Arial"/>
                <w:sz w:val="18"/>
                <w:szCs w:val="18"/>
                <w:color w:val="1C1C1C"/>
              </w:rPr>
              <w:t>be</w:t>
            </w:r>
            <w:r>
              <w:rPr>
                <w:rFonts w:ascii="Arial" w:cs="Arial" w:eastAsia="Arial" w:hAnsi="Arial"/>
                <w:sz w:val="18"/>
                <w:szCs w:val="18"/>
                <w:color w:val="1F1F1F"/>
              </w:rPr>
              <w:t xml:space="preserve"> </w:t>
            </w:r>
            <w:r>
              <w:rPr>
                <w:rFonts w:ascii="Arial" w:cs="Arial" w:eastAsia="Arial" w:hAnsi="Arial"/>
                <w:sz w:val="18"/>
                <w:szCs w:val="18"/>
                <w:color w:val="212121"/>
              </w:rPr>
              <w:t>waived</w:t>
            </w:r>
            <w:r>
              <w:rPr>
                <w:rFonts w:ascii="Arial" w:cs="Arial" w:eastAsia="Arial" w:hAnsi="Arial"/>
                <w:sz w:val="18"/>
                <w:szCs w:val="18"/>
                <w:color w:val="1F1F1F"/>
              </w:rPr>
              <w:t xml:space="preserve"> </w:t>
            </w:r>
            <w:r>
              <w:rPr>
                <w:rFonts w:ascii="Arial" w:cs="Arial" w:eastAsia="Arial" w:hAnsi="Arial"/>
                <w:sz w:val="18"/>
                <w:szCs w:val="18"/>
                <w:color w:val="2F2F2F"/>
              </w:rPr>
              <w:t>in</w:t>
            </w:r>
            <w:r>
              <w:rPr>
                <w:rFonts w:ascii="Arial" w:cs="Arial" w:eastAsia="Arial" w:hAnsi="Arial"/>
                <w:sz w:val="18"/>
                <w:szCs w:val="18"/>
                <w:color w:val="1F1F1F"/>
              </w:rPr>
              <w:t xml:space="preserve"> </w:t>
            </w:r>
            <w:r>
              <w:rPr>
                <w:rFonts w:ascii="Arial" w:cs="Arial" w:eastAsia="Arial" w:hAnsi="Arial"/>
                <w:sz w:val="18"/>
                <w:szCs w:val="18"/>
                <w:color w:val="161616"/>
              </w:rPr>
              <w:t>writing</w:t>
            </w:r>
            <w:r>
              <w:rPr>
                <w:rFonts w:ascii="Arial" w:cs="Arial" w:eastAsia="Arial" w:hAnsi="Arial"/>
                <w:sz w:val="18"/>
                <w:szCs w:val="18"/>
                <w:color w:val="1F1F1F"/>
              </w:rPr>
              <w:t xml:space="preserve"> </w:t>
            </w:r>
            <w:r>
              <w:rPr>
                <w:rFonts w:ascii="Arial" w:cs="Arial" w:eastAsia="Arial" w:hAnsi="Arial"/>
                <w:sz w:val="18"/>
                <w:szCs w:val="18"/>
                <w:color w:val="0F0F0F"/>
              </w:rPr>
              <w:t>signed</w:t>
            </w:r>
            <w:r>
              <w:rPr>
                <w:rFonts w:ascii="Arial" w:cs="Arial" w:eastAsia="Arial" w:hAnsi="Arial"/>
                <w:sz w:val="18"/>
                <w:szCs w:val="18"/>
                <w:color w:val="1F1F1F"/>
              </w:rPr>
              <w:t xml:space="preserve"> </w:t>
            </w:r>
            <w:r>
              <w:rPr>
                <w:rFonts w:ascii="Arial" w:cs="Arial" w:eastAsia="Arial" w:hAnsi="Arial"/>
                <w:sz w:val="18"/>
                <w:szCs w:val="18"/>
                <w:color w:val="282828"/>
              </w:rPr>
              <w:t>by</w:t>
            </w:r>
            <w:r>
              <w:rPr>
                <w:rFonts w:ascii="Arial" w:cs="Arial" w:eastAsia="Arial" w:hAnsi="Arial"/>
                <w:sz w:val="18"/>
                <w:szCs w:val="18"/>
                <w:color w:val="1F1F1F"/>
              </w:rPr>
              <w:t xml:space="preserve"> </w:t>
            </w:r>
            <w:r>
              <w:rPr>
                <w:rFonts w:ascii="Arial" w:cs="Arial" w:eastAsia="Arial" w:hAnsi="Arial"/>
                <w:sz w:val="18"/>
                <w:szCs w:val="18"/>
                <w:color w:val="212121"/>
              </w:rPr>
              <w:t>the</w:t>
            </w:r>
            <w:r>
              <w:rPr>
                <w:rFonts w:ascii="Arial" w:cs="Arial" w:eastAsia="Arial" w:hAnsi="Arial"/>
                <w:sz w:val="18"/>
                <w:szCs w:val="18"/>
                <w:color w:val="1F1F1F"/>
              </w:rPr>
              <w:t xml:space="preserve"> </w:t>
            </w:r>
            <w:r>
              <w:rPr>
                <w:rFonts w:ascii="Arial" w:cs="Arial" w:eastAsia="Arial" w:hAnsi="Arial"/>
                <w:sz w:val="18"/>
                <w:szCs w:val="18"/>
                <w:color w:val="2D2D2D"/>
              </w:rPr>
              <w:t>party</w:t>
            </w:r>
            <w:r>
              <w:rPr>
                <w:rFonts w:ascii="Arial" w:cs="Arial" w:eastAsia="Arial" w:hAnsi="Arial"/>
                <w:sz w:val="18"/>
                <w:szCs w:val="18"/>
                <w:color w:val="1F1F1F"/>
              </w:rPr>
              <w:t xml:space="preserve"> </w:t>
            </w:r>
            <w:r>
              <w:rPr>
                <w:rFonts w:ascii="Arial" w:cs="Arial" w:eastAsia="Arial" w:hAnsi="Arial"/>
                <w:sz w:val="18"/>
                <w:szCs w:val="18"/>
                <w:color w:val="212121"/>
              </w:rPr>
              <w:t>granting</w:t>
            </w:r>
            <w:r>
              <w:rPr>
                <w:rFonts w:ascii="Arial" w:cs="Arial" w:eastAsia="Arial" w:hAnsi="Arial"/>
                <w:sz w:val="18"/>
                <w:szCs w:val="18"/>
                <w:color w:val="1F1F1F"/>
              </w:rPr>
              <w:t xml:space="preserve"> </w:t>
            </w:r>
            <w:r>
              <w:rPr>
                <w:rFonts w:ascii="Arial" w:cs="Arial" w:eastAsia="Arial" w:hAnsi="Arial"/>
                <w:sz w:val="18"/>
                <w:szCs w:val="18"/>
                <w:color w:val="232323"/>
              </w:rPr>
              <w:t>the</w:t>
            </w:r>
            <w:r>
              <w:rPr>
                <w:rFonts w:ascii="Arial" w:cs="Arial" w:eastAsia="Arial" w:hAnsi="Arial"/>
                <w:sz w:val="18"/>
                <w:szCs w:val="18"/>
                <w:color w:val="1F1F1F"/>
              </w:rPr>
              <w:t xml:space="preserve"> </w:t>
            </w:r>
            <w:r>
              <w:rPr>
                <w:rFonts w:ascii="Arial" w:cs="Arial" w:eastAsia="Arial" w:hAnsi="Arial"/>
                <w:sz w:val="18"/>
                <w:szCs w:val="18"/>
                <w:color w:val="161616"/>
              </w:rPr>
              <w:t>waiver,</w:t>
            </w:r>
            <w:r>
              <w:rPr>
                <w:rFonts w:ascii="Arial" w:cs="Arial" w:eastAsia="Arial" w:hAnsi="Arial"/>
                <w:sz w:val="18"/>
                <w:szCs w:val="18"/>
                <w:color w:val="1F1F1F"/>
              </w:rPr>
              <w:t xml:space="preserve"> </w:t>
            </w:r>
            <w:r>
              <w:rPr>
                <w:rFonts w:ascii="Arial" w:cs="Arial" w:eastAsia="Arial" w:hAnsi="Arial"/>
                <w:sz w:val="18"/>
                <w:szCs w:val="18"/>
                <w:color w:val="262626"/>
              </w:rPr>
              <w:t>and</w:t>
            </w:r>
            <w:r>
              <w:rPr>
                <w:rFonts w:ascii="Arial" w:cs="Arial" w:eastAsia="Arial" w:hAnsi="Arial"/>
                <w:sz w:val="18"/>
                <w:szCs w:val="18"/>
                <w:color w:val="1F1F1F"/>
              </w:rPr>
              <w:t xml:space="preserve"> </w:t>
            </w:r>
            <w:r>
              <w:rPr>
                <w:rFonts w:ascii="Arial" w:cs="Arial" w:eastAsia="Arial" w:hAnsi="Arial"/>
                <w:sz w:val="18"/>
                <w:szCs w:val="18"/>
                <w:color w:val="313131"/>
              </w:rPr>
              <w:t>is</w:t>
            </w:r>
            <w:r>
              <w:rPr>
                <w:rFonts w:ascii="Arial" w:cs="Arial" w:eastAsia="Arial" w:hAnsi="Arial"/>
                <w:sz w:val="18"/>
                <w:szCs w:val="18"/>
                <w:color w:val="1F1F1F"/>
              </w:rPr>
              <w:t xml:space="preserve"> </w:t>
            </w:r>
            <w:r>
              <w:rPr>
                <w:rFonts w:ascii="Arial" w:cs="Arial" w:eastAsia="Arial" w:hAnsi="Arial"/>
                <w:sz w:val="18"/>
                <w:szCs w:val="18"/>
                <w:color w:val="212121"/>
              </w:rPr>
              <w:t>effective</w:t>
            </w:r>
          </w:p>
        </w:tc>
        <w:tc>
          <w:tcPr>
            <w:tcW w:w="260" w:type="dxa"/>
            <w:vAlign w:val="bottom"/>
          </w:tcPr>
          <w:p>
            <w:pPr>
              <w:spacing w:after="0"/>
              <w:rPr>
                <w:sz w:val="24"/>
                <w:szCs w:val="24"/>
                <w:color w:val="auto"/>
              </w:rPr>
            </w:pPr>
          </w:p>
        </w:tc>
      </w:tr>
      <w:tr>
        <w:trPr>
          <w:trHeight w:val="217"/>
        </w:trPr>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181818"/>
              </w:rPr>
              <w:t xml:space="preserve">only </w:t>
            </w:r>
            <w:r>
              <w:rPr>
                <w:rFonts w:ascii="Arial" w:cs="Arial" w:eastAsia="Arial" w:hAnsi="Arial"/>
                <w:sz w:val="18"/>
                <w:szCs w:val="18"/>
                <w:color w:val="282828"/>
              </w:rPr>
              <w:t>to the</w:t>
            </w:r>
            <w:r>
              <w:rPr>
                <w:rFonts w:ascii="Arial" w:cs="Arial" w:eastAsia="Arial" w:hAnsi="Arial"/>
                <w:sz w:val="18"/>
                <w:szCs w:val="18"/>
                <w:color w:val="181818"/>
              </w:rPr>
              <w:t xml:space="preserve"> </w:t>
            </w:r>
            <w:r>
              <w:rPr>
                <w:rFonts w:ascii="Arial" w:cs="Arial" w:eastAsia="Arial" w:hAnsi="Arial"/>
                <w:sz w:val="18"/>
                <w:szCs w:val="18"/>
                <w:color w:val="1F1F1F"/>
              </w:rPr>
              <w:t>extent</w:t>
            </w:r>
            <w:r>
              <w:rPr>
                <w:rFonts w:ascii="Arial" w:cs="Arial" w:eastAsia="Arial" w:hAnsi="Arial"/>
                <w:sz w:val="18"/>
                <w:szCs w:val="18"/>
                <w:color w:val="181818"/>
              </w:rPr>
              <w:t xml:space="preserve"> specifically </w:t>
            </w:r>
            <w:r>
              <w:rPr>
                <w:rFonts w:ascii="Arial" w:cs="Arial" w:eastAsia="Arial" w:hAnsi="Arial"/>
                <w:sz w:val="18"/>
                <w:szCs w:val="18"/>
                <w:color w:val="2A2A2A"/>
              </w:rPr>
              <w:t>set</w:t>
            </w:r>
            <w:r>
              <w:rPr>
                <w:rFonts w:ascii="Arial" w:cs="Arial" w:eastAsia="Arial" w:hAnsi="Arial"/>
                <w:sz w:val="18"/>
                <w:szCs w:val="18"/>
                <w:color w:val="181818"/>
              </w:rPr>
              <w:t xml:space="preserve"> </w:t>
            </w:r>
            <w:r>
              <w:rPr>
                <w:rFonts w:ascii="Arial" w:cs="Arial" w:eastAsia="Arial" w:hAnsi="Arial"/>
                <w:sz w:val="18"/>
                <w:szCs w:val="18"/>
                <w:color w:val="1F1F1F"/>
              </w:rPr>
              <w:t>out</w:t>
            </w:r>
            <w:r>
              <w:rPr>
                <w:rFonts w:ascii="Arial" w:cs="Arial" w:eastAsia="Arial" w:hAnsi="Arial"/>
                <w:sz w:val="18"/>
                <w:szCs w:val="18"/>
                <w:color w:val="181818"/>
              </w:rPr>
              <w:t xml:space="preserve"> </w:t>
            </w:r>
            <w:r>
              <w:rPr>
                <w:rFonts w:ascii="Arial" w:cs="Arial" w:eastAsia="Arial" w:hAnsi="Arial"/>
                <w:sz w:val="18"/>
                <w:szCs w:val="18"/>
                <w:color w:val="2B2B2B"/>
              </w:rPr>
              <w:t>in</w:t>
            </w:r>
            <w:r>
              <w:rPr>
                <w:rFonts w:ascii="Arial" w:cs="Arial" w:eastAsia="Arial" w:hAnsi="Arial"/>
                <w:sz w:val="18"/>
                <w:szCs w:val="18"/>
                <w:color w:val="181818"/>
              </w:rPr>
              <w:t xml:space="preserve"> </w:t>
            </w:r>
            <w:r>
              <w:rPr>
                <w:rFonts w:ascii="Arial" w:cs="Arial" w:eastAsia="Arial" w:hAnsi="Arial"/>
                <w:sz w:val="18"/>
                <w:szCs w:val="18"/>
                <w:color w:val="232323"/>
              </w:rPr>
              <w:t>that waiver.</w:t>
            </w:r>
          </w:p>
        </w:tc>
        <w:tc>
          <w:tcPr>
            <w:tcW w:w="260" w:type="dxa"/>
            <w:vAlign w:val="bottom"/>
          </w:tcPr>
          <w:p>
            <w:pPr>
              <w:spacing w:after="0"/>
              <w:rPr>
                <w:sz w:val="18"/>
                <w:szCs w:val="18"/>
                <w:color w:val="auto"/>
              </w:rPr>
            </w:pP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232323"/>
              </w:rPr>
              <w:t>11.8</w:t>
            </w:r>
          </w:p>
        </w:tc>
        <w:tc>
          <w:tcPr>
            <w:tcW w:w="10480" w:type="dxa"/>
            <w:vAlign w:val="bottom"/>
            <w:gridSpan w:val="2"/>
          </w:tcPr>
          <w:p>
            <w:pPr>
              <w:ind w:left="160"/>
              <w:spacing w:after="0"/>
              <w:rPr>
                <w:sz w:val="20"/>
                <w:szCs w:val="20"/>
                <w:color w:val="auto"/>
              </w:rPr>
            </w:pPr>
            <w:r>
              <w:rPr>
                <w:rFonts w:ascii="Arial" w:cs="Arial" w:eastAsia="Arial" w:hAnsi="Arial"/>
                <w:sz w:val="18"/>
                <w:szCs w:val="18"/>
                <w:b w:val="1"/>
                <w:bCs w:val="1"/>
                <w:color w:val="282828"/>
              </w:rPr>
              <w:t xml:space="preserve">Governing </w:t>
            </w:r>
            <w:r>
              <w:rPr>
                <w:rFonts w:ascii="Arial" w:cs="Arial" w:eastAsia="Arial" w:hAnsi="Arial"/>
                <w:sz w:val="18"/>
                <w:szCs w:val="18"/>
                <w:b w:val="1"/>
                <w:bCs w:val="1"/>
                <w:color w:val="2A2A2A"/>
              </w:rPr>
              <w:t>law</w:t>
            </w:r>
            <w:r>
              <w:rPr>
                <w:rFonts w:ascii="Arial" w:cs="Arial" w:eastAsia="Arial" w:hAnsi="Arial"/>
                <w:sz w:val="18"/>
                <w:szCs w:val="18"/>
                <w:b w:val="1"/>
                <w:bCs w:val="1"/>
                <w:color w:val="282828"/>
              </w:rPr>
              <w:t xml:space="preserve"> </w:t>
            </w:r>
            <w:r>
              <w:rPr>
                <w:rFonts w:ascii="Arial" w:cs="Arial" w:eastAsia="Arial" w:hAnsi="Arial"/>
                <w:sz w:val="18"/>
                <w:szCs w:val="18"/>
                <w:b w:val="1"/>
                <w:bCs w:val="1"/>
                <w:color w:val="2B2B2B"/>
              </w:rPr>
              <w:t>and</w:t>
            </w:r>
            <w:r>
              <w:rPr>
                <w:rFonts w:ascii="Arial" w:cs="Arial" w:eastAsia="Arial" w:hAnsi="Arial"/>
                <w:sz w:val="18"/>
                <w:szCs w:val="18"/>
                <w:b w:val="1"/>
                <w:bCs w:val="1"/>
                <w:color w:val="282828"/>
              </w:rPr>
              <w:t xml:space="preserve"> </w:t>
            </w:r>
            <w:r>
              <w:rPr>
                <w:rFonts w:ascii="Arial" w:cs="Arial" w:eastAsia="Arial" w:hAnsi="Arial"/>
                <w:sz w:val="18"/>
                <w:szCs w:val="18"/>
                <w:b w:val="1"/>
                <w:bCs w:val="1"/>
                <w:color w:val="212121"/>
              </w:rPr>
              <w:t>jurisdiction</w:t>
            </w:r>
          </w:p>
        </w:tc>
        <w:tc>
          <w:tcPr>
            <w:tcW w:w="260" w:type="dxa"/>
            <w:vAlign w:val="bottom"/>
          </w:tcPr>
          <w:p>
            <w:pPr>
              <w:spacing w:after="0"/>
              <w:rPr>
                <w:sz w:val="24"/>
                <w:szCs w:val="24"/>
                <w:color w:val="auto"/>
              </w:rPr>
            </w:pPr>
          </w:p>
        </w:tc>
      </w:tr>
      <w:tr>
        <w:trPr>
          <w:trHeight w:val="405"/>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Arial" w:cs="Arial" w:eastAsia="Arial" w:hAnsi="Arial"/>
                <w:sz w:val="18"/>
                <w:szCs w:val="18"/>
                <w:color w:val="2F2F2F"/>
              </w:rPr>
              <w:t>(a)</w:t>
            </w:r>
          </w:p>
        </w:tc>
        <w:tc>
          <w:tcPr>
            <w:tcW w:w="9880" w:type="dxa"/>
            <w:vAlign w:val="bottom"/>
          </w:tcPr>
          <w:p>
            <w:pPr>
              <w:ind w:left="200"/>
              <w:spacing w:after="0"/>
              <w:rPr>
                <w:sz w:val="20"/>
                <w:szCs w:val="20"/>
                <w:color w:val="auto"/>
              </w:rPr>
            </w:pPr>
            <w:r>
              <w:rPr>
                <w:rFonts w:ascii="Arial" w:cs="Arial" w:eastAsia="Arial" w:hAnsi="Arial"/>
                <w:sz w:val="18"/>
                <w:szCs w:val="18"/>
                <w:color w:val="161616"/>
              </w:rPr>
              <w:t xml:space="preserve">Queensland </w:t>
            </w:r>
            <w:r>
              <w:rPr>
                <w:rFonts w:ascii="Arial" w:cs="Arial" w:eastAsia="Arial" w:hAnsi="Arial"/>
                <w:sz w:val="18"/>
                <w:szCs w:val="18"/>
                <w:color w:val="1F1F1F"/>
              </w:rPr>
              <w:t>law</w:t>
            </w:r>
            <w:r>
              <w:rPr>
                <w:rFonts w:ascii="Arial" w:cs="Arial" w:eastAsia="Arial" w:hAnsi="Arial"/>
                <w:sz w:val="18"/>
                <w:szCs w:val="18"/>
                <w:color w:val="161616"/>
              </w:rPr>
              <w:t xml:space="preserve"> </w:t>
            </w:r>
            <w:r>
              <w:rPr>
                <w:rFonts w:ascii="Arial" w:cs="Arial" w:eastAsia="Arial" w:hAnsi="Arial"/>
                <w:sz w:val="18"/>
                <w:szCs w:val="18"/>
                <w:color w:val="1C1C1C"/>
              </w:rPr>
              <w:t>governs</w:t>
            </w:r>
            <w:r>
              <w:rPr>
                <w:rFonts w:ascii="Arial" w:cs="Arial" w:eastAsia="Arial" w:hAnsi="Arial"/>
                <w:sz w:val="18"/>
                <w:szCs w:val="18"/>
                <w:color w:val="161616"/>
              </w:rPr>
              <w:t xml:space="preserve"> </w:t>
            </w:r>
            <w:r>
              <w:rPr>
                <w:rFonts w:ascii="Arial" w:cs="Arial" w:eastAsia="Arial" w:hAnsi="Arial"/>
                <w:sz w:val="18"/>
                <w:szCs w:val="18"/>
                <w:color w:val="232323"/>
              </w:rPr>
              <w:t>this</w:t>
            </w:r>
            <w:r>
              <w:rPr>
                <w:rFonts w:ascii="Arial" w:cs="Arial" w:eastAsia="Arial" w:hAnsi="Arial"/>
                <w:sz w:val="18"/>
                <w:szCs w:val="18"/>
                <w:color w:val="161616"/>
              </w:rPr>
              <w:t xml:space="preserve"> </w:t>
            </w:r>
            <w:r>
              <w:rPr>
                <w:rFonts w:ascii="Arial" w:cs="Arial" w:eastAsia="Arial" w:hAnsi="Arial"/>
                <w:sz w:val="18"/>
                <w:szCs w:val="18"/>
                <w:color w:val="1F1F1F"/>
              </w:rPr>
              <w:t>document.</w:t>
            </w:r>
          </w:p>
        </w:tc>
        <w:tc>
          <w:tcPr>
            <w:tcW w:w="260" w:type="dxa"/>
            <w:vAlign w:val="bottom"/>
          </w:tcPr>
          <w:p>
            <w:pPr>
              <w:spacing w:after="0"/>
              <w:rPr>
                <w:sz w:val="24"/>
                <w:szCs w:val="24"/>
                <w:color w:val="auto"/>
              </w:rPr>
            </w:pPr>
          </w:p>
        </w:tc>
      </w:tr>
      <w:tr>
        <w:trPr>
          <w:trHeight w:val="405"/>
        </w:trPr>
        <w:tc>
          <w:tcPr>
            <w:tcW w:w="1100" w:type="dxa"/>
            <w:vAlign w:val="bottom"/>
            <w:gridSpan w:val="2"/>
          </w:tcPr>
          <w:p>
            <w:pPr>
              <w:spacing w:after="0"/>
              <w:rPr>
                <w:sz w:val="20"/>
                <w:szCs w:val="20"/>
                <w:color w:val="auto"/>
              </w:rPr>
            </w:pPr>
            <w:r>
              <w:rPr>
                <w:rFonts w:ascii="Arial" w:cs="Arial" w:eastAsia="Arial" w:hAnsi="Arial"/>
                <w:sz w:val="18"/>
                <w:szCs w:val="18"/>
                <w:color w:val="auto"/>
              </w:rPr>
              <w:t>T St Baker</w:t>
            </w:r>
          </w:p>
        </w:tc>
        <w:tc>
          <w:tcPr>
            <w:tcW w:w="9880" w:type="dxa"/>
            <w:vAlign w:val="bottom"/>
          </w:tcPr>
          <w:p>
            <w:pPr>
              <w:ind w:left="260"/>
              <w:spacing w:after="0"/>
              <w:rPr>
                <w:sz w:val="20"/>
                <w:szCs w:val="20"/>
                <w:color w:val="auto"/>
              </w:rPr>
            </w:pPr>
            <w:r>
              <w:rPr>
                <w:rFonts w:ascii="Arial" w:cs="Arial" w:eastAsia="Arial" w:hAnsi="Arial"/>
                <w:sz w:val="18"/>
                <w:szCs w:val="18"/>
                <w:color w:val="auto"/>
              </w:rPr>
              <w:t>|   Deed of access, insurance and indemnity</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682"/>
        </w:trPr>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1102" w:right="339" w:bottom="1440" w:gutter="0" w:footer="0" w:header="0"/>
        </w:sectPr>
      </w:pPr>
      <w:r>
        <w:rPr>
          <w:sz w:val="20"/>
          <w:szCs w:val="20"/>
          <w:color w:val="auto"/>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r>
    </w:p>
    <w:bookmarkStart w:id="197" w:name="page198"/>
    <w:bookmarkEnd w:id="197"/>
    <w:p>
      <w:pPr>
        <w:ind w:left="1300" w:right="520" w:hanging="644"/>
        <w:spacing w:after="0" w:line="246" w:lineRule="auto"/>
        <w:tabs>
          <w:tab w:leader="none" w:pos="1300" w:val="left"/>
        </w:tabs>
        <w:numPr>
          <w:ilvl w:val="0"/>
          <w:numId w:val="203"/>
        </w:numPr>
        <w:rPr>
          <w:rFonts w:ascii="Arial" w:cs="Arial" w:eastAsia="Arial" w:hAnsi="Arial"/>
          <w:sz w:val="18"/>
          <w:szCs w:val="18"/>
          <w:color w:val="1C1C1C"/>
        </w:rPr>
      </w:pPr>
      <w:r>
        <w:rPr>
          <w:rFonts w:ascii="Arial" w:cs="Arial" w:eastAsia="Arial" w:hAnsi="Arial"/>
          <w:sz w:val="18"/>
          <w:szCs w:val="18"/>
          <w:color w:val="1A1A1A"/>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 xml:space="preserve">Each </w:t>
      </w:r>
      <w:r>
        <w:rPr>
          <w:rFonts w:ascii="Arial" w:cs="Arial" w:eastAsia="Arial" w:hAnsi="Arial"/>
          <w:sz w:val="18"/>
          <w:szCs w:val="18"/>
          <w:color w:val="131313"/>
        </w:rPr>
        <w:t>party</w:t>
      </w:r>
      <w:r>
        <w:rPr>
          <w:rFonts w:ascii="Arial" w:cs="Arial" w:eastAsia="Arial" w:hAnsi="Arial"/>
          <w:sz w:val="18"/>
          <w:szCs w:val="18"/>
          <w:color w:val="1A1A1A"/>
        </w:rPr>
        <w:t xml:space="preserve"> </w:t>
      </w:r>
      <w:r>
        <w:rPr>
          <w:rFonts w:ascii="Arial" w:cs="Arial" w:eastAsia="Arial" w:hAnsi="Arial"/>
          <w:sz w:val="18"/>
          <w:szCs w:val="18"/>
          <w:color w:val="161616"/>
        </w:rPr>
        <w:t>irrevocably</w:t>
      </w:r>
      <w:r>
        <w:rPr>
          <w:rFonts w:ascii="Arial" w:cs="Arial" w:eastAsia="Arial" w:hAnsi="Arial"/>
          <w:sz w:val="18"/>
          <w:szCs w:val="18"/>
          <w:color w:val="1A1A1A"/>
        </w:rPr>
        <w:t xml:space="preserve"> </w:t>
      </w:r>
      <w:r>
        <w:rPr>
          <w:rFonts w:ascii="Arial" w:cs="Arial" w:eastAsia="Arial" w:hAnsi="Arial"/>
          <w:sz w:val="18"/>
          <w:szCs w:val="18"/>
          <w:color w:val="181818"/>
        </w:rPr>
        <w:t>submits to</w:t>
      </w:r>
      <w:r>
        <w:rPr>
          <w:rFonts w:ascii="Arial" w:cs="Arial" w:eastAsia="Arial" w:hAnsi="Arial"/>
          <w:sz w:val="18"/>
          <w:szCs w:val="18"/>
          <w:color w:val="1A1A1A"/>
        </w:rPr>
        <w:t xml:space="preserve"> </w:t>
      </w:r>
      <w:r>
        <w:rPr>
          <w:rFonts w:ascii="Arial" w:cs="Arial" w:eastAsia="Arial" w:hAnsi="Arial"/>
          <w:sz w:val="18"/>
          <w:szCs w:val="18"/>
          <w:color w:val="212121"/>
        </w:rPr>
        <w:t>the</w:t>
      </w:r>
      <w:r>
        <w:rPr>
          <w:rFonts w:ascii="Arial" w:cs="Arial" w:eastAsia="Arial" w:hAnsi="Arial"/>
          <w:sz w:val="18"/>
          <w:szCs w:val="18"/>
          <w:color w:val="1A1A1A"/>
        </w:rPr>
        <w:t xml:space="preserve"> </w:t>
      </w:r>
      <w:r>
        <w:rPr>
          <w:rFonts w:ascii="Arial" w:cs="Arial" w:eastAsia="Arial" w:hAnsi="Arial"/>
          <w:sz w:val="18"/>
          <w:szCs w:val="18"/>
          <w:color w:val="181818"/>
        </w:rPr>
        <w:t>non-exclusive jurisdiction</w:t>
      </w:r>
      <w:r>
        <w:rPr>
          <w:rFonts w:ascii="Arial" w:cs="Arial" w:eastAsia="Arial" w:hAnsi="Arial"/>
          <w:sz w:val="18"/>
          <w:szCs w:val="18"/>
          <w:color w:val="1A1A1A"/>
        </w:rPr>
        <w:t xml:space="preserve"> of </w:t>
      </w:r>
      <w:r>
        <w:rPr>
          <w:rFonts w:ascii="Arial" w:cs="Arial" w:eastAsia="Arial" w:hAnsi="Arial"/>
          <w:sz w:val="18"/>
          <w:szCs w:val="18"/>
          <w:color w:val="262626"/>
        </w:rPr>
        <w:t>the</w:t>
      </w:r>
      <w:r>
        <w:rPr>
          <w:rFonts w:ascii="Arial" w:cs="Arial" w:eastAsia="Arial" w:hAnsi="Arial"/>
          <w:sz w:val="18"/>
          <w:szCs w:val="18"/>
          <w:color w:val="1A1A1A"/>
        </w:rPr>
        <w:t xml:space="preserve"> </w:t>
      </w:r>
      <w:r>
        <w:rPr>
          <w:rFonts w:ascii="Arial" w:cs="Arial" w:eastAsia="Arial" w:hAnsi="Arial"/>
          <w:sz w:val="18"/>
          <w:szCs w:val="18"/>
          <w:color w:val="1C1C1C"/>
        </w:rPr>
        <w:t>Queensland</w:t>
      </w:r>
      <w:r>
        <w:rPr>
          <w:rFonts w:ascii="Arial" w:cs="Arial" w:eastAsia="Arial" w:hAnsi="Arial"/>
          <w:sz w:val="18"/>
          <w:szCs w:val="18"/>
          <w:color w:val="1A1A1A"/>
        </w:rPr>
        <w:t xml:space="preserve"> </w:t>
      </w:r>
      <w:r>
        <w:rPr>
          <w:rFonts w:ascii="Arial" w:cs="Arial" w:eastAsia="Arial" w:hAnsi="Arial"/>
          <w:sz w:val="18"/>
          <w:szCs w:val="18"/>
          <w:color w:val="212121"/>
        </w:rPr>
        <w:t>courts</w:t>
      </w:r>
      <w:r>
        <w:rPr>
          <w:rFonts w:ascii="Arial" w:cs="Arial" w:eastAsia="Arial" w:hAnsi="Arial"/>
          <w:sz w:val="18"/>
          <w:szCs w:val="18"/>
          <w:color w:val="1A1A1A"/>
        </w:rPr>
        <w:t xml:space="preserve"> </w:t>
      </w:r>
      <w:r>
        <w:rPr>
          <w:rFonts w:ascii="Arial" w:cs="Arial" w:eastAsia="Arial" w:hAnsi="Arial"/>
          <w:sz w:val="18"/>
          <w:szCs w:val="18"/>
          <w:color w:val="131313"/>
        </w:rPr>
        <w:t>and</w:t>
      </w:r>
      <w:r>
        <w:rPr>
          <w:rFonts w:ascii="Arial" w:cs="Arial" w:eastAsia="Arial" w:hAnsi="Arial"/>
          <w:sz w:val="18"/>
          <w:szCs w:val="18"/>
          <w:color w:val="1A1A1A"/>
        </w:rPr>
        <w:t xml:space="preserve"> courts </w:t>
      </w:r>
      <w:r>
        <w:rPr>
          <w:rFonts w:ascii="Arial" w:cs="Arial" w:eastAsia="Arial" w:hAnsi="Arial"/>
          <w:sz w:val="18"/>
          <w:szCs w:val="18"/>
          <w:color w:val="161616"/>
        </w:rPr>
        <w:t>competent</w:t>
      </w:r>
      <w:r>
        <w:rPr>
          <w:rFonts w:ascii="Arial" w:cs="Arial" w:eastAsia="Arial" w:hAnsi="Arial"/>
          <w:sz w:val="18"/>
          <w:szCs w:val="18"/>
          <w:color w:val="1A1A1A"/>
        </w:rPr>
        <w:t xml:space="preserve"> </w:t>
      </w:r>
      <w:r>
        <w:rPr>
          <w:rFonts w:ascii="Arial" w:cs="Arial" w:eastAsia="Arial" w:hAnsi="Arial"/>
          <w:sz w:val="18"/>
          <w:szCs w:val="18"/>
          <w:color w:val="212121"/>
        </w:rPr>
        <w:t>to</w:t>
      </w:r>
      <w:r>
        <w:rPr>
          <w:rFonts w:ascii="Arial" w:cs="Arial" w:eastAsia="Arial" w:hAnsi="Arial"/>
          <w:sz w:val="18"/>
          <w:szCs w:val="18"/>
          <w:color w:val="1A1A1A"/>
        </w:rPr>
        <w:t xml:space="preserve"> </w:t>
      </w:r>
      <w:r>
        <w:rPr>
          <w:rFonts w:ascii="Arial" w:cs="Arial" w:eastAsia="Arial" w:hAnsi="Arial"/>
          <w:sz w:val="18"/>
          <w:szCs w:val="18"/>
          <w:color w:val="151515"/>
        </w:rPr>
        <w:t xml:space="preserve">hear </w:t>
      </w:r>
      <w:r>
        <w:rPr>
          <w:rFonts w:ascii="Arial" w:cs="Arial" w:eastAsia="Arial" w:hAnsi="Arial"/>
          <w:sz w:val="18"/>
          <w:szCs w:val="18"/>
          <w:color w:val="1A1A1A"/>
        </w:rPr>
        <w:t>appeals</w:t>
      </w:r>
      <w:r>
        <w:rPr>
          <w:rFonts w:ascii="Arial" w:cs="Arial" w:eastAsia="Arial" w:hAnsi="Arial"/>
          <w:sz w:val="18"/>
          <w:szCs w:val="18"/>
          <w:color w:val="151515"/>
        </w:rPr>
        <w:t xml:space="preserve"> </w:t>
      </w:r>
      <w:r>
        <w:rPr>
          <w:rFonts w:ascii="Arial" w:cs="Arial" w:eastAsia="Arial" w:hAnsi="Arial"/>
          <w:sz w:val="18"/>
          <w:szCs w:val="18"/>
          <w:color w:val="1F1F1F"/>
        </w:rPr>
        <w:t>from those</w:t>
      </w:r>
      <w:r>
        <w:rPr>
          <w:rFonts w:ascii="Arial" w:cs="Arial" w:eastAsia="Arial" w:hAnsi="Arial"/>
          <w:sz w:val="18"/>
          <w:szCs w:val="18"/>
          <w:color w:val="151515"/>
        </w:rPr>
        <w:t xml:space="preserve"> </w:t>
      </w:r>
      <w:r>
        <w:rPr>
          <w:rFonts w:ascii="Arial" w:cs="Arial" w:eastAsia="Arial" w:hAnsi="Arial"/>
          <w:sz w:val="18"/>
          <w:szCs w:val="18"/>
          <w:color w:val="232323"/>
        </w:rPr>
        <w:t>courts.</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1F1F1F"/>
        </w:rPr>
        <w:t>11.9</w:t>
      </w:r>
      <w:r>
        <w:rPr>
          <w:sz w:val="20"/>
          <w:szCs w:val="20"/>
          <w:color w:val="auto"/>
        </w:rPr>
        <w:tab/>
      </w:r>
      <w:r>
        <w:rPr>
          <w:rFonts w:ascii="Arial" w:cs="Arial" w:eastAsia="Arial" w:hAnsi="Arial"/>
          <w:sz w:val="17"/>
          <w:szCs w:val="17"/>
          <w:b w:val="1"/>
          <w:bCs w:val="1"/>
          <w:color w:val="1A1A1A"/>
        </w:rPr>
        <w:t>Severability</w:t>
      </w:r>
    </w:p>
    <w:p>
      <w:pPr>
        <w:spacing w:after="0" w:line="220" w:lineRule="exact"/>
        <w:rPr>
          <w:sz w:val="20"/>
          <w:szCs w:val="20"/>
          <w:color w:val="auto"/>
        </w:rPr>
      </w:pPr>
    </w:p>
    <w:p>
      <w:pPr>
        <w:ind w:left="1300" w:right="920" w:hanging="644"/>
        <w:spacing w:after="0" w:line="246" w:lineRule="auto"/>
        <w:tabs>
          <w:tab w:leader="none" w:pos="1300" w:val="left"/>
        </w:tabs>
        <w:numPr>
          <w:ilvl w:val="0"/>
          <w:numId w:val="204"/>
        </w:numPr>
        <w:rPr>
          <w:rFonts w:ascii="Arial" w:cs="Arial" w:eastAsia="Arial" w:hAnsi="Arial"/>
          <w:sz w:val="18"/>
          <w:szCs w:val="18"/>
          <w:color w:val="282828"/>
        </w:rPr>
      </w:pPr>
      <w:r>
        <w:rPr>
          <w:rFonts w:ascii="Arial" w:cs="Arial" w:eastAsia="Arial" w:hAnsi="Arial"/>
          <w:sz w:val="18"/>
          <w:szCs w:val="18"/>
          <w:color w:val="232323"/>
        </w:rPr>
        <w:t xml:space="preserve">A </w:t>
      </w:r>
      <w:r>
        <w:rPr>
          <w:rFonts w:ascii="Arial" w:cs="Arial" w:eastAsia="Arial" w:hAnsi="Arial"/>
          <w:sz w:val="18"/>
          <w:szCs w:val="18"/>
          <w:color w:val="1A1A1A"/>
        </w:rPr>
        <w:t>clause</w:t>
      </w:r>
      <w:r>
        <w:rPr>
          <w:rFonts w:ascii="Arial" w:cs="Arial" w:eastAsia="Arial" w:hAnsi="Arial"/>
          <w:sz w:val="18"/>
          <w:szCs w:val="18"/>
          <w:color w:val="232323"/>
        </w:rPr>
        <w:t xml:space="preserve"> </w:t>
      </w:r>
      <w:r>
        <w:rPr>
          <w:rFonts w:ascii="Arial" w:cs="Arial" w:eastAsia="Arial" w:hAnsi="Arial"/>
          <w:sz w:val="18"/>
          <w:szCs w:val="18"/>
          <w:color w:val="282828"/>
        </w:rPr>
        <w:t>or</w:t>
      </w:r>
      <w:r>
        <w:rPr>
          <w:rFonts w:ascii="Arial" w:cs="Arial" w:eastAsia="Arial" w:hAnsi="Arial"/>
          <w:sz w:val="18"/>
          <w:szCs w:val="18"/>
          <w:color w:val="232323"/>
        </w:rPr>
        <w:t xml:space="preserve"> </w:t>
      </w:r>
      <w:r>
        <w:rPr>
          <w:rFonts w:ascii="Arial" w:cs="Arial" w:eastAsia="Arial" w:hAnsi="Arial"/>
          <w:sz w:val="18"/>
          <w:szCs w:val="18"/>
          <w:color w:val="242424"/>
        </w:rPr>
        <w:t>part</w:t>
      </w:r>
      <w:r>
        <w:rPr>
          <w:rFonts w:ascii="Arial" w:cs="Arial" w:eastAsia="Arial" w:hAnsi="Arial"/>
          <w:sz w:val="18"/>
          <w:szCs w:val="18"/>
          <w:color w:val="232323"/>
        </w:rPr>
        <w:t xml:space="preserve"> </w:t>
      </w:r>
      <w:r>
        <w:rPr>
          <w:rFonts w:ascii="Arial" w:cs="Arial" w:eastAsia="Arial" w:hAnsi="Arial"/>
          <w:sz w:val="18"/>
          <w:szCs w:val="18"/>
          <w:color w:val="262626"/>
        </w:rPr>
        <w:t>of</w:t>
      </w:r>
      <w:r>
        <w:rPr>
          <w:rFonts w:ascii="Arial" w:cs="Arial" w:eastAsia="Arial" w:hAnsi="Arial"/>
          <w:sz w:val="18"/>
          <w:szCs w:val="18"/>
          <w:color w:val="232323"/>
        </w:rPr>
        <w:t xml:space="preserve"> </w:t>
      </w:r>
      <w:r>
        <w:rPr>
          <w:rFonts w:ascii="Arial" w:cs="Arial" w:eastAsia="Arial" w:hAnsi="Arial"/>
          <w:sz w:val="18"/>
          <w:szCs w:val="18"/>
          <w:color w:val="282828"/>
        </w:rPr>
        <w:t>a</w:t>
      </w:r>
      <w:r>
        <w:rPr>
          <w:rFonts w:ascii="Arial" w:cs="Arial" w:eastAsia="Arial" w:hAnsi="Arial"/>
          <w:sz w:val="18"/>
          <w:szCs w:val="18"/>
          <w:color w:val="232323"/>
        </w:rPr>
        <w:t xml:space="preserve"> </w:t>
      </w:r>
      <w:r>
        <w:rPr>
          <w:rFonts w:ascii="Arial" w:cs="Arial" w:eastAsia="Arial" w:hAnsi="Arial"/>
          <w:sz w:val="18"/>
          <w:szCs w:val="18"/>
          <w:color w:val="1D1D1D"/>
        </w:rPr>
        <w:t>clause</w:t>
      </w:r>
      <w:r>
        <w:rPr>
          <w:rFonts w:ascii="Arial" w:cs="Arial" w:eastAsia="Arial" w:hAnsi="Arial"/>
          <w:sz w:val="18"/>
          <w:szCs w:val="18"/>
          <w:color w:val="232323"/>
        </w:rPr>
        <w:t xml:space="preserve"> </w:t>
      </w:r>
      <w:r>
        <w:rPr>
          <w:rFonts w:ascii="Arial" w:cs="Arial" w:eastAsia="Arial" w:hAnsi="Arial"/>
          <w:sz w:val="18"/>
          <w:szCs w:val="18"/>
          <w:color w:val="212121"/>
        </w:rPr>
        <w:t>of</w:t>
      </w:r>
      <w:r>
        <w:rPr>
          <w:rFonts w:ascii="Arial" w:cs="Arial" w:eastAsia="Arial" w:hAnsi="Arial"/>
          <w:sz w:val="18"/>
          <w:szCs w:val="18"/>
          <w:color w:val="232323"/>
        </w:rPr>
        <w:t xml:space="preserve"> </w:t>
      </w:r>
      <w:r>
        <w:rPr>
          <w:rFonts w:ascii="Arial" w:cs="Arial" w:eastAsia="Arial" w:hAnsi="Arial"/>
          <w:sz w:val="18"/>
          <w:szCs w:val="18"/>
          <w:color w:val="1F1F1F"/>
        </w:rPr>
        <w:t>this</w:t>
      </w:r>
      <w:r>
        <w:rPr>
          <w:rFonts w:ascii="Arial" w:cs="Arial" w:eastAsia="Arial" w:hAnsi="Arial"/>
          <w:sz w:val="18"/>
          <w:szCs w:val="18"/>
          <w:color w:val="232323"/>
        </w:rPr>
        <w:t xml:space="preserve"> document </w:t>
      </w:r>
      <w:r>
        <w:rPr>
          <w:rFonts w:ascii="Arial" w:cs="Arial" w:eastAsia="Arial" w:hAnsi="Arial"/>
          <w:sz w:val="18"/>
          <w:szCs w:val="18"/>
          <w:color w:val="131313"/>
        </w:rPr>
        <w:t>that</w:t>
      </w:r>
      <w:r>
        <w:rPr>
          <w:rFonts w:ascii="Arial" w:cs="Arial" w:eastAsia="Arial" w:hAnsi="Arial"/>
          <w:sz w:val="18"/>
          <w:szCs w:val="18"/>
          <w:color w:val="232323"/>
        </w:rPr>
        <w:t xml:space="preserve"> </w:t>
      </w:r>
      <w:r>
        <w:rPr>
          <w:rFonts w:ascii="Arial" w:cs="Arial" w:eastAsia="Arial" w:hAnsi="Arial"/>
          <w:sz w:val="18"/>
          <w:szCs w:val="18"/>
          <w:color w:val="262626"/>
        </w:rPr>
        <w:t>is</w:t>
      </w:r>
      <w:r>
        <w:rPr>
          <w:rFonts w:ascii="Arial" w:cs="Arial" w:eastAsia="Arial" w:hAnsi="Arial"/>
          <w:sz w:val="18"/>
          <w:szCs w:val="18"/>
          <w:color w:val="232323"/>
        </w:rPr>
        <w:t xml:space="preserve"> </w:t>
      </w:r>
      <w:r>
        <w:rPr>
          <w:rFonts w:ascii="Arial" w:cs="Arial" w:eastAsia="Arial" w:hAnsi="Arial"/>
          <w:sz w:val="18"/>
          <w:szCs w:val="18"/>
          <w:color w:val="1A1A1A"/>
        </w:rPr>
        <w:t>illegal</w:t>
      </w:r>
      <w:r>
        <w:rPr>
          <w:rFonts w:ascii="Arial" w:cs="Arial" w:eastAsia="Arial" w:hAnsi="Arial"/>
          <w:sz w:val="18"/>
          <w:szCs w:val="18"/>
          <w:color w:val="232323"/>
        </w:rPr>
        <w:t xml:space="preserve"> </w:t>
      </w:r>
      <w:r>
        <w:rPr>
          <w:rFonts w:ascii="Arial" w:cs="Arial" w:eastAsia="Arial" w:hAnsi="Arial"/>
          <w:sz w:val="18"/>
          <w:szCs w:val="18"/>
          <w:color w:val="2A2A2A"/>
        </w:rPr>
        <w:t>or</w:t>
      </w:r>
      <w:r>
        <w:rPr>
          <w:rFonts w:ascii="Arial" w:cs="Arial" w:eastAsia="Arial" w:hAnsi="Arial"/>
          <w:sz w:val="18"/>
          <w:szCs w:val="18"/>
          <w:color w:val="232323"/>
        </w:rPr>
        <w:t xml:space="preserve"> </w:t>
      </w:r>
      <w:r>
        <w:rPr>
          <w:rFonts w:ascii="Arial" w:cs="Arial" w:eastAsia="Arial" w:hAnsi="Arial"/>
          <w:sz w:val="18"/>
          <w:szCs w:val="18"/>
          <w:color w:val="1F1F1F"/>
        </w:rPr>
        <w:t>unenforceable</w:t>
      </w:r>
      <w:r>
        <w:rPr>
          <w:rFonts w:ascii="Arial" w:cs="Arial" w:eastAsia="Arial" w:hAnsi="Arial"/>
          <w:sz w:val="18"/>
          <w:szCs w:val="18"/>
          <w:color w:val="232323"/>
        </w:rPr>
        <w:t xml:space="preserve"> </w:t>
      </w:r>
      <w:r>
        <w:rPr>
          <w:rFonts w:ascii="Arial" w:cs="Arial" w:eastAsia="Arial" w:hAnsi="Arial"/>
          <w:sz w:val="18"/>
          <w:szCs w:val="18"/>
          <w:color w:val="1A1A1A"/>
        </w:rPr>
        <w:t>may</w:t>
      </w:r>
      <w:r>
        <w:rPr>
          <w:rFonts w:ascii="Arial" w:cs="Arial" w:eastAsia="Arial" w:hAnsi="Arial"/>
          <w:sz w:val="18"/>
          <w:szCs w:val="18"/>
          <w:color w:val="232323"/>
        </w:rPr>
        <w:t xml:space="preserve"> be </w:t>
      </w:r>
      <w:r>
        <w:rPr>
          <w:rFonts w:ascii="Arial" w:cs="Arial" w:eastAsia="Arial" w:hAnsi="Arial"/>
          <w:sz w:val="18"/>
          <w:szCs w:val="18"/>
          <w:color w:val="1A1A1A"/>
        </w:rPr>
        <w:t>severed</w:t>
      </w:r>
      <w:r>
        <w:rPr>
          <w:rFonts w:ascii="Arial" w:cs="Arial" w:eastAsia="Arial" w:hAnsi="Arial"/>
          <w:sz w:val="18"/>
          <w:szCs w:val="18"/>
          <w:color w:val="232323"/>
        </w:rPr>
        <w:t xml:space="preserve"> </w:t>
      </w:r>
      <w:r>
        <w:rPr>
          <w:rFonts w:ascii="Arial" w:cs="Arial" w:eastAsia="Arial" w:hAnsi="Arial"/>
          <w:sz w:val="18"/>
          <w:szCs w:val="18"/>
          <w:color w:val="212121"/>
        </w:rPr>
        <w:t>from</w:t>
      </w:r>
      <w:r>
        <w:rPr>
          <w:rFonts w:ascii="Arial" w:cs="Arial" w:eastAsia="Arial" w:hAnsi="Arial"/>
          <w:sz w:val="18"/>
          <w:szCs w:val="18"/>
          <w:color w:val="232323"/>
        </w:rPr>
        <w:t xml:space="preserve"> </w:t>
      </w:r>
      <w:r>
        <w:rPr>
          <w:rFonts w:ascii="Arial" w:cs="Arial" w:eastAsia="Arial" w:hAnsi="Arial"/>
          <w:sz w:val="18"/>
          <w:szCs w:val="18"/>
          <w:color w:val="1D1D1D"/>
        </w:rPr>
        <w:t>this</w:t>
      </w:r>
      <w:r>
        <w:rPr>
          <w:rFonts w:ascii="Arial" w:cs="Arial" w:eastAsia="Arial" w:hAnsi="Arial"/>
          <w:sz w:val="18"/>
          <w:szCs w:val="18"/>
          <w:color w:val="232323"/>
        </w:rPr>
        <w:t xml:space="preserve"> </w:t>
      </w:r>
      <w:r>
        <w:rPr>
          <w:rFonts w:ascii="Arial" w:cs="Arial" w:eastAsia="Arial" w:hAnsi="Arial"/>
          <w:sz w:val="18"/>
          <w:szCs w:val="18"/>
          <w:color w:val="1C1C1C"/>
        </w:rPr>
        <w:t>document</w:t>
      </w:r>
      <w:r>
        <w:rPr>
          <w:rFonts w:ascii="Arial" w:cs="Arial" w:eastAsia="Arial" w:hAnsi="Arial"/>
          <w:sz w:val="18"/>
          <w:szCs w:val="18"/>
          <w:color w:val="232323"/>
        </w:rPr>
        <w:t xml:space="preserve"> </w:t>
      </w:r>
      <w:r>
        <w:rPr>
          <w:rFonts w:ascii="Arial" w:cs="Arial" w:eastAsia="Arial" w:hAnsi="Arial"/>
          <w:sz w:val="18"/>
          <w:szCs w:val="18"/>
          <w:color w:val="282828"/>
        </w:rPr>
        <w:t xml:space="preserve">and </w:t>
      </w:r>
      <w:r>
        <w:rPr>
          <w:rFonts w:ascii="Arial" w:cs="Arial" w:eastAsia="Arial" w:hAnsi="Arial"/>
          <w:sz w:val="18"/>
          <w:szCs w:val="18"/>
          <w:color w:val="1F1F1F"/>
        </w:rPr>
        <w:t>the</w:t>
      </w:r>
      <w:r>
        <w:rPr>
          <w:rFonts w:ascii="Arial" w:cs="Arial" w:eastAsia="Arial" w:hAnsi="Arial"/>
          <w:sz w:val="18"/>
          <w:szCs w:val="18"/>
          <w:color w:val="282828"/>
        </w:rPr>
        <w:t xml:space="preserve"> </w:t>
      </w:r>
      <w:r>
        <w:rPr>
          <w:rFonts w:ascii="Arial" w:cs="Arial" w:eastAsia="Arial" w:hAnsi="Arial"/>
          <w:sz w:val="18"/>
          <w:szCs w:val="18"/>
          <w:color w:val="262626"/>
        </w:rPr>
        <w:t>remaining</w:t>
      </w:r>
      <w:r>
        <w:rPr>
          <w:rFonts w:ascii="Arial" w:cs="Arial" w:eastAsia="Arial" w:hAnsi="Arial"/>
          <w:sz w:val="18"/>
          <w:szCs w:val="18"/>
          <w:color w:val="282828"/>
        </w:rPr>
        <w:t xml:space="preserve"> </w:t>
      </w:r>
      <w:r>
        <w:rPr>
          <w:rFonts w:ascii="Arial" w:cs="Arial" w:eastAsia="Arial" w:hAnsi="Arial"/>
          <w:sz w:val="18"/>
          <w:szCs w:val="18"/>
          <w:color w:val="212121"/>
        </w:rPr>
        <w:t>clauses</w:t>
      </w:r>
      <w:r>
        <w:rPr>
          <w:rFonts w:ascii="Arial" w:cs="Arial" w:eastAsia="Arial" w:hAnsi="Arial"/>
          <w:sz w:val="18"/>
          <w:szCs w:val="18"/>
          <w:color w:val="282828"/>
        </w:rPr>
        <w:t xml:space="preserve"> </w:t>
      </w:r>
      <w:r>
        <w:rPr>
          <w:rFonts w:ascii="Arial" w:cs="Arial" w:eastAsia="Arial" w:hAnsi="Arial"/>
          <w:sz w:val="18"/>
          <w:szCs w:val="18"/>
          <w:color w:val="242424"/>
        </w:rPr>
        <w:t>or</w:t>
      </w:r>
      <w:r>
        <w:rPr>
          <w:rFonts w:ascii="Arial" w:cs="Arial" w:eastAsia="Arial" w:hAnsi="Arial"/>
          <w:sz w:val="18"/>
          <w:szCs w:val="18"/>
          <w:color w:val="282828"/>
        </w:rPr>
        <w:t xml:space="preserve"> </w:t>
      </w:r>
      <w:r>
        <w:rPr>
          <w:rFonts w:ascii="Arial" w:cs="Arial" w:eastAsia="Arial" w:hAnsi="Arial"/>
          <w:sz w:val="18"/>
          <w:szCs w:val="18"/>
          <w:color w:val="232323"/>
        </w:rPr>
        <w:t>parts</w:t>
      </w:r>
      <w:r>
        <w:rPr>
          <w:rFonts w:ascii="Arial" w:cs="Arial" w:eastAsia="Arial" w:hAnsi="Arial"/>
          <w:sz w:val="18"/>
          <w:szCs w:val="18"/>
          <w:color w:val="282828"/>
        </w:rPr>
        <w:t xml:space="preserve"> </w:t>
      </w:r>
      <w:r>
        <w:rPr>
          <w:rFonts w:ascii="Arial" w:cs="Arial" w:eastAsia="Arial" w:hAnsi="Arial"/>
          <w:sz w:val="18"/>
          <w:szCs w:val="18"/>
          <w:color w:val="242424"/>
        </w:rPr>
        <w:t>of</w:t>
      </w:r>
      <w:r>
        <w:rPr>
          <w:rFonts w:ascii="Arial" w:cs="Arial" w:eastAsia="Arial" w:hAnsi="Arial"/>
          <w:sz w:val="18"/>
          <w:szCs w:val="18"/>
          <w:color w:val="282828"/>
        </w:rPr>
        <w:t xml:space="preserve"> </w:t>
      </w:r>
      <w:r>
        <w:rPr>
          <w:rFonts w:ascii="Arial" w:cs="Arial" w:eastAsia="Arial" w:hAnsi="Arial"/>
          <w:sz w:val="18"/>
          <w:szCs w:val="18"/>
          <w:color w:val="232323"/>
        </w:rPr>
        <w:t>the</w:t>
      </w:r>
      <w:r>
        <w:rPr>
          <w:rFonts w:ascii="Arial" w:cs="Arial" w:eastAsia="Arial" w:hAnsi="Arial"/>
          <w:sz w:val="18"/>
          <w:szCs w:val="18"/>
          <w:color w:val="282828"/>
        </w:rPr>
        <w:t xml:space="preserve"> </w:t>
      </w:r>
      <w:r>
        <w:rPr>
          <w:rFonts w:ascii="Arial" w:cs="Arial" w:eastAsia="Arial" w:hAnsi="Arial"/>
          <w:sz w:val="18"/>
          <w:szCs w:val="18"/>
          <w:color w:val="1D1D1D"/>
        </w:rPr>
        <w:t>clause</w:t>
      </w:r>
      <w:r>
        <w:rPr>
          <w:rFonts w:ascii="Arial" w:cs="Arial" w:eastAsia="Arial" w:hAnsi="Arial"/>
          <w:sz w:val="18"/>
          <w:szCs w:val="18"/>
          <w:color w:val="282828"/>
        </w:rPr>
        <w:t xml:space="preserve"> </w:t>
      </w:r>
      <w:r>
        <w:rPr>
          <w:rFonts w:ascii="Arial" w:cs="Arial" w:eastAsia="Arial" w:hAnsi="Arial"/>
          <w:sz w:val="18"/>
          <w:szCs w:val="18"/>
          <w:color w:val="2A2A2A"/>
        </w:rPr>
        <w:t>of</w:t>
      </w:r>
      <w:r>
        <w:rPr>
          <w:rFonts w:ascii="Arial" w:cs="Arial" w:eastAsia="Arial" w:hAnsi="Arial"/>
          <w:sz w:val="18"/>
          <w:szCs w:val="18"/>
          <w:color w:val="282828"/>
        </w:rPr>
        <w:t xml:space="preserve"> this </w:t>
      </w:r>
      <w:r>
        <w:rPr>
          <w:rFonts w:ascii="Arial" w:cs="Arial" w:eastAsia="Arial" w:hAnsi="Arial"/>
          <w:sz w:val="18"/>
          <w:szCs w:val="18"/>
          <w:color w:val="1A1A1A"/>
        </w:rPr>
        <w:t>document</w:t>
      </w:r>
      <w:r>
        <w:rPr>
          <w:rFonts w:ascii="Arial" w:cs="Arial" w:eastAsia="Arial" w:hAnsi="Arial"/>
          <w:sz w:val="18"/>
          <w:szCs w:val="18"/>
          <w:color w:val="282828"/>
        </w:rPr>
        <w:t xml:space="preserve"> </w:t>
      </w:r>
      <w:r>
        <w:rPr>
          <w:rFonts w:ascii="Arial" w:cs="Arial" w:eastAsia="Arial" w:hAnsi="Arial"/>
          <w:sz w:val="18"/>
          <w:szCs w:val="18"/>
          <w:color w:val="1D1D1D"/>
        </w:rPr>
        <w:t>continue</w:t>
      </w:r>
      <w:r>
        <w:rPr>
          <w:rFonts w:ascii="Arial" w:cs="Arial" w:eastAsia="Arial" w:hAnsi="Arial"/>
          <w:sz w:val="18"/>
          <w:szCs w:val="18"/>
          <w:color w:val="282828"/>
        </w:rPr>
        <w:t xml:space="preserve"> </w:t>
      </w:r>
      <w:r>
        <w:rPr>
          <w:rFonts w:ascii="Arial" w:cs="Arial" w:eastAsia="Arial" w:hAnsi="Arial"/>
          <w:sz w:val="18"/>
          <w:szCs w:val="18"/>
          <w:color w:val="212121"/>
        </w:rPr>
        <w:t>in</w:t>
      </w:r>
      <w:r>
        <w:rPr>
          <w:rFonts w:ascii="Arial" w:cs="Arial" w:eastAsia="Arial" w:hAnsi="Arial"/>
          <w:sz w:val="18"/>
          <w:szCs w:val="18"/>
          <w:color w:val="282828"/>
        </w:rPr>
        <w:t xml:space="preserve"> </w:t>
      </w:r>
      <w:r>
        <w:rPr>
          <w:rFonts w:ascii="Arial" w:cs="Arial" w:eastAsia="Arial" w:hAnsi="Arial"/>
          <w:sz w:val="18"/>
          <w:szCs w:val="18"/>
          <w:color w:val="1C1C1C"/>
        </w:rPr>
        <w:t>force.</w:t>
      </w:r>
    </w:p>
    <w:p>
      <w:pPr>
        <w:spacing w:after="0" w:line="183" w:lineRule="exact"/>
        <w:rPr>
          <w:rFonts w:ascii="Arial" w:cs="Arial" w:eastAsia="Arial" w:hAnsi="Arial"/>
          <w:sz w:val="18"/>
          <w:szCs w:val="18"/>
          <w:color w:val="282828"/>
        </w:rPr>
      </w:pPr>
    </w:p>
    <w:p>
      <w:pPr>
        <w:ind w:left="1300" w:right="600" w:hanging="644"/>
        <w:spacing w:after="0" w:line="246" w:lineRule="auto"/>
        <w:tabs>
          <w:tab w:leader="none" w:pos="1300" w:val="left"/>
        </w:tabs>
        <w:numPr>
          <w:ilvl w:val="0"/>
          <w:numId w:val="204"/>
        </w:numPr>
        <w:rPr>
          <w:rFonts w:ascii="Arial" w:cs="Arial" w:eastAsia="Arial" w:hAnsi="Arial"/>
          <w:sz w:val="18"/>
          <w:szCs w:val="18"/>
          <w:color w:val="2B2B2B"/>
        </w:rPr>
      </w:pPr>
      <w:r>
        <w:rPr>
          <w:rFonts w:ascii="Arial" w:cs="Arial" w:eastAsia="Arial" w:hAnsi="Arial"/>
          <w:sz w:val="18"/>
          <w:szCs w:val="18"/>
          <w:color w:val="212121"/>
        </w:rPr>
        <w:t xml:space="preserve">If </w:t>
      </w:r>
      <w:r>
        <w:rPr>
          <w:rFonts w:ascii="Arial" w:cs="Arial" w:eastAsia="Arial" w:hAnsi="Arial"/>
          <w:sz w:val="18"/>
          <w:szCs w:val="18"/>
          <w:color w:val="232323"/>
        </w:rPr>
        <w:t>any</w:t>
      </w:r>
      <w:r>
        <w:rPr>
          <w:rFonts w:ascii="Arial" w:cs="Arial" w:eastAsia="Arial" w:hAnsi="Arial"/>
          <w:sz w:val="18"/>
          <w:szCs w:val="18"/>
          <w:color w:val="212121"/>
        </w:rPr>
        <w:t xml:space="preserve"> </w:t>
      </w:r>
      <w:r>
        <w:rPr>
          <w:rFonts w:ascii="Arial" w:cs="Arial" w:eastAsia="Arial" w:hAnsi="Arial"/>
          <w:sz w:val="18"/>
          <w:szCs w:val="18"/>
          <w:color w:val="1F1F1F"/>
        </w:rPr>
        <w:t>provision</w:t>
      </w:r>
      <w:r>
        <w:rPr>
          <w:rFonts w:ascii="Arial" w:cs="Arial" w:eastAsia="Arial" w:hAnsi="Arial"/>
          <w:sz w:val="18"/>
          <w:szCs w:val="18"/>
          <w:color w:val="212121"/>
        </w:rPr>
        <w:t xml:space="preserve"> </w:t>
      </w:r>
      <w:r>
        <w:rPr>
          <w:rFonts w:ascii="Arial" w:cs="Arial" w:eastAsia="Arial" w:hAnsi="Arial"/>
          <w:sz w:val="18"/>
          <w:szCs w:val="18"/>
          <w:color w:val="232323"/>
        </w:rPr>
        <w:t>is</w:t>
      </w:r>
      <w:r>
        <w:rPr>
          <w:rFonts w:ascii="Arial" w:cs="Arial" w:eastAsia="Arial" w:hAnsi="Arial"/>
          <w:sz w:val="18"/>
          <w:szCs w:val="18"/>
          <w:color w:val="212121"/>
        </w:rPr>
        <w:t xml:space="preserve"> or </w:t>
      </w:r>
      <w:r>
        <w:rPr>
          <w:rFonts w:ascii="Arial" w:cs="Arial" w:eastAsia="Arial" w:hAnsi="Arial"/>
          <w:sz w:val="18"/>
          <w:szCs w:val="18"/>
          <w:color w:val="1C1C1C"/>
        </w:rPr>
        <w:t>becomes</w:t>
      </w:r>
      <w:r>
        <w:rPr>
          <w:rFonts w:ascii="Arial" w:cs="Arial" w:eastAsia="Arial" w:hAnsi="Arial"/>
          <w:sz w:val="18"/>
          <w:szCs w:val="18"/>
          <w:color w:val="212121"/>
        </w:rPr>
        <w:t xml:space="preserve"> </w:t>
      </w:r>
      <w:r>
        <w:rPr>
          <w:rFonts w:ascii="Arial" w:cs="Arial" w:eastAsia="Arial" w:hAnsi="Arial"/>
          <w:sz w:val="18"/>
          <w:szCs w:val="18"/>
          <w:color w:val="1A1A1A"/>
        </w:rPr>
        <w:t>illegal,</w:t>
      </w:r>
      <w:r>
        <w:rPr>
          <w:rFonts w:ascii="Arial" w:cs="Arial" w:eastAsia="Arial" w:hAnsi="Arial"/>
          <w:sz w:val="18"/>
          <w:szCs w:val="18"/>
          <w:color w:val="212121"/>
        </w:rPr>
        <w:t xml:space="preserve"> </w:t>
      </w:r>
      <w:r>
        <w:rPr>
          <w:rFonts w:ascii="Arial" w:cs="Arial" w:eastAsia="Arial" w:hAnsi="Arial"/>
          <w:sz w:val="18"/>
          <w:szCs w:val="18"/>
          <w:color w:val="1C1C1C"/>
        </w:rPr>
        <w:t>unenforceable</w:t>
      </w:r>
      <w:r>
        <w:rPr>
          <w:rFonts w:ascii="Arial" w:cs="Arial" w:eastAsia="Arial" w:hAnsi="Arial"/>
          <w:sz w:val="18"/>
          <w:szCs w:val="18"/>
          <w:color w:val="212121"/>
        </w:rPr>
        <w:t xml:space="preserve"> </w:t>
      </w:r>
      <w:r>
        <w:rPr>
          <w:rFonts w:ascii="Arial" w:cs="Arial" w:eastAsia="Arial" w:hAnsi="Arial"/>
          <w:sz w:val="18"/>
          <w:szCs w:val="18"/>
          <w:color w:val="232323"/>
        </w:rPr>
        <w:t>or</w:t>
      </w:r>
      <w:r>
        <w:rPr>
          <w:rFonts w:ascii="Arial" w:cs="Arial" w:eastAsia="Arial" w:hAnsi="Arial"/>
          <w:sz w:val="18"/>
          <w:szCs w:val="18"/>
          <w:color w:val="212121"/>
        </w:rPr>
        <w:t xml:space="preserve"> invalid </w:t>
      </w:r>
      <w:r>
        <w:rPr>
          <w:rFonts w:ascii="Arial" w:cs="Arial" w:eastAsia="Arial" w:hAnsi="Arial"/>
          <w:sz w:val="18"/>
          <w:szCs w:val="18"/>
          <w:color w:val="242424"/>
        </w:rPr>
        <w:t>in</w:t>
      </w:r>
      <w:r>
        <w:rPr>
          <w:rFonts w:ascii="Arial" w:cs="Arial" w:eastAsia="Arial" w:hAnsi="Arial"/>
          <w:sz w:val="18"/>
          <w:szCs w:val="18"/>
          <w:color w:val="212121"/>
        </w:rPr>
        <w:t xml:space="preserve"> </w:t>
      </w:r>
      <w:r>
        <w:rPr>
          <w:rFonts w:ascii="Arial" w:cs="Arial" w:eastAsia="Arial" w:hAnsi="Arial"/>
          <w:sz w:val="18"/>
          <w:szCs w:val="18"/>
          <w:color w:val="262626"/>
        </w:rPr>
        <w:t>any</w:t>
      </w:r>
      <w:r>
        <w:rPr>
          <w:rFonts w:ascii="Arial" w:cs="Arial" w:eastAsia="Arial" w:hAnsi="Arial"/>
          <w:sz w:val="18"/>
          <w:szCs w:val="18"/>
          <w:color w:val="212121"/>
        </w:rPr>
        <w:t xml:space="preserve"> </w:t>
      </w:r>
      <w:r>
        <w:rPr>
          <w:rFonts w:ascii="Arial" w:cs="Arial" w:eastAsia="Arial" w:hAnsi="Arial"/>
          <w:sz w:val="18"/>
          <w:szCs w:val="18"/>
          <w:color w:val="131313"/>
        </w:rPr>
        <w:t>jurisdiction,</w:t>
      </w:r>
      <w:r>
        <w:rPr>
          <w:rFonts w:ascii="Arial" w:cs="Arial" w:eastAsia="Arial" w:hAnsi="Arial"/>
          <w:sz w:val="18"/>
          <w:szCs w:val="18"/>
          <w:color w:val="212121"/>
        </w:rPr>
        <w:t xml:space="preserve"> </w:t>
      </w:r>
      <w:r>
        <w:rPr>
          <w:rFonts w:ascii="Arial" w:cs="Arial" w:eastAsia="Arial" w:hAnsi="Arial"/>
          <w:sz w:val="18"/>
          <w:szCs w:val="18"/>
          <w:color w:val="2B2B2B"/>
        </w:rPr>
        <w:t>it</w:t>
      </w:r>
      <w:r>
        <w:rPr>
          <w:rFonts w:ascii="Arial" w:cs="Arial" w:eastAsia="Arial" w:hAnsi="Arial"/>
          <w:sz w:val="18"/>
          <w:szCs w:val="18"/>
          <w:color w:val="212121"/>
        </w:rPr>
        <w:t xml:space="preserve"> </w:t>
      </w:r>
      <w:r>
        <w:rPr>
          <w:rFonts w:ascii="Arial" w:cs="Arial" w:eastAsia="Arial" w:hAnsi="Arial"/>
          <w:sz w:val="18"/>
          <w:szCs w:val="18"/>
          <w:color w:val="1F1F1F"/>
        </w:rPr>
        <w:t>is</w:t>
      </w:r>
      <w:r>
        <w:rPr>
          <w:rFonts w:ascii="Arial" w:cs="Arial" w:eastAsia="Arial" w:hAnsi="Arial"/>
          <w:sz w:val="18"/>
          <w:szCs w:val="18"/>
          <w:color w:val="212121"/>
        </w:rPr>
        <w:t xml:space="preserve"> to </w:t>
      </w:r>
      <w:r>
        <w:rPr>
          <w:rFonts w:ascii="Arial" w:cs="Arial" w:eastAsia="Arial" w:hAnsi="Arial"/>
          <w:sz w:val="18"/>
          <w:szCs w:val="18"/>
          <w:color w:val="232323"/>
        </w:rPr>
        <w:t>be</w:t>
      </w:r>
      <w:r>
        <w:rPr>
          <w:rFonts w:ascii="Arial" w:cs="Arial" w:eastAsia="Arial" w:hAnsi="Arial"/>
          <w:sz w:val="18"/>
          <w:szCs w:val="18"/>
          <w:color w:val="212121"/>
        </w:rPr>
        <w:t xml:space="preserve"> </w:t>
      </w:r>
      <w:r>
        <w:rPr>
          <w:rFonts w:ascii="Arial" w:cs="Arial" w:eastAsia="Arial" w:hAnsi="Arial"/>
          <w:sz w:val="18"/>
          <w:szCs w:val="18"/>
          <w:color w:val="1A1A1A"/>
        </w:rPr>
        <w:t>treated</w:t>
      </w:r>
      <w:r>
        <w:rPr>
          <w:rFonts w:ascii="Arial" w:cs="Arial" w:eastAsia="Arial" w:hAnsi="Arial"/>
          <w:sz w:val="18"/>
          <w:szCs w:val="18"/>
          <w:color w:val="212121"/>
        </w:rPr>
        <w:t xml:space="preserve"> as </w:t>
      </w:r>
      <w:r>
        <w:rPr>
          <w:rFonts w:ascii="Arial" w:cs="Arial" w:eastAsia="Arial" w:hAnsi="Arial"/>
          <w:sz w:val="18"/>
          <w:szCs w:val="18"/>
          <w:color w:val="1D1D1D"/>
        </w:rPr>
        <w:t>being</w:t>
      </w:r>
      <w:r>
        <w:rPr>
          <w:rFonts w:ascii="Arial" w:cs="Arial" w:eastAsia="Arial" w:hAnsi="Arial"/>
          <w:sz w:val="18"/>
          <w:szCs w:val="18"/>
          <w:color w:val="212121"/>
        </w:rPr>
        <w:t xml:space="preserve"> severed from </w:t>
      </w:r>
      <w:r>
        <w:rPr>
          <w:rFonts w:ascii="Arial" w:cs="Arial" w:eastAsia="Arial" w:hAnsi="Arial"/>
          <w:sz w:val="18"/>
          <w:szCs w:val="18"/>
          <w:color w:val="1F1F1F"/>
        </w:rPr>
        <w:t>this document</w:t>
      </w:r>
      <w:r>
        <w:rPr>
          <w:rFonts w:ascii="Arial" w:cs="Arial" w:eastAsia="Arial" w:hAnsi="Arial"/>
          <w:sz w:val="18"/>
          <w:szCs w:val="18"/>
          <w:color w:val="212121"/>
        </w:rPr>
        <w:t xml:space="preserve"> </w:t>
      </w:r>
      <w:r>
        <w:rPr>
          <w:rFonts w:ascii="Arial" w:cs="Arial" w:eastAsia="Arial" w:hAnsi="Arial"/>
          <w:sz w:val="18"/>
          <w:szCs w:val="18"/>
          <w:color w:val="282828"/>
        </w:rPr>
        <w:t>in</w:t>
      </w:r>
      <w:r>
        <w:rPr>
          <w:rFonts w:ascii="Arial" w:cs="Arial" w:eastAsia="Arial" w:hAnsi="Arial"/>
          <w:sz w:val="18"/>
          <w:szCs w:val="18"/>
          <w:color w:val="212121"/>
        </w:rPr>
        <w:t xml:space="preserve"> </w:t>
      </w:r>
      <w:r>
        <w:rPr>
          <w:rFonts w:ascii="Arial" w:cs="Arial" w:eastAsia="Arial" w:hAnsi="Arial"/>
          <w:sz w:val="18"/>
          <w:szCs w:val="18"/>
          <w:color w:val="2B2B2B"/>
        </w:rPr>
        <w:t>the</w:t>
      </w:r>
      <w:r>
        <w:rPr>
          <w:rFonts w:ascii="Arial" w:cs="Arial" w:eastAsia="Arial" w:hAnsi="Arial"/>
          <w:sz w:val="18"/>
          <w:szCs w:val="18"/>
          <w:color w:val="212121"/>
        </w:rPr>
        <w:t xml:space="preserve"> </w:t>
      </w:r>
      <w:r>
        <w:rPr>
          <w:rFonts w:ascii="Arial" w:cs="Arial" w:eastAsia="Arial" w:hAnsi="Arial"/>
          <w:sz w:val="18"/>
          <w:szCs w:val="18"/>
          <w:color w:val="181818"/>
        </w:rPr>
        <w:t>relevant</w:t>
      </w:r>
      <w:r>
        <w:rPr>
          <w:rFonts w:ascii="Arial" w:cs="Arial" w:eastAsia="Arial" w:hAnsi="Arial"/>
          <w:sz w:val="18"/>
          <w:szCs w:val="18"/>
          <w:color w:val="212121"/>
        </w:rPr>
        <w:t xml:space="preserve"> </w:t>
      </w:r>
      <w:r>
        <w:rPr>
          <w:rFonts w:ascii="Arial" w:cs="Arial" w:eastAsia="Arial" w:hAnsi="Arial"/>
          <w:sz w:val="18"/>
          <w:szCs w:val="18"/>
          <w:color w:val="1C1C1C"/>
        </w:rPr>
        <w:t>jurisdiction,</w:t>
      </w:r>
      <w:r>
        <w:rPr>
          <w:rFonts w:ascii="Arial" w:cs="Arial" w:eastAsia="Arial" w:hAnsi="Arial"/>
          <w:sz w:val="18"/>
          <w:szCs w:val="18"/>
          <w:color w:val="212121"/>
        </w:rPr>
        <w:t xml:space="preserve"> </w:t>
      </w:r>
      <w:r>
        <w:rPr>
          <w:rFonts w:ascii="Arial" w:cs="Arial" w:eastAsia="Arial" w:hAnsi="Arial"/>
          <w:sz w:val="18"/>
          <w:szCs w:val="18"/>
          <w:color w:val="2A2A2A"/>
        </w:rPr>
        <w:t>but</w:t>
      </w:r>
      <w:r>
        <w:rPr>
          <w:rFonts w:ascii="Arial" w:cs="Arial" w:eastAsia="Arial" w:hAnsi="Arial"/>
          <w:sz w:val="18"/>
          <w:szCs w:val="18"/>
          <w:color w:val="212121"/>
        </w:rPr>
        <w:t xml:space="preserve"> the </w:t>
      </w:r>
      <w:r>
        <w:rPr>
          <w:rFonts w:ascii="Arial" w:cs="Arial" w:eastAsia="Arial" w:hAnsi="Arial"/>
          <w:sz w:val="18"/>
          <w:szCs w:val="18"/>
          <w:color w:val="1F1F1F"/>
        </w:rPr>
        <w:t>rest</w:t>
      </w:r>
      <w:r>
        <w:rPr>
          <w:rFonts w:ascii="Arial" w:cs="Arial" w:eastAsia="Arial" w:hAnsi="Arial"/>
          <w:sz w:val="18"/>
          <w:szCs w:val="18"/>
          <w:color w:val="212121"/>
        </w:rPr>
        <w:t xml:space="preserve"> </w:t>
      </w:r>
      <w:r>
        <w:rPr>
          <w:rFonts w:ascii="Arial" w:cs="Arial" w:eastAsia="Arial" w:hAnsi="Arial"/>
          <w:sz w:val="18"/>
          <w:szCs w:val="18"/>
          <w:color w:val="262626"/>
        </w:rPr>
        <w:t>of</w:t>
      </w:r>
      <w:r>
        <w:rPr>
          <w:rFonts w:ascii="Arial" w:cs="Arial" w:eastAsia="Arial" w:hAnsi="Arial"/>
          <w:sz w:val="18"/>
          <w:szCs w:val="18"/>
          <w:color w:val="212121"/>
        </w:rPr>
        <w:t xml:space="preserve"> </w:t>
      </w:r>
      <w:r>
        <w:rPr>
          <w:rFonts w:ascii="Arial" w:cs="Arial" w:eastAsia="Arial" w:hAnsi="Arial"/>
          <w:sz w:val="18"/>
          <w:szCs w:val="18"/>
          <w:color w:val="161616"/>
        </w:rPr>
        <w:t>this</w:t>
      </w:r>
      <w:r>
        <w:rPr>
          <w:rFonts w:ascii="Arial" w:cs="Arial" w:eastAsia="Arial" w:hAnsi="Arial"/>
          <w:sz w:val="18"/>
          <w:szCs w:val="18"/>
          <w:color w:val="212121"/>
        </w:rPr>
        <w:t xml:space="preserve"> </w:t>
      </w:r>
      <w:r>
        <w:rPr>
          <w:rFonts w:ascii="Arial" w:cs="Arial" w:eastAsia="Arial" w:hAnsi="Arial"/>
          <w:sz w:val="18"/>
          <w:szCs w:val="18"/>
          <w:color w:val="1F1F1F"/>
        </w:rPr>
        <w:t>document will</w:t>
      </w:r>
      <w:r>
        <w:rPr>
          <w:rFonts w:ascii="Arial" w:cs="Arial" w:eastAsia="Arial" w:hAnsi="Arial"/>
          <w:sz w:val="18"/>
          <w:szCs w:val="18"/>
          <w:color w:val="212121"/>
        </w:rPr>
        <w:t xml:space="preserve"> </w:t>
      </w:r>
      <w:r>
        <w:rPr>
          <w:rFonts w:ascii="Arial" w:cs="Arial" w:eastAsia="Arial" w:hAnsi="Arial"/>
          <w:sz w:val="18"/>
          <w:szCs w:val="18"/>
          <w:color w:val="2A2A2A"/>
        </w:rPr>
        <w:t>not</w:t>
      </w:r>
      <w:r>
        <w:rPr>
          <w:rFonts w:ascii="Arial" w:cs="Arial" w:eastAsia="Arial" w:hAnsi="Arial"/>
          <w:sz w:val="18"/>
          <w:szCs w:val="18"/>
          <w:color w:val="212121"/>
        </w:rPr>
        <w:t xml:space="preserve"> </w:t>
      </w:r>
      <w:r>
        <w:rPr>
          <w:rFonts w:ascii="Arial" w:cs="Arial" w:eastAsia="Arial" w:hAnsi="Arial"/>
          <w:sz w:val="18"/>
          <w:szCs w:val="18"/>
          <w:color w:val="232323"/>
        </w:rPr>
        <w:t>be</w:t>
      </w:r>
      <w:r>
        <w:rPr>
          <w:rFonts w:ascii="Arial" w:cs="Arial" w:eastAsia="Arial" w:hAnsi="Arial"/>
          <w:sz w:val="18"/>
          <w:szCs w:val="18"/>
          <w:color w:val="212121"/>
        </w:rPr>
        <w:t xml:space="preserve"> </w:t>
      </w:r>
      <w:r>
        <w:rPr>
          <w:rFonts w:ascii="Arial" w:cs="Arial" w:eastAsia="Arial" w:hAnsi="Arial"/>
          <w:sz w:val="18"/>
          <w:szCs w:val="18"/>
          <w:color w:val="181818"/>
        </w:rPr>
        <w:t>affected.</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A2A2A"/>
        </w:rPr>
        <w:t>11.10</w:t>
      </w:r>
      <w:r>
        <w:rPr>
          <w:sz w:val="20"/>
          <w:szCs w:val="20"/>
          <w:color w:val="auto"/>
        </w:rPr>
        <w:tab/>
      </w:r>
      <w:r>
        <w:rPr>
          <w:rFonts w:ascii="Arial" w:cs="Arial" w:eastAsia="Arial" w:hAnsi="Arial"/>
          <w:sz w:val="17"/>
          <w:szCs w:val="17"/>
          <w:b w:val="1"/>
          <w:bCs w:val="1"/>
          <w:color w:val="232323"/>
        </w:rPr>
        <w:t xml:space="preserve">Approval </w:t>
      </w:r>
      <w:r>
        <w:rPr>
          <w:rFonts w:ascii="Arial" w:cs="Arial" w:eastAsia="Arial" w:hAnsi="Arial"/>
          <w:sz w:val="17"/>
          <w:szCs w:val="17"/>
          <w:b w:val="1"/>
          <w:bCs w:val="1"/>
          <w:color w:val="2A2A2A"/>
        </w:rPr>
        <w:t>and</w:t>
      </w:r>
      <w:r>
        <w:rPr>
          <w:rFonts w:ascii="Arial" w:cs="Arial" w:eastAsia="Arial" w:hAnsi="Arial"/>
          <w:sz w:val="17"/>
          <w:szCs w:val="17"/>
          <w:b w:val="1"/>
          <w:bCs w:val="1"/>
          <w:color w:val="232323"/>
        </w:rPr>
        <w:t xml:space="preserve"> consent</w:t>
      </w:r>
    </w:p>
    <w:p>
      <w:pPr>
        <w:spacing w:after="0" w:line="220" w:lineRule="exact"/>
        <w:rPr>
          <w:sz w:val="20"/>
          <w:szCs w:val="20"/>
          <w:color w:val="auto"/>
        </w:rPr>
      </w:pPr>
    </w:p>
    <w:p>
      <w:pPr>
        <w:ind w:left="660" w:right="180" w:firstLine="7"/>
        <w:spacing w:after="0" w:line="246" w:lineRule="auto"/>
        <w:rPr>
          <w:sz w:val="20"/>
          <w:szCs w:val="20"/>
          <w:color w:val="auto"/>
        </w:rPr>
      </w:pPr>
      <w:r>
        <w:rPr>
          <w:rFonts w:ascii="Arial" w:cs="Arial" w:eastAsia="Arial" w:hAnsi="Arial"/>
          <w:sz w:val="18"/>
          <w:szCs w:val="18"/>
          <w:color w:val="262626"/>
        </w:rPr>
        <w:t xml:space="preserve">Where under </w:t>
      </w:r>
      <w:r>
        <w:rPr>
          <w:rFonts w:ascii="Arial" w:cs="Arial" w:eastAsia="Arial" w:hAnsi="Arial"/>
          <w:sz w:val="18"/>
          <w:szCs w:val="18"/>
          <w:color w:val="1A1A1A"/>
        </w:rPr>
        <w:t>this</w:t>
      </w:r>
      <w:r>
        <w:rPr>
          <w:rFonts w:ascii="Arial" w:cs="Arial" w:eastAsia="Arial" w:hAnsi="Arial"/>
          <w:sz w:val="18"/>
          <w:szCs w:val="18"/>
          <w:color w:val="262626"/>
        </w:rPr>
        <w:t xml:space="preserve"> </w:t>
      </w:r>
      <w:r>
        <w:rPr>
          <w:rFonts w:ascii="Arial" w:cs="Arial" w:eastAsia="Arial" w:hAnsi="Arial"/>
          <w:sz w:val="18"/>
          <w:szCs w:val="18"/>
          <w:color w:val="161616"/>
        </w:rPr>
        <w:t>document</w:t>
      </w:r>
      <w:r>
        <w:rPr>
          <w:rFonts w:ascii="Arial" w:cs="Arial" w:eastAsia="Arial" w:hAnsi="Arial"/>
          <w:sz w:val="18"/>
          <w:szCs w:val="18"/>
          <w:color w:val="262626"/>
        </w:rPr>
        <w:t xml:space="preserve"> </w:t>
      </w:r>
      <w:r>
        <w:rPr>
          <w:rFonts w:ascii="Arial" w:cs="Arial" w:eastAsia="Arial" w:hAnsi="Arial"/>
          <w:sz w:val="18"/>
          <w:szCs w:val="18"/>
          <w:color w:val="2A2A2A"/>
        </w:rPr>
        <w:t>the</w:t>
      </w:r>
      <w:r>
        <w:rPr>
          <w:rFonts w:ascii="Arial" w:cs="Arial" w:eastAsia="Arial" w:hAnsi="Arial"/>
          <w:sz w:val="18"/>
          <w:szCs w:val="18"/>
          <w:color w:val="262626"/>
        </w:rPr>
        <w:t xml:space="preserve"> </w:t>
      </w:r>
      <w:r>
        <w:rPr>
          <w:rFonts w:ascii="Arial" w:cs="Arial" w:eastAsia="Arial" w:hAnsi="Arial"/>
          <w:sz w:val="18"/>
          <w:szCs w:val="18"/>
          <w:color w:val="1D1D1D"/>
        </w:rPr>
        <w:t>doing</w:t>
      </w:r>
      <w:r>
        <w:rPr>
          <w:rFonts w:ascii="Arial" w:cs="Arial" w:eastAsia="Arial" w:hAnsi="Arial"/>
          <w:sz w:val="18"/>
          <w:szCs w:val="18"/>
          <w:color w:val="262626"/>
        </w:rPr>
        <w:t xml:space="preserve"> </w:t>
      </w:r>
      <w:r>
        <w:rPr>
          <w:rFonts w:ascii="Arial" w:cs="Arial" w:eastAsia="Arial" w:hAnsi="Arial"/>
          <w:sz w:val="18"/>
          <w:szCs w:val="18"/>
          <w:color w:val="282828"/>
        </w:rPr>
        <w:t>of</w:t>
      </w:r>
      <w:r>
        <w:rPr>
          <w:rFonts w:ascii="Arial" w:cs="Arial" w:eastAsia="Arial" w:hAnsi="Arial"/>
          <w:sz w:val="18"/>
          <w:szCs w:val="18"/>
          <w:color w:val="262626"/>
        </w:rPr>
        <w:t xml:space="preserve"> </w:t>
      </w:r>
      <w:r>
        <w:rPr>
          <w:rFonts w:ascii="Arial" w:cs="Arial" w:eastAsia="Arial" w:hAnsi="Arial"/>
          <w:sz w:val="18"/>
          <w:szCs w:val="18"/>
          <w:color w:val="212121"/>
        </w:rPr>
        <w:t>anything by</w:t>
      </w:r>
      <w:r>
        <w:rPr>
          <w:rFonts w:ascii="Arial" w:cs="Arial" w:eastAsia="Arial" w:hAnsi="Arial"/>
          <w:sz w:val="18"/>
          <w:szCs w:val="18"/>
          <w:color w:val="262626"/>
        </w:rPr>
        <w:t xml:space="preserve"> </w:t>
      </w:r>
      <w:r>
        <w:rPr>
          <w:rFonts w:ascii="Arial" w:cs="Arial" w:eastAsia="Arial" w:hAnsi="Arial"/>
          <w:sz w:val="18"/>
          <w:szCs w:val="18"/>
          <w:color w:val="313131"/>
        </w:rPr>
        <w:t>a</w:t>
      </w:r>
      <w:r>
        <w:rPr>
          <w:rFonts w:ascii="Arial" w:cs="Arial" w:eastAsia="Arial" w:hAnsi="Arial"/>
          <w:sz w:val="18"/>
          <w:szCs w:val="18"/>
          <w:color w:val="262626"/>
        </w:rPr>
        <w:t xml:space="preserve"> </w:t>
      </w:r>
      <w:r>
        <w:rPr>
          <w:rFonts w:ascii="Arial" w:cs="Arial" w:eastAsia="Arial" w:hAnsi="Arial"/>
          <w:sz w:val="18"/>
          <w:szCs w:val="18"/>
          <w:color w:val="1F1F1F"/>
        </w:rPr>
        <w:t>party</w:t>
      </w:r>
      <w:r>
        <w:rPr>
          <w:rFonts w:ascii="Arial" w:cs="Arial" w:eastAsia="Arial" w:hAnsi="Arial"/>
          <w:sz w:val="18"/>
          <w:szCs w:val="18"/>
          <w:color w:val="262626"/>
        </w:rPr>
        <w:t xml:space="preserve"> </w:t>
      </w:r>
      <w:r>
        <w:rPr>
          <w:rFonts w:ascii="Arial" w:cs="Arial" w:eastAsia="Arial" w:hAnsi="Arial"/>
          <w:sz w:val="18"/>
          <w:szCs w:val="18"/>
          <w:color w:val="2A2A2A"/>
        </w:rPr>
        <w:t>is</w:t>
      </w:r>
      <w:r>
        <w:rPr>
          <w:rFonts w:ascii="Arial" w:cs="Arial" w:eastAsia="Arial" w:hAnsi="Arial"/>
          <w:sz w:val="18"/>
          <w:szCs w:val="18"/>
          <w:color w:val="262626"/>
        </w:rPr>
        <w:t xml:space="preserve"> </w:t>
      </w:r>
      <w:r>
        <w:rPr>
          <w:rFonts w:ascii="Arial" w:cs="Arial" w:eastAsia="Arial" w:hAnsi="Arial"/>
          <w:sz w:val="18"/>
          <w:szCs w:val="18"/>
          <w:color w:val="1A1A1A"/>
        </w:rPr>
        <w:t>dependent</w:t>
      </w:r>
      <w:r>
        <w:rPr>
          <w:rFonts w:ascii="Arial" w:cs="Arial" w:eastAsia="Arial" w:hAnsi="Arial"/>
          <w:sz w:val="18"/>
          <w:szCs w:val="18"/>
          <w:color w:val="262626"/>
        </w:rPr>
        <w:t xml:space="preserve"> </w:t>
      </w:r>
      <w:r>
        <w:rPr>
          <w:rFonts w:ascii="Arial" w:cs="Arial" w:eastAsia="Arial" w:hAnsi="Arial"/>
          <w:sz w:val="18"/>
          <w:szCs w:val="18"/>
          <w:color w:val="282828"/>
        </w:rPr>
        <w:t>on</w:t>
      </w:r>
      <w:r>
        <w:rPr>
          <w:rFonts w:ascii="Arial" w:cs="Arial" w:eastAsia="Arial" w:hAnsi="Arial"/>
          <w:sz w:val="18"/>
          <w:szCs w:val="18"/>
          <w:color w:val="262626"/>
        </w:rPr>
        <w:t xml:space="preserve"> </w:t>
      </w:r>
      <w:r>
        <w:rPr>
          <w:rFonts w:ascii="Arial" w:cs="Arial" w:eastAsia="Arial" w:hAnsi="Arial"/>
          <w:sz w:val="18"/>
          <w:szCs w:val="18"/>
          <w:color w:val="242424"/>
        </w:rPr>
        <w:t>the</w:t>
      </w:r>
      <w:r>
        <w:rPr>
          <w:rFonts w:ascii="Arial" w:cs="Arial" w:eastAsia="Arial" w:hAnsi="Arial"/>
          <w:sz w:val="18"/>
          <w:szCs w:val="18"/>
          <w:color w:val="262626"/>
        </w:rPr>
        <w:t xml:space="preserve"> </w:t>
      </w:r>
      <w:r>
        <w:rPr>
          <w:rFonts w:ascii="Arial" w:cs="Arial" w:eastAsia="Arial" w:hAnsi="Arial"/>
          <w:sz w:val="18"/>
          <w:szCs w:val="18"/>
          <w:color w:val="181818"/>
        </w:rPr>
        <w:t>consent</w:t>
      </w:r>
      <w:r>
        <w:rPr>
          <w:rFonts w:ascii="Arial" w:cs="Arial" w:eastAsia="Arial" w:hAnsi="Arial"/>
          <w:sz w:val="18"/>
          <w:szCs w:val="18"/>
          <w:color w:val="262626"/>
        </w:rPr>
        <w:t xml:space="preserve"> </w:t>
      </w:r>
      <w:r>
        <w:rPr>
          <w:rFonts w:ascii="Arial" w:cs="Arial" w:eastAsia="Arial" w:hAnsi="Arial"/>
          <w:sz w:val="18"/>
          <w:szCs w:val="18"/>
          <w:color w:val="2A2A2A"/>
        </w:rPr>
        <w:t>or</w:t>
      </w:r>
      <w:r>
        <w:rPr>
          <w:rFonts w:ascii="Arial" w:cs="Arial" w:eastAsia="Arial" w:hAnsi="Arial"/>
          <w:sz w:val="18"/>
          <w:szCs w:val="18"/>
          <w:color w:val="262626"/>
        </w:rPr>
        <w:t xml:space="preserve"> </w:t>
      </w:r>
      <w:r>
        <w:rPr>
          <w:rFonts w:ascii="Arial" w:cs="Arial" w:eastAsia="Arial" w:hAnsi="Arial"/>
          <w:sz w:val="18"/>
          <w:szCs w:val="18"/>
          <w:color w:val="1C1C1C"/>
        </w:rPr>
        <w:t>approval</w:t>
      </w:r>
      <w:r>
        <w:rPr>
          <w:rFonts w:ascii="Arial" w:cs="Arial" w:eastAsia="Arial" w:hAnsi="Arial"/>
          <w:sz w:val="18"/>
          <w:szCs w:val="18"/>
          <w:color w:val="262626"/>
        </w:rPr>
        <w:t xml:space="preserve"> </w:t>
      </w:r>
      <w:r>
        <w:rPr>
          <w:rFonts w:ascii="Arial" w:cs="Arial" w:eastAsia="Arial" w:hAnsi="Arial"/>
          <w:sz w:val="18"/>
          <w:szCs w:val="18"/>
          <w:color w:val="181818"/>
        </w:rPr>
        <w:t>of</w:t>
      </w:r>
      <w:r>
        <w:rPr>
          <w:rFonts w:ascii="Arial" w:cs="Arial" w:eastAsia="Arial" w:hAnsi="Arial"/>
          <w:sz w:val="18"/>
          <w:szCs w:val="18"/>
          <w:color w:val="262626"/>
        </w:rPr>
        <w:t xml:space="preserve"> </w:t>
      </w:r>
      <w:r>
        <w:rPr>
          <w:rFonts w:ascii="Arial" w:cs="Arial" w:eastAsia="Arial" w:hAnsi="Arial"/>
          <w:sz w:val="18"/>
          <w:szCs w:val="18"/>
          <w:color w:val="232323"/>
        </w:rPr>
        <w:t>another</w:t>
      </w:r>
      <w:r>
        <w:rPr>
          <w:rFonts w:ascii="Arial" w:cs="Arial" w:eastAsia="Arial" w:hAnsi="Arial"/>
          <w:sz w:val="18"/>
          <w:szCs w:val="18"/>
          <w:color w:val="262626"/>
        </w:rPr>
        <w:t xml:space="preserve"> </w:t>
      </w:r>
      <w:r>
        <w:rPr>
          <w:rFonts w:ascii="Arial" w:cs="Arial" w:eastAsia="Arial" w:hAnsi="Arial"/>
          <w:sz w:val="18"/>
          <w:szCs w:val="18"/>
          <w:color w:val="1A1A1A"/>
        </w:rPr>
        <w:t>party,</w:t>
      </w:r>
      <w:r>
        <w:rPr>
          <w:rFonts w:ascii="Arial" w:cs="Arial" w:eastAsia="Arial" w:hAnsi="Arial"/>
          <w:sz w:val="18"/>
          <w:szCs w:val="18"/>
          <w:color w:val="262626"/>
        </w:rPr>
        <w:t xml:space="preserve"> </w:t>
      </w:r>
      <w:r>
        <w:rPr>
          <w:rFonts w:ascii="Arial" w:cs="Arial" w:eastAsia="Arial" w:hAnsi="Arial"/>
          <w:sz w:val="18"/>
          <w:szCs w:val="18"/>
          <w:color w:val="212121"/>
        </w:rPr>
        <w:t>that</w:t>
      </w:r>
      <w:r>
        <w:rPr>
          <w:rFonts w:ascii="Arial" w:cs="Arial" w:eastAsia="Arial" w:hAnsi="Arial"/>
          <w:sz w:val="18"/>
          <w:szCs w:val="18"/>
          <w:color w:val="262626"/>
        </w:rPr>
        <w:t xml:space="preserve"> </w:t>
      </w:r>
      <w:r>
        <w:rPr>
          <w:rFonts w:ascii="Arial" w:cs="Arial" w:eastAsia="Arial" w:hAnsi="Arial"/>
          <w:sz w:val="18"/>
          <w:szCs w:val="18"/>
          <w:color w:val="1C1C1C"/>
        </w:rPr>
        <w:t>consent</w:t>
      </w:r>
      <w:r>
        <w:rPr>
          <w:rFonts w:ascii="Arial" w:cs="Arial" w:eastAsia="Arial" w:hAnsi="Arial"/>
          <w:sz w:val="18"/>
          <w:szCs w:val="18"/>
          <w:color w:val="262626"/>
        </w:rPr>
        <w:t xml:space="preserve"> </w:t>
      </w:r>
      <w:r>
        <w:rPr>
          <w:rFonts w:ascii="Arial" w:cs="Arial" w:eastAsia="Arial" w:hAnsi="Arial"/>
          <w:sz w:val="18"/>
          <w:szCs w:val="18"/>
          <w:color w:val="1D1D1D"/>
        </w:rPr>
        <w:t xml:space="preserve">or </w:t>
      </w:r>
      <w:r>
        <w:rPr>
          <w:rFonts w:ascii="Arial" w:cs="Arial" w:eastAsia="Arial" w:hAnsi="Arial"/>
          <w:sz w:val="18"/>
          <w:szCs w:val="18"/>
          <w:color w:val="1F1F1F"/>
        </w:rPr>
        <w:t>approval</w:t>
      </w:r>
      <w:r>
        <w:rPr>
          <w:rFonts w:ascii="Arial" w:cs="Arial" w:eastAsia="Arial" w:hAnsi="Arial"/>
          <w:sz w:val="18"/>
          <w:szCs w:val="18"/>
          <w:color w:val="1D1D1D"/>
        </w:rPr>
        <w:t xml:space="preserve"> </w:t>
      </w:r>
      <w:r>
        <w:rPr>
          <w:rFonts w:ascii="Arial" w:cs="Arial" w:eastAsia="Arial" w:hAnsi="Arial"/>
          <w:sz w:val="18"/>
          <w:szCs w:val="18"/>
          <w:color w:val="232323"/>
        </w:rPr>
        <w:t>may</w:t>
      </w:r>
      <w:r>
        <w:rPr>
          <w:rFonts w:ascii="Arial" w:cs="Arial" w:eastAsia="Arial" w:hAnsi="Arial"/>
          <w:sz w:val="18"/>
          <w:szCs w:val="18"/>
          <w:color w:val="1D1D1D"/>
        </w:rPr>
        <w:t xml:space="preserve"> </w:t>
      </w:r>
      <w:r>
        <w:rPr>
          <w:rFonts w:ascii="Arial" w:cs="Arial" w:eastAsia="Arial" w:hAnsi="Arial"/>
          <w:sz w:val="18"/>
          <w:szCs w:val="18"/>
          <w:color w:val="242424"/>
        </w:rPr>
        <w:t>not</w:t>
      </w:r>
      <w:r>
        <w:rPr>
          <w:rFonts w:ascii="Arial" w:cs="Arial" w:eastAsia="Arial" w:hAnsi="Arial"/>
          <w:sz w:val="18"/>
          <w:szCs w:val="18"/>
          <w:color w:val="1D1D1D"/>
        </w:rPr>
        <w:t xml:space="preserve"> </w:t>
      </w:r>
      <w:r>
        <w:rPr>
          <w:rFonts w:ascii="Arial" w:cs="Arial" w:eastAsia="Arial" w:hAnsi="Arial"/>
          <w:sz w:val="18"/>
          <w:szCs w:val="18"/>
          <w:color w:val="262626"/>
        </w:rPr>
        <w:t>be</w:t>
      </w:r>
      <w:r>
        <w:rPr>
          <w:rFonts w:ascii="Arial" w:cs="Arial" w:eastAsia="Arial" w:hAnsi="Arial"/>
          <w:sz w:val="18"/>
          <w:szCs w:val="18"/>
          <w:color w:val="1D1D1D"/>
        </w:rPr>
        <w:t xml:space="preserve"> </w:t>
      </w:r>
      <w:r>
        <w:rPr>
          <w:rFonts w:ascii="Arial" w:cs="Arial" w:eastAsia="Arial" w:hAnsi="Arial"/>
          <w:sz w:val="18"/>
          <w:szCs w:val="18"/>
          <w:color w:val="232323"/>
        </w:rPr>
        <w:t>unreasonably</w:t>
      </w:r>
      <w:r>
        <w:rPr>
          <w:rFonts w:ascii="Arial" w:cs="Arial" w:eastAsia="Arial" w:hAnsi="Arial"/>
          <w:sz w:val="18"/>
          <w:szCs w:val="18"/>
          <w:color w:val="1D1D1D"/>
        </w:rPr>
        <w:t xml:space="preserve"> </w:t>
      </w:r>
      <w:r>
        <w:rPr>
          <w:rFonts w:ascii="Arial" w:cs="Arial" w:eastAsia="Arial" w:hAnsi="Arial"/>
          <w:sz w:val="18"/>
          <w:szCs w:val="18"/>
          <w:color w:val="212121"/>
        </w:rPr>
        <w:t>withheld</w:t>
      </w:r>
      <w:r>
        <w:rPr>
          <w:rFonts w:ascii="Arial" w:cs="Arial" w:eastAsia="Arial" w:hAnsi="Arial"/>
          <w:sz w:val="18"/>
          <w:szCs w:val="18"/>
          <w:color w:val="1D1D1D"/>
        </w:rPr>
        <w:t xml:space="preserve"> </w:t>
      </w:r>
      <w:r>
        <w:rPr>
          <w:rFonts w:ascii="Arial" w:cs="Arial" w:eastAsia="Arial" w:hAnsi="Arial"/>
          <w:sz w:val="18"/>
          <w:szCs w:val="18"/>
          <w:color w:val="181818"/>
        </w:rPr>
        <w:t>nor</w:t>
      </w:r>
      <w:r>
        <w:rPr>
          <w:rFonts w:ascii="Arial" w:cs="Arial" w:eastAsia="Arial" w:hAnsi="Arial"/>
          <w:sz w:val="18"/>
          <w:szCs w:val="18"/>
          <w:color w:val="1D1D1D"/>
        </w:rPr>
        <w:t xml:space="preserve"> </w:t>
      </w:r>
      <w:r>
        <w:rPr>
          <w:rFonts w:ascii="Arial" w:cs="Arial" w:eastAsia="Arial" w:hAnsi="Arial"/>
          <w:sz w:val="18"/>
          <w:szCs w:val="18"/>
          <w:color w:val="1F1F1F"/>
        </w:rPr>
        <w:t>unduly</w:t>
      </w:r>
      <w:r>
        <w:rPr>
          <w:rFonts w:ascii="Arial" w:cs="Arial" w:eastAsia="Arial" w:hAnsi="Arial"/>
          <w:sz w:val="18"/>
          <w:szCs w:val="18"/>
          <w:color w:val="1D1D1D"/>
        </w:rPr>
        <w:t xml:space="preserve"> </w:t>
      </w:r>
      <w:r>
        <w:rPr>
          <w:rFonts w:ascii="Arial" w:cs="Arial" w:eastAsia="Arial" w:hAnsi="Arial"/>
          <w:sz w:val="18"/>
          <w:szCs w:val="18"/>
          <w:color w:val="232323"/>
        </w:rPr>
        <w:t>delayed, unless</w:t>
      </w:r>
      <w:r>
        <w:rPr>
          <w:rFonts w:ascii="Arial" w:cs="Arial" w:eastAsia="Arial" w:hAnsi="Arial"/>
          <w:sz w:val="18"/>
          <w:szCs w:val="18"/>
          <w:color w:val="1D1D1D"/>
        </w:rPr>
        <w:t xml:space="preserve"> </w:t>
      </w:r>
      <w:r>
        <w:rPr>
          <w:rFonts w:ascii="Arial" w:cs="Arial" w:eastAsia="Arial" w:hAnsi="Arial"/>
          <w:sz w:val="18"/>
          <w:szCs w:val="18"/>
          <w:color w:val="212121"/>
        </w:rPr>
        <w:t>expressly</w:t>
      </w:r>
      <w:r>
        <w:rPr>
          <w:rFonts w:ascii="Arial" w:cs="Arial" w:eastAsia="Arial" w:hAnsi="Arial"/>
          <w:sz w:val="18"/>
          <w:szCs w:val="18"/>
          <w:color w:val="1D1D1D"/>
        </w:rPr>
        <w:t xml:space="preserve"> provided </w:t>
      </w:r>
      <w:r>
        <w:rPr>
          <w:rFonts w:ascii="Arial" w:cs="Arial" w:eastAsia="Arial" w:hAnsi="Arial"/>
          <w:sz w:val="18"/>
          <w:szCs w:val="18"/>
          <w:color w:val="242424"/>
        </w:rPr>
        <w:t>otherwise.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62626"/>
        </w:rPr>
        <w:t>11.11</w:t>
      </w:r>
      <w:r>
        <w:rPr>
          <w:sz w:val="20"/>
          <w:szCs w:val="20"/>
          <w:color w:val="auto"/>
        </w:rPr>
        <w:tab/>
      </w:r>
      <w:r>
        <w:rPr>
          <w:rFonts w:ascii="Arial" w:cs="Arial" w:eastAsia="Arial" w:hAnsi="Arial"/>
          <w:sz w:val="17"/>
          <w:szCs w:val="17"/>
          <w:b w:val="1"/>
          <w:bCs w:val="1"/>
          <w:color w:val="2A2A2A"/>
        </w:rPr>
        <w:t>Costs</w:t>
      </w:r>
    </w:p>
    <w:p>
      <w:pPr>
        <w:spacing w:after="0" w:line="220"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18"/>
          <w:szCs w:val="18"/>
          <w:color w:val="262626"/>
        </w:rPr>
      </w:pPr>
      <w:r>
        <w:rPr>
          <w:rFonts w:ascii="Arial" w:cs="Arial" w:eastAsia="Arial" w:hAnsi="Arial"/>
          <w:sz w:val="18"/>
          <w:szCs w:val="18"/>
          <w:color w:val="212121"/>
        </w:rPr>
        <w:t xml:space="preserve">Each </w:t>
      </w:r>
      <w:r>
        <w:rPr>
          <w:rFonts w:ascii="Arial" w:cs="Arial" w:eastAsia="Arial" w:hAnsi="Arial"/>
          <w:sz w:val="18"/>
          <w:szCs w:val="18"/>
          <w:color w:val="232323"/>
        </w:rPr>
        <w:t>party</w:t>
      </w:r>
      <w:r>
        <w:rPr>
          <w:rFonts w:ascii="Arial" w:cs="Arial" w:eastAsia="Arial" w:hAnsi="Arial"/>
          <w:sz w:val="18"/>
          <w:szCs w:val="18"/>
          <w:color w:val="212121"/>
        </w:rPr>
        <w:t xml:space="preserve"> </w:t>
      </w:r>
      <w:r>
        <w:rPr>
          <w:rFonts w:ascii="Arial" w:cs="Arial" w:eastAsia="Arial" w:hAnsi="Arial"/>
          <w:sz w:val="18"/>
          <w:szCs w:val="18"/>
          <w:color w:val="1F1F1F"/>
        </w:rPr>
        <w:t>bears its</w:t>
      </w:r>
      <w:r>
        <w:rPr>
          <w:rFonts w:ascii="Arial" w:cs="Arial" w:eastAsia="Arial" w:hAnsi="Arial"/>
          <w:sz w:val="18"/>
          <w:szCs w:val="18"/>
          <w:color w:val="212121"/>
        </w:rPr>
        <w:t xml:space="preserve"> </w:t>
      </w:r>
      <w:r>
        <w:rPr>
          <w:rFonts w:ascii="Arial" w:cs="Arial" w:eastAsia="Arial" w:hAnsi="Arial"/>
          <w:sz w:val="18"/>
          <w:szCs w:val="18"/>
          <w:color w:val="282828"/>
        </w:rPr>
        <w:t>own</w:t>
      </w:r>
      <w:r>
        <w:rPr>
          <w:rFonts w:ascii="Arial" w:cs="Arial" w:eastAsia="Arial" w:hAnsi="Arial"/>
          <w:sz w:val="18"/>
          <w:szCs w:val="18"/>
          <w:color w:val="212121"/>
        </w:rPr>
        <w:t xml:space="preserve"> </w:t>
      </w:r>
      <w:r>
        <w:rPr>
          <w:rFonts w:ascii="Arial" w:cs="Arial" w:eastAsia="Arial" w:hAnsi="Arial"/>
          <w:sz w:val="18"/>
          <w:szCs w:val="18"/>
          <w:color w:val="232323"/>
        </w:rPr>
        <w:t>costs</w:t>
      </w:r>
      <w:r>
        <w:rPr>
          <w:rFonts w:ascii="Arial" w:cs="Arial" w:eastAsia="Arial" w:hAnsi="Arial"/>
          <w:sz w:val="18"/>
          <w:szCs w:val="18"/>
          <w:color w:val="212121"/>
        </w:rPr>
        <w:t xml:space="preserve"> </w:t>
      </w:r>
      <w:r>
        <w:rPr>
          <w:rFonts w:ascii="Arial" w:cs="Arial" w:eastAsia="Arial" w:hAnsi="Arial"/>
          <w:sz w:val="18"/>
          <w:szCs w:val="18"/>
          <w:color w:val="2D2D2D"/>
        </w:rPr>
        <w:t>in</w:t>
      </w:r>
      <w:r>
        <w:rPr>
          <w:rFonts w:ascii="Arial" w:cs="Arial" w:eastAsia="Arial" w:hAnsi="Arial"/>
          <w:sz w:val="18"/>
          <w:szCs w:val="18"/>
          <w:color w:val="212121"/>
        </w:rPr>
        <w:t xml:space="preserve"> </w:t>
      </w:r>
      <w:r>
        <w:rPr>
          <w:rFonts w:ascii="Arial" w:cs="Arial" w:eastAsia="Arial" w:hAnsi="Arial"/>
          <w:sz w:val="18"/>
          <w:szCs w:val="18"/>
          <w:color w:val="232323"/>
        </w:rPr>
        <w:t>relation</w:t>
      </w:r>
      <w:r>
        <w:rPr>
          <w:rFonts w:ascii="Arial" w:cs="Arial" w:eastAsia="Arial" w:hAnsi="Arial"/>
          <w:sz w:val="18"/>
          <w:szCs w:val="18"/>
          <w:color w:val="212121"/>
        </w:rPr>
        <w:t xml:space="preserve"> </w:t>
      </w:r>
      <w:r>
        <w:rPr>
          <w:rFonts w:ascii="Arial" w:cs="Arial" w:eastAsia="Arial" w:hAnsi="Arial"/>
          <w:sz w:val="18"/>
          <w:szCs w:val="18"/>
          <w:color w:val="282828"/>
        </w:rPr>
        <w:t>to</w:t>
      </w:r>
      <w:r>
        <w:rPr>
          <w:rFonts w:ascii="Arial" w:cs="Arial" w:eastAsia="Arial" w:hAnsi="Arial"/>
          <w:sz w:val="18"/>
          <w:szCs w:val="18"/>
          <w:color w:val="212121"/>
        </w:rPr>
        <w:t xml:space="preserve"> </w:t>
      </w:r>
      <w:r>
        <w:rPr>
          <w:rFonts w:ascii="Arial" w:cs="Arial" w:eastAsia="Arial" w:hAnsi="Arial"/>
          <w:sz w:val="18"/>
          <w:szCs w:val="18"/>
          <w:color w:val="1F1F1F"/>
        </w:rPr>
        <w:t>the</w:t>
      </w:r>
      <w:r>
        <w:rPr>
          <w:rFonts w:ascii="Arial" w:cs="Arial" w:eastAsia="Arial" w:hAnsi="Arial"/>
          <w:sz w:val="18"/>
          <w:szCs w:val="18"/>
          <w:color w:val="212121"/>
        </w:rPr>
        <w:t xml:space="preserve"> </w:t>
      </w:r>
      <w:r>
        <w:rPr>
          <w:rFonts w:ascii="Arial" w:cs="Arial" w:eastAsia="Arial" w:hAnsi="Arial"/>
          <w:sz w:val="18"/>
          <w:szCs w:val="18"/>
          <w:color w:val="262626"/>
        </w:rPr>
        <w:t>preparation</w:t>
      </w:r>
      <w:r>
        <w:rPr>
          <w:rFonts w:ascii="Arial" w:cs="Arial" w:eastAsia="Arial" w:hAnsi="Arial"/>
          <w:sz w:val="18"/>
          <w:szCs w:val="18"/>
          <w:color w:val="212121"/>
        </w:rPr>
        <w:t xml:space="preserve"> </w:t>
      </w:r>
      <w:r>
        <w:rPr>
          <w:rFonts w:ascii="Arial" w:cs="Arial" w:eastAsia="Arial" w:hAnsi="Arial"/>
          <w:sz w:val="18"/>
          <w:szCs w:val="18"/>
          <w:color w:val="2A2A2A"/>
        </w:rPr>
        <w:t>and</w:t>
      </w:r>
      <w:r>
        <w:rPr>
          <w:rFonts w:ascii="Arial" w:cs="Arial" w:eastAsia="Arial" w:hAnsi="Arial"/>
          <w:sz w:val="18"/>
          <w:szCs w:val="18"/>
          <w:color w:val="212121"/>
        </w:rPr>
        <w:t xml:space="preserve"> </w:t>
      </w:r>
      <w:r>
        <w:rPr>
          <w:rFonts w:ascii="Arial" w:cs="Arial" w:eastAsia="Arial" w:hAnsi="Arial"/>
          <w:sz w:val="18"/>
          <w:szCs w:val="18"/>
          <w:color w:val="1C1C1C"/>
        </w:rPr>
        <w:t>signing</w:t>
      </w:r>
      <w:r>
        <w:rPr>
          <w:rFonts w:ascii="Arial" w:cs="Arial" w:eastAsia="Arial" w:hAnsi="Arial"/>
          <w:sz w:val="18"/>
          <w:szCs w:val="18"/>
          <w:color w:val="212121"/>
        </w:rPr>
        <w:t xml:space="preserve"> </w:t>
      </w:r>
      <w:r>
        <w:rPr>
          <w:rFonts w:ascii="Arial" w:cs="Arial" w:eastAsia="Arial" w:hAnsi="Arial"/>
          <w:sz w:val="18"/>
          <w:szCs w:val="18"/>
          <w:color w:val="242424"/>
        </w:rPr>
        <w:t>of</w:t>
      </w:r>
      <w:r>
        <w:rPr>
          <w:rFonts w:ascii="Arial" w:cs="Arial" w:eastAsia="Arial" w:hAnsi="Arial"/>
          <w:sz w:val="18"/>
          <w:szCs w:val="18"/>
          <w:color w:val="212121"/>
        </w:rPr>
        <w:t xml:space="preserve"> </w:t>
      </w:r>
      <w:r>
        <w:rPr>
          <w:rFonts w:ascii="Arial" w:cs="Arial" w:eastAsia="Arial" w:hAnsi="Arial"/>
          <w:sz w:val="18"/>
          <w:szCs w:val="18"/>
          <w:color w:val="282828"/>
        </w:rPr>
        <w:t>this</w:t>
      </w:r>
      <w:r>
        <w:rPr>
          <w:rFonts w:ascii="Arial" w:cs="Arial" w:eastAsia="Arial" w:hAnsi="Arial"/>
          <w:sz w:val="18"/>
          <w:szCs w:val="18"/>
          <w:color w:val="212121"/>
        </w:rPr>
        <w:t xml:space="preserve"> </w:t>
      </w:r>
      <w:r>
        <w:rPr>
          <w:rFonts w:ascii="Arial" w:cs="Arial" w:eastAsia="Arial" w:hAnsi="Arial"/>
          <w:sz w:val="18"/>
          <w:szCs w:val="18"/>
          <w:color w:val="1F1F1F"/>
        </w:rPr>
        <w:t>document.</w:t>
      </w:r>
    </w:p>
    <w:p>
      <w:pPr>
        <w:spacing w:after="0" w:line="198" w:lineRule="exact"/>
        <w:rPr>
          <w:rFonts w:ascii="Arial" w:cs="Arial" w:eastAsia="Arial" w:hAnsi="Arial"/>
          <w:sz w:val="18"/>
          <w:szCs w:val="18"/>
          <w:color w:val="262626"/>
        </w:rPr>
      </w:pPr>
    </w:p>
    <w:p>
      <w:pPr>
        <w:jc w:val="both"/>
        <w:ind w:left="1300" w:right="940" w:hanging="644"/>
        <w:spacing w:after="0"/>
        <w:tabs>
          <w:tab w:leader="none" w:pos="1300" w:val="left"/>
        </w:tabs>
        <w:numPr>
          <w:ilvl w:val="0"/>
          <w:numId w:val="205"/>
        </w:numPr>
        <w:rPr>
          <w:rFonts w:ascii="Arial" w:cs="Arial" w:eastAsia="Arial" w:hAnsi="Arial"/>
          <w:sz w:val="18"/>
          <w:szCs w:val="18"/>
          <w:color w:val="212121"/>
        </w:rPr>
      </w:pPr>
      <w:r>
        <w:rPr>
          <w:rFonts w:ascii="Arial" w:cs="Arial" w:eastAsia="Arial" w:hAnsi="Arial"/>
          <w:sz w:val="18"/>
          <w:szCs w:val="18"/>
          <w:color w:val="1C1C1C"/>
        </w:rPr>
        <w:t xml:space="preserve">Unless </w:t>
      </w:r>
      <w:r>
        <w:rPr>
          <w:rFonts w:ascii="Arial" w:cs="Arial" w:eastAsia="Arial" w:hAnsi="Arial"/>
          <w:sz w:val="18"/>
          <w:szCs w:val="18"/>
          <w:color w:val="161616"/>
        </w:rPr>
        <w:t>otherwise</w:t>
      </w:r>
      <w:r>
        <w:rPr>
          <w:rFonts w:ascii="Arial" w:cs="Arial" w:eastAsia="Arial" w:hAnsi="Arial"/>
          <w:sz w:val="18"/>
          <w:szCs w:val="18"/>
          <w:color w:val="1C1C1C"/>
        </w:rPr>
        <w:t xml:space="preserve"> </w:t>
      </w:r>
      <w:r>
        <w:rPr>
          <w:rFonts w:ascii="Arial" w:cs="Arial" w:eastAsia="Arial" w:hAnsi="Arial"/>
          <w:sz w:val="18"/>
          <w:szCs w:val="18"/>
          <w:color w:val="1A1A1A"/>
        </w:rPr>
        <w:t>provided</w:t>
      </w:r>
      <w:r>
        <w:rPr>
          <w:rFonts w:ascii="Arial" w:cs="Arial" w:eastAsia="Arial" w:hAnsi="Arial"/>
          <w:sz w:val="18"/>
          <w:szCs w:val="18"/>
          <w:color w:val="1C1C1C"/>
        </w:rPr>
        <w:t xml:space="preserve"> </w:t>
      </w:r>
      <w:r>
        <w:rPr>
          <w:rFonts w:ascii="Arial" w:cs="Arial" w:eastAsia="Arial" w:hAnsi="Arial"/>
          <w:sz w:val="18"/>
          <w:szCs w:val="18"/>
          <w:color w:val="232323"/>
        </w:rPr>
        <w:t>in</w:t>
      </w:r>
      <w:r>
        <w:rPr>
          <w:rFonts w:ascii="Arial" w:cs="Arial" w:eastAsia="Arial" w:hAnsi="Arial"/>
          <w:sz w:val="18"/>
          <w:szCs w:val="18"/>
          <w:color w:val="1C1C1C"/>
        </w:rPr>
        <w:t xml:space="preserve"> </w:t>
      </w:r>
      <w:r>
        <w:rPr>
          <w:rFonts w:ascii="Arial" w:cs="Arial" w:eastAsia="Arial" w:hAnsi="Arial"/>
          <w:sz w:val="18"/>
          <w:szCs w:val="18"/>
          <w:color w:val="212121"/>
        </w:rPr>
        <w:t>this</w:t>
      </w:r>
      <w:r>
        <w:rPr>
          <w:rFonts w:ascii="Arial" w:cs="Arial" w:eastAsia="Arial" w:hAnsi="Arial"/>
          <w:sz w:val="18"/>
          <w:szCs w:val="18"/>
          <w:color w:val="1C1C1C"/>
        </w:rPr>
        <w:t xml:space="preserve"> </w:t>
      </w:r>
      <w:r>
        <w:rPr>
          <w:rFonts w:ascii="Arial" w:cs="Arial" w:eastAsia="Arial" w:hAnsi="Arial"/>
          <w:sz w:val="18"/>
          <w:szCs w:val="18"/>
          <w:color w:val="1D1D1D"/>
        </w:rPr>
        <w:t>document,</w:t>
      </w:r>
      <w:r>
        <w:rPr>
          <w:rFonts w:ascii="Arial" w:cs="Arial" w:eastAsia="Arial" w:hAnsi="Arial"/>
          <w:sz w:val="18"/>
          <w:szCs w:val="18"/>
          <w:color w:val="1C1C1C"/>
        </w:rPr>
        <w:t xml:space="preserve"> </w:t>
      </w:r>
      <w:r>
        <w:rPr>
          <w:rFonts w:ascii="Arial" w:cs="Arial" w:eastAsia="Arial" w:hAnsi="Arial"/>
          <w:sz w:val="18"/>
          <w:szCs w:val="18"/>
          <w:color w:val="161616"/>
        </w:rPr>
        <w:t>the</w:t>
      </w:r>
      <w:r>
        <w:rPr>
          <w:rFonts w:ascii="Arial" w:cs="Arial" w:eastAsia="Arial" w:hAnsi="Arial"/>
          <w:sz w:val="18"/>
          <w:szCs w:val="18"/>
          <w:color w:val="1C1C1C"/>
        </w:rPr>
        <w:t xml:space="preserve"> </w:t>
      </w:r>
      <w:r>
        <w:rPr>
          <w:rFonts w:ascii="Arial" w:cs="Arial" w:eastAsia="Arial" w:hAnsi="Arial"/>
          <w:sz w:val="18"/>
          <w:szCs w:val="18"/>
          <w:color w:val="1D1D1D"/>
        </w:rPr>
        <w:t>Company</w:t>
      </w:r>
      <w:r>
        <w:rPr>
          <w:rFonts w:ascii="Arial" w:cs="Arial" w:eastAsia="Arial" w:hAnsi="Arial"/>
          <w:sz w:val="18"/>
          <w:szCs w:val="18"/>
          <w:color w:val="1C1C1C"/>
        </w:rPr>
        <w:t xml:space="preserve"> </w:t>
      </w:r>
      <w:r>
        <w:rPr>
          <w:rFonts w:ascii="Arial" w:cs="Arial" w:eastAsia="Arial" w:hAnsi="Arial"/>
          <w:sz w:val="18"/>
          <w:szCs w:val="18"/>
          <w:color w:val="212121"/>
        </w:rPr>
        <w:t>pays</w:t>
      </w:r>
      <w:r>
        <w:rPr>
          <w:rFonts w:ascii="Arial" w:cs="Arial" w:eastAsia="Arial" w:hAnsi="Arial"/>
          <w:sz w:val="18"/>
          <w:szCs w:val="18"/>
          <w:color w:val="1C1C1C"/>
        </w:rPr>
        <w:t xml:space="preserve"> </w:t>
      </w:r>
      <w:r>
        <w:rPr>
          <w:rFonts w:ascii="Arial" w:cs="Arial" w:eastAsia="Arial" w:hAnsi="Arial"/>
          <w:sz w:val="18"/>
          <w:szCs w:val="18"/>
          <w:color w:val="2A2A2A"/>
        </w:rPr>
        <w:t>all</w:t>
      </w:r>
      <w:r>
        <w:rPr>
          <w:rFonts w:ascii="Arial" w:cs="Arial" w:eastAsia="Arial" w:hAnsi="Arial"/>
          <w:sz w:val="18"/>
          <w:szCs w:val="18"/>
          <w:color w:val="1C1C1C"/>
        </w:rPr>
        <w:t xml:space="preserve"> </w:t>
      </w:r>
      <w:r>
        <w:rPr>
          <w:rFonts w:ascii="Arial" w:cs="Arial" w:eastAsia="Arial" w:hAnsi="Arial"/>
          <w:sz w:val="18"/>
          <w:szCs w:val="18"/>
          <w:color w:val="262626"/>
        </w:rPr>
        <w:t>stamp</w:t>
      </w:r>
      <w:r>
        <w:rPr>
          <w:rFonts w:ascii="Arial" w:cs="Arial" w:eastAsia="Arial" w:hAnsi="Arial"/>
          <w:sz w:val="18"/>
          <w:szCs w:val="18"/>
          <w:color w:val="1C1C1C"/>
        </w:rPr>
        <w:t xml:space="preserve"> </w:t>
      </w:r>
      <w:r>
        <w:rPr>
          <w:rFonts w:ascii="Arial" w:cs="Arial" w:eastAsia="Arial" w:hAnsi="Arial"/>
          <w:sz w:val="18"/>
          <w:szCs w:val="18"/>
          <w:color w:val="1F1F1F"/>
        </w:rPr>
        <w:t>duty</w:t>
      </w:r>
      <w:r>
        <w:rPr>
          <w:rFonts w:ascii="Arial" w:cs="Arial" w:eastAsia="Arial" w:hAnsi="Arial"/>
          <w:sz w:val="18"/>
          <w:szCs w:val="18"/>
          <w:color w:val="1C1C1C"/>
        </w:rPr>
        <w:t xml:space="preserve"> </w:t>
      </w:r>
      <w:r>
        <w:rPr>
          <w:rFonts w:ascii="Arial" w:cs="Arial" w:eastAsia="Arial" w:hAnsi="Arial"/>
          <w:sz w:val="18"/>
          <w:szCs w:val="18"/>
          <w:color w:val="2A2A2A"/>
        </w:rPr>
        <w:t>and</w:t>
      </w:r>
      <w:r>
        <w:rPr>
          <w:rFonts w:ascii="Arial" w:cs="Arial" w:eastAsia="Arial" w:hAnsi="Arial"/>
          <w:sz w:val="18"/>
          <w:szCs w:val="18"/>
          <w:color w:val="1C1C1C"/>
        </w:rPr>
        <w:t xml:space="preserve"> </w:t>
      </w:r>
      <w:r>
        <w:rPr>
          <w:rFonts w:ascii="Arial" w:cs="Arial" w:eastAsia="Arial" w:hAnsi="Arial"/>
          <w:sz w:val="18"/>
          <w:szCs w:val="18"/>
          <w:color w:val="282828"/>
        </w:rPr>
        <w:t>other</w:t>
      </w:r>
      <w:r>
        <w:rPr>
          <w:rFonts w:ascii="Arial" w:cs="Arial" w:eastAsia="Arial" w:hAnsi="Arial"/>
          <w:sz w:val="18"/>
          <w:szCs w:val="18"/>
          <w:color w:val="1C1C1C"/>
        </w:rPr>
        <w:t xml:space="preserve"> </w:t>
      </w:r>
      <w:r>
        <w:rPr>
          <w:rFonts w:ascii="Arial" w:cs="Arial" w:eastAsia="Arial" w:hAnsi="Arial"/>
          <w:sz w:val="18"/>
          <w:szCs w:val="18"/>
          <w:color w:val="232323"/>
        </w:rPr>
        <w:t>taxes</w:t>
      </w:r>
      <w:r>
        <w:rPr>
          <w:rFonts w:ascii="Arial" w:cs="Arial" w:eastAsia="Arial" w:hAnsi="Arial"/>
          <w:sz w:val="18"/>
          <w:szCs w:val="18"/>
          <w:color w:val="1C1C1C"/>
        </w:rPr>
        <w:t xml:space="preserve"> </w:t>
      </w:r>
      <w:r>
        <w:rPr>
          <w:rFonts w:ascii="Arial" w:cs="Arial" w:eastAsia="Arial" w:hAnsi="Arial"/>
          <w:sz w:val="18"/>
          <w:szCs w:val="18"/>
          <w:color w:val="2A2A2A"/>
        </w:rPr>
        <w:t>of</w:t>
      </w:r>
      <w:r>
        <w:rPr>
          <w:rFonts w:ascii="Arial" w:cs="Arial" w:eastAsia="Arial" w:hAnsi="Arial"/>
          <w:sz w:val="18"/>
          <w:szCs w:val="18"/>
          <w:color w:val="1C1C1C"/>
        </w:rPr>
        <w:t xml:space="preserve"> </w:t>
      </w:r>
      <w:r>
        <w:rPr>
          <w:rFonts w:ascii="Arial" w:cs="Arial" w:eastAsia="Arial" w:hAnsi="Arial"/>
          <w:sz w:val="18"/>
          <w:szCs w:val="18"/>
          <w:color w:val="282828"/>
        </w:rPr>
        <w:t>a</w:t>
      </w:r>
      <w:r>
        <w:rPr>
          <w:rFonts w:ascii="Arial" w:cs="Arial" w:eastAsia="Arial" w:hAnsi="Arial"/>
          <w:sz w:val="18"/>
          <w:szCs w:val="18"/>
          <w:color w:val="1C1C1C"/>
        </w:rPr>
        <w:t xml:space="preserve"> similar </w:t>
      </w:r>
      <w:r>
        <w:rPr>
          <w:rFonts w:ascii="Arial" w:cs="Arial" w:eastAsia="Arial" w:hAnsi="Arial"/>
          <w:sz w:val="18"/>
          <w:szCs w:val="18"/>
          <w:color w:val="1D1D1D"/>
        </w:rPr>
        <w:t>nature</w:t>
      </w:r>
      <w:r>
        <w:rPr>
          <w:rFonts w:ascii="Arial" w:cs="Arial" w:eastAsia="Arial" w:hAnsi="Arial"/>
          <w:sz w:val="18"/>
          <w:szCs w:val="18"/>
          <w:color w:val="1C1C1C"/>
        </w:rPr>
        <w:t xml:space="preserve"> </w:t>
      </w:r>
      <w:r>
        <w:rPr>
          <w:rFonts w:ascii="Arial" w:cs="Arial" w:eastAsia="Arial" w:hAnsi="Arial"/>
          <w:sz w:val="18"/>
          <w:szCs w:val="18"/>
          <w:color w:val="1F1F1F"/>
        </w:rPr>
        <w:t xml:space="preserve">(including </w:t>
      </w:r>
      <w:r>
        <w:rPr>
          <w:rFonts w:ascii="Arial" w:cs="Arial" w:eastAsia="Arial" w:hAnsi="Arial"/>
          <w:sz w:val="18"/>
          <w:szCs w:val="18"/>
          <w:color w:val="262626"/>
        </w:rPr>
        <w:t>fines,</w:t>
      </w:r>
      <w:r>
        <w:rPr>
          <w:rFonts w:ascii="Arial" w:cs="Arial" w:eastAsia="Arial" w:hAnsi="Arial"/>
          <w:sz w:val="18"/>
          <w:szCs w:val="18"/>
          <w:color w:val="1F1F1F"/>
        </w:rPr>
        <w:t xml:space="preserve"> </w:t>
      </w:r>
      <w:r>
        <w:rPr>
          <w:rFonts w:ascii="Arial" w:cs="Arial" w:eastAsia="Arial" w:hAnsi="Arial"/>
          <w:sz w:val="18"/>
          <w:szCs w:val="18"/>
          <w:color w:val="1C1C1C"/>
        </w:rPr>
        <w:t>penalties</w:t>
      </w:r>
      <w:r>
        <w:rPr>
          <w:rFonts w:ascii="Arial" w:cs="Arial" w:eastAsia="Arial" w:hAnsi="Arial"/>
          <w:sz w:val="18"/>
          <w:szCs w:val="18"/>
          <w:color w:val="1F1F1F"/>
        </w:rPr>
        <w:t xml:space="preserve"> </w:t>
      </w:r>
      <w:r>
        <w:rPr>
          <w:rFonts w:ascii="Arial" w:cs="Arial" w:eastAsia="Arial" w:hAnsi="Arial"/>
          <w:sz w:val="18"/>
          <w:szCs w:val="18"/>
          <w:color w:val="212121"/>
        </w:rPr>
        <w:t>and</w:t>
      </w:r>
      <w:r>
        <w:rPr>
          <w:rFonts w:ascii="Arial" w:cs="Arial" w:eastAsia="Arial" w:hAnsi="Arial"/>
          <w:sz w:val="18"/>
          <w:szCs w:val="18"/>
          <w:color w:val="1F1F1F"/>
        </w:rPr>
        <w:t xml:space="preserve"> interest) </w:t>
      </w:r>
      <w:r>
        <w:rPr>
          <w:rFonts w:ascii="Arial" w:cs="Arial" w:eastAsia="Arial" w:hAnsi="Arial"/>
          <w:sz w:val="18"/>
          <w:szCs w:val="18"/>
          <w:color w:val="242424"/>
        </w:rPr>
        <w:t>on</w:t>
      </w:r>
      <w:r>
        <w:rPr>
          <w:rFonts w:ascii="Arial" w:cs="Arial" w:eastAsia="Arial" w:hAnsi="Arial"/>
          <w:sz w:val="18"/>
          <w:szCs w:val="18"/>
          <w:color w:val="1F1F1F"/>
        </w:rPr>
        <w:t xml:space="preserve"> </w:t>
      </w:r>
      <w:r>
        <w:rPr>
          <w:rFonts w:ascii="Arial" w:cs="Arial" w:eastAsia="Arial" w:hAnsi="Arial"/>
          <w:sz w:val="18"/>
          <w:szCs w:val="18"/>
          <w:color w:val="232323"/>
        </w:rPr>
        <w:t>this</w:t>
      </w:r>
      <w:r>
        <w:rPr>
          <w:rFonts w:ascii="Arial" w:cs="Arial" w:eastAsia="Arial" w:hAnsi="Arial"/>
          <w:sz w:val="18"/>
          <w:szCs w:val="18"/>
          <w:color w:val="1F1F1F"/>
        </w:rPr>
        <w:t xml:space="preserve"> </w:t>
      </w:r>
      <w:r>
        <w:rPr>
          <w:rFonts w:ascii="Arial" w:cs="Arial" w:eastAsia="Arial" w:hAnsi="Arial"/>
          <w:sz w:val="18"/>
          <w:szCs w:val="18"/>
          <w:color w:val="212121"/>
        </w:rPr>
        <w:t>document and</w:t>
      </w:r>
      <w:r>
        <w:rPr>
          <w:rFonts w:ascii="Arial" w:cs="Arial" w:eastAsia="Arial" w:hAnsi="Arial"/>
          <w:sz w:val="18"/>
          <w:szCs w:val="18"/>
          <w:color w:val="1F1F1F"/>
        </w:rPr>
        <w:t xml:space="preserve"> on </w:t>
      </w:r>
      <w:r>
        <w:rPr>
          <w:rFonts w:ascii="Arial" w:cs="Arial" w:eastAsia="Arial" w:hAnsi="Arial"/>
          <w:sz w:val="18"/>
          <w:szCs w:val="18"/>
          <w:color w:val="1A1A1A"/>
        </w:rPr>
        <w:t>any</w:t>
      </w:r>
      <w:r>
        <w:rPr>
          <w:rFonts w:ascii="Arial" w:cs="Arial" w:eastAsia="Arial" w:hAnsi="Arial"/>
          <w:sz w:val="18"/>
          <w:szCs w:val="18"/>
          <w:color w:val="1F1F1F"/>
        </w:rPr>
        <w:t xml:space="preserve"> instrument </w:t>
      </w:r>
      <w:r>
        <w:rPr>
          <w:rFonts w:ascii="Arial" w:cs="Arial" w:eastAsia="Arial" w:hAnsi="Arial"/>
          <w:sz w:val="18"/>
          <w:szCs w:val="18"/>
          <w:color w:val="242424"/>
        </w:rPr>
        <w:t>or</w:t>
      </w:r>
      <w:r>
        <w:rPr>
          <w:rFonts w:ascii="Arial" w:cs="Arial" w:eastAsia="Arial" w:hAnsi="Arial"/>
          <w:sz w:val="18"/>
          <w:szCs w:val="18"/>
          <w:color w:val="1F1F1F"/>
        </w:rPr>
        <w:t xml:space="preserve"> other </w:t>
      </w:r>
      <w:r>
        <w:rPr>
          <w:rFonts w:ascii="Arial" w:cs="Arial" w:eastAsia="Arial" w:hAnsi="Arial"/>
          <w:sz w:val="18"/>
          <w:szCs w:val="18"/>
          <w:color w:val="181818"/>
        </w:rPr>
        <w:t>document signed</w:t>
      </w:r>
      <w:r>
        <w:rPr>
          <w:rFonts w:ascii="Arial" w:cs="Arial" w:eastAsia="Arial" w:hAnsi="Arial"/>
          <w:sz w:val="18"/>
          <w:szCs w:val="18"/>
          <w:color w:val="1F1F1F"/>
        </w:rPr>
        <w:t xml:space="preserve"> </w:t>
      </w:r>
      <w:r>
        <w:rPr>
          <w:rFonts w:ascii="Arial" w:cs="Arial" w:eastAsia="Arial" w:hAnsi="Arial"/>
          <w:sz w:val="18"/>
          <w:szCs w:val="18"/>
          <w:color w:val="2B2B2B"/>
        </w:rPr>
        <w:t>to</w:t>
      </w:r>
      <w:r>
        <w:rPr>
          <w:rFonts w:ascii="Arial" w:cs="Arial" w:eastAsia="Arial" w:hAnsi="Arial"/>
          <w:sz w:val="18"/>
          <w:szCs w:val="18"/>
          <w:color w:val="1F1F1F"/>
        </w:rPr>
        <w:t xml:space="preserve"> give </w:t>
      </w:r>
      <w:r>
        <w:rPr>
          <w:rFonts w:ascii="Arial" w:cs="Arial" w:eastAsia="Arial" w:hAnsi="Arial"/>
          <w:sz w:val="18"/>
          <w:szCs w:val="18"/>
          <w:color w:val="1C1C1C"/>
        </w:rPr>
        <w:t xml:space="preserve">effect </w:t>
      </w:r>
      <w:r>
        <w:rPr>
          <w:rFonts w:ascii="Arial" w:cs="Arial" w:eastAsia="Arial" w:hAnsi="Arial"/>
          <w:sz w:val="18"/>
          <w:szCs w:val="18"/>
          <w:color w:val="1F1F1F"/>
        </w:rPr>
        <w:t>to</w:t>
      </w:r>
      <w:r>
        <w:rPr>
          <w:rFonts w:ascii="Arial" w:cs="Arial" w:eastAsia="Arial" w:hAnsi="Arial"/>
          <w:sz w:val="18"/>
          <w:szCs w:val="18"/>
          <w:color w:val="1C1C1C"/>
        </w:rPr>
        <w:t xml:space="preserve"> </w:t>
      </w:r>
      <w:r>
        <w:rPr>
          <w:rFonts w:ascii="Arial" w:cs="Arial" w:eastAsia="Arial" w:hAnsi="Arial"/>
          <w:sz w:val="18"/>
          <w:szCs w:val="18"/>
          <w:color w:val="2A2A2A"/>
        </w:rPr>
        <w:t>this</w:t>
      </w:r>
      <w:r>
        <w:rPr>
          <w:rFonts w:ascii="Arial" w:cs="Arial" w:eastAsia="Arial" w:hAnsi="Arial"/>
          <w:sz w:val="18"/>
          <w:szCs w:val="18"/>
          <w:color w:val="1C1C1C"/>
        </w:rPr>
        <w:t xml:space="preserve"> </w:t>
      </w:r>
      <w:r>
        <w:rPr>
          <w:rFonts w:ascii="Arial" w:cs="Arial" w:eastAsia="Arial" w:hAnsi="Arial"/>
          <w:sz w:val="18"/>
          <w:szCs w:val="18"/>
          <w:color w:val="1A1A1A"/>
        </w:rPr>
        <w:t>document.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A2A2A"/>
        </w:rPr>
        <w:t>11.12</w:t>
      </w:r>
      <w:r>
        <w:rPr>
          <w:sz w:val="20"/>
          <w:szCs w:val="20"/>
          <w:color w:val="auto"/>
        </w:rPr>
        <w:tab/>
      </w:r>
      <w:r>
        <w:rPr>
          <w:rFonts w:ascii="Arial" w:cs="Arial" w:eastAsia="Arial" w:hAnsi="Arial"/>
          <w:sz w:val="17"/>
          <w:szCs w:val="17"/>
          <w:b w:val="1"/>
          <w:bCs w:val="1"/>
          <w:color w:val="1F1F1F"/>
        </w:rPr>
        <w:t xml:space="preserve">Relationship between </w:t>
      </w:r>
      <w:r>
        <w:rPr>
          <w:rFonts w:ascii="Arial" w:cs="Arial" w:eastAsia="Arial" w:hAnsi="Arial"/>
          <w:sz w:val="17"/>
          <w:szCs w:val="17"/>
          <w:b w:val="1"/>
          <w:bCs w:val="1"/>
          <w:color w:val="232323"/>
        </w:rPr>
        <w:t>the</w:t>
      </w:r>
      <w:r>
        <w:rPr>
          <w:rFonts w:ascii="Arial" w:cs="Arial" w:eastAsia="Arial" w:hAnsi="Arial"/>
          <w:sz w:val="17"/>
          <w:szCs w:val="17"/>
          <w:b w:val="1"/>
          <w:bCs w:val="1"/>
          <w:color w:val="1F1F1F"/>
        </w:rPr>
        <w:t xml:space="preserve"> </w:t>
      </w:r>
      <w:r>
        <w:rPr>
          <w:rFonts w:ascii="Arial" w:cs="Arial" w:eastAsia="Arial" w:hAnsi="Arial"/>
          <w:sz w:val="17"/>
          <w:szCs w:val="17"/>
          <w:b w:val="1"/>
          <w:bCs w:val="1"/>
          <w:color w:val="262626"/>
        </w:rPr>
        <w:t>parties</w:t>
      </w:r>
    </w:p>
    <w:p>
      <w:pPr>
        <w:spacing w:after="0" w:line="220" w:lineRule="exact"/>
        <w:rPr>
          <w:sz w:val="20"/>
          <w:szCs w:val="20"/>
          <w:color w:val="auto"/>
        </w:rPr>
      </w:pPr>
    </w:p>
    <w:p>
      <w:pPr>
        <w:ind w:left="660" w:right="720"/>
        <w:spacing w:after="0" w:line="246" w:lineRule="auto"/>
        <w:rPr>
          <w:sz w:val="20"/>
          <w:szCs w:val="20"/>
          <w:color w:val="auto"/>
        </w:rPr>
      </w:pPr>
      <w:r>
        <w:rPr>
          <w:rFonts w:ascii="Arial" w:cs="Arial" w:eastAsia="Arial" w:hAnsi="Arial"/>
          <w:sz w:val="18"/>
          <w:szCs w:val="18"/>
          <w:color w:val="131313"/>
        </w:rPr>
        <w:t xml:space="preserve">Unless </w:t>
      </w:r>
      <w:r>
        <w:rPr>
          <w:rFonts w:ascii="Arial" w:cs="Arial" w:eastAsia="Arial" w:hAnsi="Arial"/>
          <w:sz w:val="18"/>
          <w:szCs w:val="18"/>
          <w:color w:val="161616"/>
        </w:rPr>
        <w:t>expressly</w:t>
      </w:r>
      <w:r>
        <w:rPr>
          <w:rFonts w:ascii="Arial" w:cs="Arial" w:eastAsia="Arial" w:hAnsi="Arial"/>
          <w:sz w:val="18"/>
          <w:szCs w:val="18"/>
          <w:color w:val="131313"/>
        </w:rPr>
        <w:t xml:space="preserve"> </w:t>
      </w:r>
      <w:r>
        <w:rPr>
          <w:rFonts w:ascii="Arial" w:cs="Arial" w:eastAsia="Arial" w:hAnsi="Arial"/>
          <w:sz w:val="18"/>
          <w:szCs w:val="18"/>
          <w:color w:val="1A1A1A"/>
        </w:rPr>
        <w:t>stated otherwise,</w:t>
      </w:r>
      <w:r>
        <w:rPr>
          <w:rFonts w:ascii="Arial" w:cs="Arial" w:eastAsia="Arial" w:hAnsi="Arial"/>
          <w:sz w:val="18"/>
          <w:szCs w:val="18"/>
          <w:color w:val="131313"/>
        </w:rPr>
        <w:t xml:space="preserve"> </w:t>
      </w:r>
      <w:r>
        <w:rPr>
          <w:rFonts w:ascii="Arial" w:cs="Arial" w:eastAsia="Arial" w:hAnsi="Arial"/>
          <w:sz w:val="18"/>
          <w:szCs w:val="18"/>
          <w:color w:val="232323"/>
        </w:rPr>
        <w:t>this</w:t>
      </w:r>
      <w:r>
        <w:rPr>
          <w:rFonts w:ascii="Arial" w:cs="Arial" w:eastAsia="Arial" w:hAnsi="Arial"/>
          <w:sz w:val="18"/>
          <w:szCs w:val="18"/>
          <w:color w:val="131313"/>
        </w:rPr>
        <w:t xml:space="preserve"> </w:t>
      </w:r>
      <w:r>
        <w:rPr>
          <w:rFonts w:ascii="Arial" w:cs="Arial" w:eastAsia="Arial" w:hAnsi="Arial"/>
          <w:sz w:val="18"/>
          <w:szCs w:val="18"/>
          <w:color w:val="1F1F1F"/>
        </w:rPr>
        <w:t>document</w:t>
      </w:r>
      <w:r>
        <w:rPr>
          <w:rFonts w:ascii="Arial" w:cs="Arial" w:eastAsia="Arial" w:hAnsi="Arial"/>
          <w:sz w:val="18"/>
          <w:szCs w:val="18"/>
          <w:color w:val="131313"/>
        </w:rPr>
        <w:t xml:space="preserve"> </w:t>
      </w:r>
      <w:r>
        <w:rPr>
          <w:rFonts w:ascii="Arial" w:cs="Arial" w:eastAsia="Arial" w:hAnsi="Arial"/>
          <w:sz w:val="18"/>
          <w:szCs w:val="18"/>
          <w:color w:val="232323"/>
        </w:rPr>
        <w:t>does</w:t>
      </w:r>
      <w:r>
        <w:rPr>
          <w:rFonts w:ascii="Arial" w:cs="Arial" w:eastAsia="Arial" w:hAnsi="Arial"/>
          <w:sz w:val="18"/>
          <w:szCs w:val="18"/>
          <w:color w:val="131313"/>
        </w:rPr>
        <w:t xml:space="preserve"> not </w:t>
      </w:r>
      <w:r>
        <w:rPr>
          <w:rFonts w:ascii="Arial" w:cs="Arial" w:eastAsia="Arial" w:hAnsi="Arial"/>
          <w:sz w:val="18"/>
          <w:szCs w:val="18"/>
          <w:color w:val="1A1A1A"/>
        </w:rPr>
        <w:t>create</w:t>
      </w:r>
      <w:r>
        <w:rPr>
          <w:rFonts w:ascii="Arial" w:cs="Arial" w:eastAsia="Arial" w:hAnsi="Arial"/>
          <w:sz w:val="18"/>
          <w:szCs w:val="18"/>
          <w:color w:val="131313"/>
        </w:rPr>
        <w:t xml:space="preserve"> </w:t>
      </w:r>
      <w:r>
        <w:rPr>
          <w:rFonts w:ascii="Arial" w:cs="Arial" w:eastAsia="Arial" w:hAnsi="Arial"/>
          <w:sz w:val="18"/>
          <w:szCs w:val="18"/>
          <w:color w:val="2F2F2F"/>
        </w:rPr>
        <w:t>a</w:t>
      </w:r>
      <w:r>
        <w:rPr>
          <w:rFonts w:ascii="Arial" w:cs="Arial" w:eastAsia="Arial" w:hAnsi="Arial"/>
          <w:sz w:val="18"/>
          <w:szCs w:val="18"/>
          <w:color w:val="131313"/>
        </w:rPr>
        <w:t xml:space="preserve"> </w:t>
      </w:r>
      <w:r>
        <w:rPr>
          <w:rFonts w:ascii="Arial" w:cs="Arial" w:eastAsia="Arial" w:hAnsi="Arial"/>
          <w:sz w:val="18"/>
          <w:szCs w:val="18"/>
          <w:color w:val="1C1C1C"/>
        </w:rPr>
        <w:t>relationship</w:t>
      </w:r>
      <w:r>
        <w:rPr>
          <w:rFonts w:ascii="Arial" w:cs="Arial" w:eastAsia="Arial" w:hAnsi="Arial"/>
          <w:sz w:val="18"/>
          <w:szCs w:val="18"/>
          <w:color w:val="131313"/>
        </w:rPr>
        <w:t xml:space="preserve"> </w:t>
      </w:r>
      <w:r>
        <w:rPr>
          <w:rFonts w:ascii="Arial" w:cs="Arial" w:eastAsia="Arial" w:hAnsi="Arial"/>
          <w:sz w:val="18"/>
          <w:szCs w:val="18"/>
          <w:color w:val="262626"/>
        </w:rPr>
        <w:t>of</w:t>
      </w:r>
      <w:r>
        <w:rPr>
          <w:rFonts w:ascii="Arial" w:cs="Arial" w:eastAsia="Arial" w:hAnsi="Arial"/>
          <w:sz w:val="18"/>
          <w:szCs w:val="18"/>
          <w:color w:val="131313"/>
        </w:rPr>
        <w:t xml:space="preserve"> </w:t>
      </w:r>
      <w:r>
        <w:rPr>
          <w:rFonts w:ascii="Arial" w:cs="Arial" w:eastAsia="Arial" w:hAnsi="Arial"/>
          <w:sz w:val="18"/>
          <w:szCs w:val="18"/>
          <w:color w:val="212121"/>
        </w:rPr>
        <w:t>employment,</w:t>
      </w:r>
      <w:r>
        <w:rPr>
          <w:rFonts w:ascii="Arial" w:cs="Arial" w:eastAsia="Arial" w:hAnsi="Arial"/>
          <w:sz w:val="18"/>
          <w:szCs w:val="18"/>
          <w:color w:val="131313"/>
        </w:rPr>
        <w:t xml:space="preserve"> </w:t>
      </w:r>
      <w:r>
        <w:rPr>
          <w:rFonts w:ascii="Arial" w:cs="Arial" w:eastAsia="Arial" w:hAnsi="Arial"/>
          <w:sz w:val="18"/>
          <w:szCs w:val="18"/>
          <w:color w:val="232323"/>
        </w:rPr>
        <w:t>trust,</w:t>
      </w:r>
      <w:r>
        <w:rPr>
          <w:rFonts w:ascii="Arial" w:cs="Arial" w:eastAsia="Arial" w:hAnsi="Arial"/>
          <w:sz w:val="18"/>
          <w:szCs w:val="18"/>
          <w:color w:val="131313"/>
        </w:rPr>
        <w:t xml:space="preserve"> </w:t>
      </w:r>
      <w:r>
        <w:rPr>
          <w:rFonts w:ascii="Arial" w:cs="Arial" w:eastAsia="Arial" w:hAnsi="Arial"/>
          <w:sz w:val="18"/>
          <w:szCs w:val="18"/>
          <w:color w:val="1D1D1D"/>
        </w:rPr>
        <w:t>agency</w:t>
      </w:r>
      <w:r>
        <w:rPr>
          <w:rFonts w:ascii="Arial" w:cs="Arial" w:eastAsia="Arial" w:hAnsi="Arial"/>
          <w:sz w:val="18"/>
          <w:szCs w:val="18"/>
          <w:color w:val="131313"/>
        </w:rPr>
        <w:t xml:space="preserve"> </w:t>
      </w:r>
      <w:r>
        <w:rPr>
          <w:rFonts w:ascii="Arial" w:cs="Arial" w:eastAsia="Arial" w:hAnsi="Arial"/>
          <w:sz w:val="18"/>
          <w:szCs w:val="18"/>
          <w:color w:val="161616"/>
        </w:rPr>
        <w:t>or</w:t>
      </w:r>
      <w:r>
        <w:rPr>
          <w:rFonts w:ascii="Arial" w:cs="Arial" w:eastAsia="Arial" w:hAnsi="Arial"/>
          <w:sz w:val="18"/>
          <w:szCs w:val="18"/>
          <w:color w:val="131313"/>
        </w:rPr>
        <w:t xml:space="preserve"> </w:t>
      </w:r>
      <w:r>
        <w:rPr>
          <w:rFonts w:ascii="Arial" w:cs="Arial" w:eastAsia="Arial" w:hAnsi="Arial"/>
          <w:sz w:val="18"/>
          <w:szCs w:val="18"/>
          <w:color w:val="1A1A1A"/>
        </w:rPr>
        <w:t>partnership</w:t>
      </w:r>
      <w:r>
        <w:rPr>
          <w:rFonts w:ascii="Arial" w:cs="Arial" w:eastAsia="Arial" w:hAnsi="Arial"/>
          <w:sz w:val="18"/>
          <w:szCs w:val="18"/>
          <w:color w:val="131313"/>
        </w:rPr>
        <w:t xml:space="preserve"> </w:t>
      </w:r>
      <w:r>
        <w:rPr>
          <w:rFonts w:ascii="Arial" w:cs="Arial" w:eastAsia="Arial" w:hAnsi="Arial"/>
          <w:sz w:val="18"/>
          <w:szCs w:val="18"/>
          <w:color w:val="1C1C1C"/>
        </w:rPr>
        <w:t xml:space="preserve">between </w:t>
      </w:r>
      <w:r>
        <w:rPr>
          <w:rFonts w:ascii="Arial" w:cs="Arial" w:eastAsia="Arial" w:hAnsi="Arial"/>
          <w:sz w:val="18"/>
          <w:szCs w:val="18"/>
          <w:color w:val="2D2D2D"/>
        </w:rPr>
        <w:t>the</w:t>
      </w:r>
      <w:r>
        <w:rPr>
          <w:rFonts w:ascii="Arial" w:cs="Arial" w:eastAsia="Arial" w:hAnsi="Arial"/>
          <w:sz w:val="18"/>
          <w:szCs w:val="18"/>
          <w:color w:val="1C1C1C"/>
        </w:rPr>
        <w:t xml:space="preserve"> </w:t>
      </w:r>
      <w:r>
        <w:rPr>
          <w:rFonts w:ascii="Arial" w:cs="Arial" w:eastAsia="Arial" w:hAnsi="Arial"/>
          <w:sz w:val="18"/>
          <w:szCs w:val="18"/>
          <w:color w:val="212121"/>
        </w:rPr>
        <w:t>parties.</w:t>
      </w:r>
    </w:p>
    <w:p>
      <w:pPr>
        <w:spacing w:after="0" w:line="161"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18"/>
          <w:szCs w:val="18"/>
          <w:b w:val="1"/>
          <w:bCs w:val="1"/>
          <w:color w:val="282828"/>
        </w:rPr>
      </w:pPr>
      <w:r>
        <w:rPr>
          <w:rFonts w:ascii="Arial" w:cs="Arial" w:eastAsia="Arial" w:hAnsi="Arial"/>
          <w:sz w:val="18"/>
          <w:szCs w:val="18"/>
          <w:b w:val="1"/>
          <w:bCs w:val="1"/>
          <w:color w:val="1F1F1F"/>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262626"/>
        </w:rPr>
        <w:t>12.1</w:t>
      </w:r>
      <w:r>
        <w:rPr>
          <w:sz w:val="20"/>
          <w:szCs w:val="20"/>
          <w:color w:val="auto"/>
        </w:rPr>
        <w:tab/>
      </w:r>
      <w:r>
        <w:rPr>
          <w:rFonts w:ascii="Arial" w:cs="Arial" w:eastAsia="Arial" w:hAnsi="Arial"/>
          <w:sz w:val="17"/>
          <w:szCs w:val="17"/>
          <w:b w:val="1"/>
          <w:bCs w:val="1"/>
          <w:color w:val="1F1F1F"/>
        </w:rPr>
        <w:t xml:space="preserve">Method </w:t>
      </w:r>
      <w:r>
        <w:rPr>
          <w:rFonts w:ascii="Arial" w:cs="Arial" w:eastAsia="Arial" w:hAnsi="Arial"/>
          <w:sz w:val="17"/>
          <w:szCs w:val="17"/>
          <w:b w:val="1"/>
          <w:bCs w:val="1"/>
          <w:color w:val="2B2B2B"/>
        </w:rPr>
        <w:t>of</w:t>
      </w:r>
      <w:r>
        <w:rPr>
          <w:rFonts w:ascii="Arial" w:cs="Arial" w:eastAsia="Arial" w:hAnsi="Arial"/>
          <w:sz w:val="17"/>
          <w:szCs w:val="17"/>
          <w:b w:val="1"/>
          <w:bCs w:val="1"/>
          <w:color w:val="1F1F1F"/>
        </w:rPr>
        <w:t xml:space="preserve"> </w:t>
      </w:r>
      <w:r>
        <w:rPr>
          <w:rFonts w:ascii="Arial" w:cs="Arial" w:eastAsia="Arial" w:hAnsi="Arial"/>
          <w:sz w:val="17"/>
          <w:szCs w:val="17"/>
          <w:b w:val="1"/>
          <w:bCs w:val="1"/>
          <w:color w:val="232323"/>
        </w:rPr>
        <w:t>giving</w:t>
      </w:r>
      <w:r>
        <w:rPr>
          <w:rFonts w:ascii="Arial" w:cs="Arial" w:eastAsia="Arial" w:hAnsi="Arial"/>
          <w:sz w:val="17"/>
          <w:szCs w:val="17"/>
          <w:b w:val="1"/>
          <w:bCs w:val="1"/>
          <w:color w:val="1F1F1F"/>
        </w:rPr>
        <w:t xml:space="preserve"> </w:t>
      </w:r>
      <w:r>
        <w:rPr>
          <w:rFonts w:ascii="Arial" w:cs="Arial" w:eastAsia="Arial" w:hAnsi="Arial"/>
          <w:sz w:val="17"/>
          <w:szCs w:val="17"/>
          <w:b w:val="1"/>
          <w:bCs w:val="1"/>
          <w:color w:val="161616"/>
        </w:rPr>
        <w:t>notice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1D1D1D"/>
        </w:rPr>
        <w:t xml:space="preserve">A </w:t>
      </w:r>
      <w:r>
        <w:rPr>
          <w:rFonts w:ascii="Arial" w:cs="Arial" w:eastAsia="Arial" w:hAnsi="Arial"/>
          <w:sz w:val="18"/>
          <w:szCs w:val="18"/>
          <w:color w:val="1A1A1A"/>
        </w:rPr>
        <w:t>notice,</w:t>
      </w:r>
      <w:r>
        <w:rPr>
          <w:rFonts w:ascii="Arial" w:cs="Arial" w:eastAsia="Arial" w:hAnsi="Arial"/>
          <w:sz w:val="18"/>
          <w:szCs w:val="18"/>
          <w:color w:val="1D1D1D"/>
        </w:rPr>
        <w:t xml:space="preserve"> </w:t>
      </w:r>
      <w:r>
        <w:rPr>
          <w:rFonts w:ascii="Arial" w:cs="Arial" w:eastAsia="Arial" w:hAnsi="Arial"/>
          <w:sz w:val="18"/>
          <w:szCs w:val="18"/>
          <w:color w:val="1C1C1C"/>
        </w:rPr>
        <w:t>consent</w:t>
      </w:r>
      <w:r>
        <w:rPr>
          <w:rFonts w:ascii="Arial" w:cs="Arial" w:eastAsia="Arial" w:hAnsi="Arial"/>
          <w:sz w:val="18"/>
          <w:szCs w:val="18"/>
          <w:color w:val="1D1D1D"/>
        </w:rPr>
        <w:t xml:space="preserve"> </w:t>
      </w:r>
      <w:r>
        <w:rPr>
          <w:rFonts w:ascii="Arial" w:cs="Arial" w:eastAsia="Arial" w:hAnsi="Arial"/>
          <w:sz w:val="18"/>
          <w:szCs w:val="18"/>
          <w:color w:val="262626"/>
        </w:rPr>
        <w:t>or</w:t>
      </w:r>
      <w:r>
        <w:rPr>
          <w:rFonts w:ascii="Arial" w:cs="Arial" w:eastAsia="Arial" w:hAnsi="Arial"/>
          <w:sz w:val="18"/>
          <w:szCs w:val="18"/>
          <w:color w:val="1D1D1D"/>
        </w:rPr>
        <w:t xml:space="preserve"> </w:t>
      </w:r>
      <w:r>
        <w:rPr>
          <w:rFonts w:ascii="Arial" w:cs="Arial" w:eastAsia="Arial" w:hAnsi="Arial"/>
          <w:sz w:val="18"/>
          <w:szCs w:val="18"/>
          <w:color w:val="1F1F1F"/>
        </w:rPr>
        <w:t>communication</w:t>
      </w:r>
      <w:r>
        <w:rPr>
          <w:rFonts w:ascii="Arial" w:cs="Arial" w:eastAsia="Arial" w:hAnsi="Arial"/>
          <w:sz w:val="18"/>
          <w:szCs w:val="18"/>
          <w:color w:val="1D1D1D"/>
        </w:rPr>
        <w:t xml:space="preserve"> </w:t>
      </w:r>
      <w:r>
        <w:rPr>
          <w:rFonts w:ascii="Arial" w:cs="Arial" w:eastAsia="Arial" w:hAnsi="Arial"/>
          <w:sz w:val="18"/>
          <w:szCs w:val="18"/>
          <w:color w:val="232323"/>
        </w:rPr>
        <w:t>under</w:t>
      </w:r>
      <w:r>
        <w:rPr>
          <w:rFonts w:ascii="Arial" w:cs="Arial" w:eastAsia="Arial" w:hAnsi="Arial"/>
          <w:sz w:val="18"/>
          <w:szCs w:val="18"/>
          <w:color w:val="1D1D1D"/>
        </w:rPr>
        <w:t xml:space="preserve"> </w:t>
      </w:r>
      <w:r>
        <w:rPr>
          <w:rFonts w:ascii="Arial" w:cs="Arial" w:eastAsia="Arial" w:hAnsi="Arial"/>
          <w:sz w:val="18"/>
          <w:szCs w:val="18"/>
          <w:color w:val="242424"/>
        </w:rPr>
        <w:t>this</w:t>
      </w:r>
      <w:r>
        <w:rPr>
          <w:rFonts w:ascii="Arial" w:cs="Arial" w:eastAsia="Arial" w:hAnsi="Arial"/>
          <w:sz w:val="18"/>
          <w:szCs w:val="18"/>
          <w:color w:val="1D1D1D"/>
        </w:rPr>
        <w:t xml:space="preserve"> </w:t>
      </w:r>
      <w:r>
        <w:rPr>
          <w:rFonts w:ascii="Arial" w:cs="Arial" w:eastAsia="Arial" w:hAnsi="Arial"/>
          <w:sz w:val="18"/>
          <w:szCs w:val="18"/>
          <w:color w:val="262626"/>
        </w:rPr>
        <w:t>document</w:t>
      </w:r>
      <w:r>
        <w:rPr>
          <w:rFonts w:ascii="Arial" w:cs="Arial" w:eastAsia="Arial" w:hAnsi="Arial"/>
          <w:sz w:val="18"/>
          <w:szCs w:val="18"/>
          <w:color w:val="1D1D1D"/>
        </w:rPr>
        <w:t xml:space="preserve"> </w:t>
      </w:r>
      <w:r>
        <w:rPr>
          <w:rFonts w:ascii="Arial" w:cs="Arial" w:eastAsia="Arial" w:hAnsi="Arial"/>
          <w:sz w:val="18"/>
          <w:szCs w:val="18"/>
          <w:color w:val="282828"/>
        </w:rPr>
        <w:t>is</w:t>
      </w:r>
      <w:r>
        <w:rPr>
          <w:rFonts w:ascii="Arial" w:cs="Arial" w:eastAsia="Arial" w:hAnsi="Arial"/>
          <w:sz w:val="18"/>
          <w:szCs w:val="18"/>
          <w:color w:val="1D1D1D"/>
        </w:rPr>
        <w:t xml:space="preserve"> </w:t>
      </w:r>
      <w:r>
        <w:rPr>
          <w:rFonts w:ascii="Arial" w:cs="Arial" w:eastAsia="Arial" w:hAnsi="Arial"/>
          <w:sz w:val="18"/>
          <w:szCs w:val="18"/>
          <w:color w:val="212121"/>
        </w:rPr>
        <w:t>only</w:t>
      </w:r>
      <w:r>
        <w:rPr>
          <w:rFonts w:ascii="Arial" w:cs="Arial" w:eastAsia="Arial" w:hAnsi="Arial"/>
          <w:sz w:val="18"/>
          <w:szCs w:val="18"/>
          <w:color w:val="1D1D1D"/>
        </w:rPr>
        <w:t xml:space="preserve"> effective </w:t>
      </w:r>
      <w:r>
        <w:rPr>
          <w:rFonts w:ascii="Arial" w:cs="Arial" w:eastAsia="Arial" w:hAnsi="Arial"/>
          <w:sz w:val="18"/>
          <w:szCs w:val="18"/>
          <w:color w:val="343434"/>
        </w:rPr>
        <w:t>if</w:t>
      </w:r>
      <w:r>
        <w:rPr>
          <w:rFonts w:ascii="Arial" w:cs="Arial" w:eastAsia="Arial" w:hAnsi="Arial"/>
          <w:sz w:val="18"/>
          <w:szCs w:val="18"/>
          <w:color w:val="1D1D1D"/>
        </w:rPr>
        <w:t xml:space="preserve"> </w:t>
      </w:r>
      <w:r>
        <w:rPr>
          <w:rFonts w:ascii="Arial" w:cs="Arial" w:eastAsia="Arial" w:hAnsi="Arial"/>
          <w:sz w:val="18"/>
          <w:szCs w:val="18"/>
          <w:color w:val="282828"/>
        </w:rPr>
        <w:t>it</w:t>
      </w:r>
      <w:r>
        <w:rPr>
          <w:rFonts w:ascii="Arial" w:cs="Arial" w:eastAsia="Arial" w:hAnsi="Arial"/>
          <w:sz w:val="18"/>
          <w:szCs w:val="18"/>
          <w:color w:val="1D1D1D"/>
        </w:rPr>
        <w:t xml:space="preserve"> </w:t>
      </w:r>
      <w:r>
        <w:rPr>
          <w:rFonts w:ascii="Arial" w:cs="Arial" w:eastAsia="Arial" w:hAnsi="Arial"/>
          <w:sz w:val="18"/>
          <w:szCs w:val="18"/>
          <w:color w:val="1F1F1F"/>
        </w:rPr>
        <w:t>is:</w:t>
      </w:r>
    </w:p>
    <w:p>
      <w:pPr>
        <w:spacing w:after="0" w:line="198" w:lineRule="exact"/>
        <w:rPr>
          <w:sz w:val="20"/>
          <w:szCs w:val="20"/>
          <w:color w:val="auto"/>
        </w:rPr>
      </w:pPr>
    </w:p>
    <w:p>
      <w:pPr>
        <w:ind w:left="1300" w:hanging="644"/>
        <w:spacing w:after="0"/>
        <w:tabs>
          <w:tab w:leader="none" w:pos="1300" w:val="left"/>
        </w:tabs>
        <w:numPr>
          <w:ilvl w:val="0"/>
          <w:numId w:val="207"/>
        </w:numPr>
        <w:rPr>
          <w:rFonts w:ascii="Arial" w:cs="Arial" w:eastAsia="Arial" w:hAnsi="Arial"/>
          <w:sz w:val="18"/>
          <w:szCs w:val="18"/>
          <w:color w:val="232323"/>
        </w:rPr>
      </w:pPr>
      <w:r>
        <w:rPr>
          <w:rFonts w:ascii="Arial" w:cs="Arial" w:eastAsia="Arial" w:hAnsi="Arial"/>
          <w:sz w:val="18"/>
          <w:szCs w:val="18"/>
          <w:color w:val="282828"/>
        </w:rPr>
        <w:t xml:space="preserve">in </w:t>
      </w:r>
      <w:r>
        <w:rPr>
          <w:rFonts w:ascii="Arial" w:cs="Arial" w:eastAsia="Arial" w:hAnsi="Arial"/>
          <w:sz w:val="18"/>
          <w:szCs w:val="18"/>
          <w:color w:val="111111"/>
        </w:rPr>
        <w:t>writing</w:t>
      </w:r>
      <w:r>
        <w:rPr>
          <w:rFonts w:ascii="Arial" w:cs="Arial" w:eastAsia="Arial" w:hAnsi="Arial"/>
          <w:sz w:val="18"/>
          <w:szCs w:val="18"/>
          <w:color w:val="282828"/>
        </w:rPr>
        <w:t xml:space="preserve"> in </w:t>
      </w:r>
      <w:r>
        <w:rPr>
          <w:rFonts w:ascii="Arial" w:cs="Arial" w:eastAsia="Arial" w:hAnsi="Arial"/>
          <w:sz w:val="18"/>
          <w:szCs w:val="18"/>
          <w:color w:val="1A1A1A"/>
        </w:rPr>
        <w:t>English,</w:t>
      </w:r>
      <w:r>
        <w:rPr>
          <w:rFonts w:ascii="Arial" w:cs="Arial" w:eastAsia="Arial" w:hAnsi="Arial"/>
          <w:sz w:val="18"/>
          <w:szCs w:val="18"/>
          <w:color w:val="282828"/>
        </w:rPr>
        <w:t xml:space="preserve"> </w:t>
      </w:r>
      <w:r>
        <w:rPr>
          <w:rFonts w:ascii="Arial" w:cs="Arial" w:eastAsia="Arial" w:hAnsi="Arial"/>
          <w:sz w:val="18"/>
          <w:szCs w:val="18"/>
          <w:color w:val="161616"/>
        </w:rPr>
        <w:t>signed</w:t>
      </w:r>
      <w:r>
        <w:rPr>
          <w:rFonts w:ascii="Arial" w:cs="Arial" w:eastAsia="Arial" w:hAnsi="Arial"/>
          <w:sz w:val="18"/>
          <w:szCs w:val="18"/>
          <w:color w:val="282828"/>
        </w:rPr>
        <w:t xml:space="preserve"> </w:t>
      </w:r>
      <w:r>
        <w:rPr>
          <w:rFonts w:ascii="Arial" w:cs="Arial" w:eastAsia="Arial" w:hAnsi="Arial"/>
          <w:sz w:val="18"/>
          <w:szCs w:val="18"/>
          <w:color w:val="151515"/>
        </w:rPr>
        <w:t>by</w:t>
      </w:r>
      <w:r>
        <w:rPr>
          <w:rFonts w:ascii="Arial" w:cs="Arial" w:eastAsia="Arial" w:hAnsi="Arial"/>
          <w:sz w:val="18"/>
          <w:szCs w:val="18"/>
          <w:color w:val="282828"/>
        </w:rPr>
        <w:t xml:space="preserve"> or on </w:t>
      </w:r>
      <w:r>
        <w:rPr>
          <w:rFonts w:ascii="Arial" w:cs="Arial" w:eastAsia="Arial" w:hAnsi="Arial"/>
          <w:sz w:val="18"/>
          <w:szCs w:val="18"/>
          <w:color w:val="1D1D1D"/>
        </w:rPr>
        <w:t>behalf</w:t>
      </w:r>
      <w:r>
        <w:rPr>
          <w:rFonts w:ascii="Arial" w:cs="Arial" w:eastAsia="Arial" w:hAnsi="Arial"/>
          <w:sz w:val="18"/>
          <w:szCs w:val="18"/>
          <w:color w:val="282828"/>
        </w:rPr>
        <w:t xml:space="preserve"> </w:t>
      </w:r>
      <w:r>
        <w:rPr>
          <w:rFonts w:ascii="Arial" w:cs="Arial" w:eastAsia="Arial" w:hAnsi="Arial"/>
          <w:sz w:val="18"/>
          <w:szCs w:val="18"/>
          <w:color w:val="1F1F1F"/>
        </w:rPr>
        <w:t>of</w:t>
      </w:r>
      <w:r>
        <w:rPr>
          <w:rFonts w:ascii="Arial" w:cs="Arial" w:eastAsia="Arial" w:hAnsi="Arial"/>
          <w:sz w:val="18"/>
          <w:szCs w:val="18"/>
          <w:color w:val="282828"/>
        </w:rPr>
        <w:t xml:space="preserve"> </w:t>
      </w:r>
      <w:r>
        <w:rPr>
          <w:rFonts w:ascii="Arial" w:cs="Arial" w:eastAsia="Arial" w:hAnsi="Arial"/>
          <w:sz w:val="18"/>
          <w:szCs w:val="18"/>
          <w:color w:val="262626"/>
        </w:rPr>
        <w:t>the</w:t>
      </w:r>
      <w:r>
        <w:rPr>
          <w:rFonts w:ascii="Arial" w:cs="Arial" w:eastAsia="Arial" w:hAnsi="Arial"/>
          <w:sz w:val="18"/>
          <w:szCs w:val="18"/>
          <w:color w:val="282828"/>
        </w:rPr>
        <w:t xml:space="preserve"> </w:t>
      </w:r>
      <w:r>
        <w:rPr>
          <w:rFonts w:ascii="Arial" w:cs="Arial" w:eastAsia="Arial" w:hAnsi="Arial"/>
          <w:sz w:val="18"/>
          <w:szCs w:val="18"/>
          <w:color w:val="1F1F1F"/>
        </w:rPr>
        <w:t>person</w:t>
      </w:r>
      <w:r>
        <w:rPr>
          <w:rFonts w:ascii="Arial" w:cs="Arial" w:eastAsia="Arial" w:hAnsi="Arial"/>
          <w:sz w:val="18"/>
          <w:szCs w:val="18"/>
          <w:color w:val="282828"/>
        </w:rPr>
        <w:t xml:space="preserve"> </w:t>
      </w:r>
      <w:r>
        <w:rPr>
          <w:rFonts w:ascii="Arial" w:cs="Arial" w:eastAsia="Arial" w:hAnsi="Arial"/>
          <w:sz w:val="18"/>
          <w:szCs w:val="18"/>
          <w:color w:val="111111"/>
        </w:rPr>
        <w:t>giving</w:t>
      </w:r>
      <w:r>
        <w:rPr>
          <w:rFonts w:ascii="Arial" w:cs="Arial" w:eastAsia="Arial" w:hAnsi="Arial"/>
          <w:sz w:val="18"/>
          <w:szCs w:val="18"/>
          <w:color w:val="282828"/>
        </w:rPr>
        <w:t xml:space="preserve"> </w:t>
      </w:r>
      <w:r>
        <w:rPr>
          <w:rFonts w:ascii="Arial" w:cs="Arial" w:eastAsia="Arial" w:hAnsi="Arial"/>
          <w:sz w:val="18"/>
          <w:szCs w:val="18"/>
          <w:color w:val="242424"/>
        </w:rPr>
        <w:t>it;</w:t>
      </w:r>
    </w:p>
    <w:p>
      <w:pPr>
        <w:spacing w:after="0" w:line="198" w:lineRule="exact"/>
        <w:rPr>
          <w:rFonts w:ascii="Arial" w:cs="Arial" w:eastAsia="Arial" w:hAnsi="Arial"/>
          <w:sz w:val="18"/>
          <w:szCs w:val="18"/>
          <w:color w:val="232323"/>
        </w:rPr>
      </w:pPr>
    </w:p>
    <w:p>
      <w:pPr>
        <w:ind w:left="1300" w:hanging="644"/>
        <w:spacing w:after="0"/>
        <w:tabs>
          <w:tab w:leader="none" w:pos="1300" w:val="left"/>
        </w:tabs>
        <w:numPr>
          <w:ilvl w:val="0"/>
          <w:numId w:val="207"/>
        </w:numPr>
        <w:rPr>
          <w:rFonts w:ascii="Arial" w:cs="Arial" w:eastAsia="Arial" w:hAnsi="Arial"/>
          <w:sz w:val="18"/>
          <w:szCs w:val="18"/>
          <w:color w:val="282828"/>
        </w:rPr>
      </w:pPr>
      <w:r>
        <w:rPr>
          <w:rFonts w:ascii="Arial" w:cs="Arial" w:eastAsia="Arial" w:hAnsi="Arial"/>
          <w:sz w:val="18"/>
          <w:szCs w:val="18"/>
          <w:color w:val="1A1A1A"/>
        </w:rPr>
        <w:t xml:space="preserve">addressed </w:t>
      </w:r>
      <w:r>
        <w:rPr>
          <w:rFonts w:ascii="Arial" w:cs="Arial" w:eastAsia="Arial" w:hAnsi="Arial"/>
          <w:sz w:val="18"/>
          <w:szCs w:val="18"/>
          <w:color w:val="212121"/>
        </w:rPr>
        <w:t>to</w:t>
      </w:r>
      <w:r>
        <w:rPr>
          <w:rFonts w:ascii="Arial" w:cs="Arial" w:eastAsia="Arial" w:hAnsi="Arial"/>
          <w:sz w:val="18"/>
          <w:szCs w:val="18"/>
          <w:color w:val="1A1A1A"/>
        </w:rPr>
        <w:t xml:space="preserve"> </w:t>
      </w:r>
      <w:r>
        <w:rPr>
          <w:rFonts w:ascii="Arial" w:cs="Arial" w:eastAsia="Arial" w:hAnsi="Arial"/>
          <w:sz w:val="18"/>
          <w:szCs w:val="18"/>
          <w:color w:val="232323"/>
        </w:rPr>
        <w:t>the</w:t>
      </w:r>
      <w:r>
        <w:rPr>
          <w:rFonts w:ascii="Arial" w:cs="Arial" w:eastAsia="Arial" w:hAnsi="Arial"/>
          <w:sz w:val="18"/>
          <w:szCs w:val="18"/>
          <w:color w:val="1A1A1A"/>
        </w:rPr>
        <w:t xml:space="preserve"> </w:t>
      </w:r>
      <w:r>
        <w:rPr>
          <w:rFonts w:ascii="Arial" w:cs="Arial" w:eastAsia="Arial" w:hAnsi="Arial"/>
          <w:sz w:val="18"/>
          <w:szCs w:val="18"/>
          <w:color w:val="131313"/>
        </w:rPr>
        <w:t>person</w:t>
      </w:r>
      <w:r>
        <w:rPr>
          <w:rFonts w:ascii="Arial" w:cs="Arial" w:eastAsia="Arial" w:hAnsi="Arial"/>
          <w:sz w:val="18"/>
          <w:szCs w:val="18"/>
          <w:color w:val="1A1A1A"/>
        </w:rPr>
        <w:t xml:space="preserve"> </w:t>
      </w:r>
      <w:r>
        <w:rPr>
          <w:rFonts w:ascii="Arial" w:cs="Arial" w:eastAsia="Arial" w:hAnsi="Arial"/>
          <w:sz w:val="18"/>
          <w:szCs w:val="18"/>
          <w:color w:val="242424"/>
        </w:rPr>
        <w:t>to</w:t>
      </w:r>
      <w:r>
        <w:rPr>
          <w:rFonts w:ascii="Arial" w:cs="Arial" w:eastAsia="Arial" w:hAnsi="Arial"/>
          <w:sz w:val="18"/>
          <w:szCs w:val="18"/>
          <w:color w:val="1A1A1A"/>
        </w:rPr>
        <w:t xml:space="preserve"> </w:t>
      </w:r>
      <w:r>
        <w:rPr>
          <w:rFonts w:ascii="Arial" w:cs="Arial" w:eastAsia="Arial" w:hAnsi="Arial"/>
          <w:sz w:val="18"/>
          <w:szCs w:val="18"/>
          <w:color w:val="181818"/>
        </w:rPr>
        <w:t>whom</w:t>
      </w:r>
      <w:r>
        <w:rPr>
          <w:rFonts w:ascii="Arial" w:cs="Arial" w:eastAsia="Arial" w:hAnsi="Arial"/>
          <w:sz w:val="18"/>
          <w:szCs w:val="18"/>
          <w:color w:val="1A1A1A"/>
        </w:rPr>
        <w:t xml:space="preserve"> it </w:t>
      </w:r>
      <w:r>
        <w:rPr>
          <w:rFonts w:ascii="Arial" w:cs="Arial" w:eastAsia="Arial" w:hAnsi="Arial"/>
          <w:sz w:val="18"/>
          <w:szCs w:val="18"/>
          <w:color w:val="2B2B2B"/>
        </w:rPr>
        <w:t>is</w:t>
      </w:r>
      <w:r>
        <w:rPr>
          <w:rFonts w:ascii="Arial" w:cs="Arial" w:eastAsia="Arial" w:hAnsi="Arial"/>
          <w:sz w:val="18"/>
          <w:szCs w:val="18"/>
          <w:color w:val="1A1A1A"/>
        </w:rPr>
        <w:t xml:space="preserve"> </w:t>
      </w:r>
      <w:r>
        <w:rPr>
          <w:rFonts w:ascii="Arial" w:cs="Arial" w:eastAsia="Arial" w:hAnsi="Arial"/>
          <w:sz w:val="18"/>
          <w:szCs w:val="18"/>
          <w:color w:val="212121"/>
        </w:rPr>
        <w:t>to</w:t>
      </w:r>
      <w:r>
        <w:rPr>
          <w:rFonts w:ascii="Arial" w:cs="Arial" w:eastAsia="Arial" w:hAnsi="Arial"/>
          <w:sz w:val="18"/>
          <w:szCs w:val="18"/>
          <w:color w:val="1A1A1A"/>
        </w:rPr>
        <w:t xml:space="preserve"> </w:t>
      </w:r>
      <w:r>
        <w:rPr>
          <w:rFonts w:ascii="Arial" w:cs="Arial" w:eastAsia="Arial" w:hAnsi="Arial"/>
          <w:sz w:val="18"/>
          <w:szCs w:val="18"/>
          <w:color w:val="181818"/>
        </w:rPr>
        <w:t>be</w:t>
      </w:r>
      <w:r>
        <w:rPr>
          <w:rFonts w:ascii="Arial" w:cs="Arial" w:eastAsia="Arial" w:hAnsi="Arial"/>
          <w:sz w:val="18"/>
          <w:szCs w:val="18"/>
          <w:color w:val="1A1A1A"/>
        </w:rPr>
        <w:t xml:space="preserve"> given; </w:t>
      </w:r>
      <w:r>
        <w:rPr>
          <w:rFonts w:ascii="Arial" w:cs="Arial" w:eastAsia="Arial" w:hAnsi="Arial"/>
          <w:sz w:val="18"/>
          <w:szCs w:val="18"/>
          <w:color w:val="1D1D1D"/>
        </w:rPr>
        <w:t>and</w:t>
      </w:r>
    </w:p>
    <w:p>
      <w:pPr>
        <w:spacing w:after="0" w:line="198" w:lineRule="exact"/>
        <w:rPr>
          <w:rFonts w:ascii="Arial" w:cs="Arial" w:eastAsia="Arial" w:hAnsi="Arial"/>
          <w:sz w:val="18"/>
          <w:szCs w:val="18"/>
          <w:color w:val="282828"/>
        </w:rPr>
      </w:pPr>
    </w:p>
    <w:p>
      <w:pPr>
        <w:ind w:left="1300" w:hanging="644"/>
        <w:spacing w:after="0"/>
        <w:tabs>
          <w:tab w:leader="none" w:pos="1300" w:val="left"/>
        </w:tabs>
        <w:numPr>
          <w:ilvl w:val="0"/>
          <w:numId w:val="207"/>
        </w:numPr>
        <w:rPr>
          <w:rFonts w:ascii="Arial" w:cs="Arial" w:eastAsia="Arial" w:hAnsi="Arial"/>
          <w:sz w:val="18"/>
          <w:szCs w:val="18"/>
          <w:color w:val="242424"/>
        </w:rPr>
      </w:pPr>
      <w:r>
        <w:rPr>
          <w:rFonts w:ascii="Arial" w:cs="Arial" w:eastAsia="Arial" w:hAnsi="Arial"/>
          <w:sz w:val="18"/>
          <w:szCs w:val="18"/>
          <w:color w:val="1C1C1C"/>
        </w:rPr>
        <w:t xml:space="preserve">given </w:t>
      </w:r>
      <w:r>
        <w:rPr>
          <w:rFonts w:ascii="Arial" w:cs="Arial" w:eastAsia="Arial" w:hAnsi="Arial"/>
          <w:sz w:val="18"/>
          <w:szCs w:val="18"/>
          <w:color w:val="1D1D1D"/>
        </w:rPr>
        <w:t>as follows:</w:t>
      </w:r>
    </w:p>
    <w:p>
      <w:pPr>
        <w:spacing w:after="0" w:line="198" w:lineRule="exact"/>
        <w:rPr>
          <w:rFonts w:ascii="Arial" w:cs="Arial" w:eastAsia="Arial" w:hAnsi="Arial"/>
          <w:sz w:val="18"/>
          <w:szCs w:val="18"/>
          <w:color w:val="242424"/>
        </w:rPr>
      </w:pPr>
    </w:p>
    <w:p>
      <w:pPr>
        <w:ind w:left="1960" w:hanging="656"/>
        <w:spacing w:after="0"/>
        <w:tabs>
          <w:tab w:leader="none" w:pos="1960" w:val="left"/>
        </w:tabs>
        <w:numPr>
          <w:ilvl w:val="1"/>
          <w:numId w:val="207"/>
        </w:numPr>
        <w:rPr>
          <w:rFonts w:ascii="Arial" w:cs="Arial" w:eastAsia="Arial" w:hAnsi="Arial"/>
          <w:sz w:val="18"/>
          <w:szCs w:val="18"/>
          <w:color w:val="333333"/>
        </w:rPr>
      </w:pPr>
      <w:r>
        <w:rPr>
          <w:rFonts w:ascii="Arial" w:cs="Arial" w:eastAsia="Arial" w:hAnsi="Arial"/>
          <w:sz w:val="18"/>
          <w:szCs w:val="18"/>
          <w:color w:val="151515"/>
        </w:rPr>
        <w:t xml:space="preserve">delivered </w:t>
      </w:r>
      <w:r>
        <w:rPr>
          <w:rFonts w:ascii="Arial" w:cs="Arial" w:eastAsia="Arial" w:hAnsi="Arial"/>
          <w:sz w:val="18"/>
          <w:szCs w:val="18"/>
          <w:color w:val="1F1F1F"/>
        </w:rPr>
        <w:t>by</w:t>
      </w:r>
      <w:r>
        <w:rPr>
          <w:rFonts w:ascii="Arial" w:cs="Arial" w:eastAsia="Arial" w:hAnsi="Arial"/>
          <w:sz w:val="18"/>
          <w:szCs w:val="18"/>
          <w:color w:val="151515"/>
        </w:rPr>
        <w:t xml:space="preserve"> </w:t>
      </w:r>
      <w:r>
        <w:rPr>
          <w:rFonts w:ascii="Arial" w:cs="Arial" w:eastAsia="Arial" w:hAnsi="Arial"/>
          <w:sz w:val="18"/>
          <w:szCs w:val="18"/>
          <w:color w:val="212121"/>
        </w:rPr>
        <w:t>hand</w:t>
      </w:r>
      <w:r>
        <w:rPr>
          <w:rFonts w:ascii="Arial" w:cs="Arial" w:eastAsia="Arial" w:hAnsi="Arial"/>
          <w:sz w:val="18"/>
          <w:szCs w:val="18"/>
          <w:color w:val="151515"/>
        </w:rPr>
        <w:t xml:space="preserve"> </w:t>
      </w:r>
      <w:r>
        <w:rPr>
          <w:rFonts w:ascii="Arial" w:cs="Arial" w:eastAsia="Arial" w:hAnsi="Arial"/>
          <w:sz w:val="18"/>
          <w:szCs w:val="18"/>
          <w:color w:val="242424"/>
        </w:rPr>
        <w:t>to</w:t>
      </w:r>
      <w:r>
        <w:rPr>
          <w:rFonts w:ascii="Arial" w:cs="Arial" w:eastAsia="Arial" w:hAnsi="Arial"/>
          <w:sz w:val="18"/>
          <w:szCs w:val="18"/>
          <w:color w:val="151515"/>
        </w:rPr>
        <w:t xml:space="preserve"> </w:t>
      </w:r>
      <w:r>
        <w:rPr>
          <w:rFonts w:ascii="Arial" w:cs="Arial" w:eastAsia="Arial" w:hAnsi="Arial"/>
          <w:sz w:val="18"/>
          <w:szCs w:val="18"/>
          <w:color w:val="1F1F1F"/>
        </w:rPr>
        <w:t>that</w:t>
      </w:r>
      <w:r>
        <w:rPr>
          <w:rFonts w:ascii="Arial" w:cs="Arial" w:eastAsia="Arial" w:hAnsi="Arial"/>
          <w:sz w:val="18"/>
          <w:szCs w:val="18"/>
          <w:color w:val="151515"/>
        </w:rPr>
        <w:t xml:space="preserve"> </w:t>
      </w:r>
      <w:r>
        <w:rPr>
          <w:rFonts w:ascii="Arial" w:cs="Arial" w:eastAsia="Arial" w:hAnsi="Arial"/>
          <w:sz w:val="18"/>
          <w:szCs w:val="18"/>
          <w:color w:val="242424"/>
        </w:rPr>
        <w:t>person’s</w:t>
      </w:r>
      <w:r>
        <w:rPr>
          <w:rFonts w:ascii="Arial" w:cs="Arial" w:eastAsia="Arial" w:hAnsi="Arial"/>
          <w:sz w:val="18"/>
          <w:szCs w:val="18"/>
          <w:color w:val="151515"/>
        </w:rPr>
        <w:t xml:space="preserve"> </w:t>
      </w:r>
      <w:r>
        <w:rPr>
          <w:rFonts w:ascii="Arial" w:cs="Arial" w:eastAsia="Arial" w:hAnsi="Arial"/>
          <w:sz w:val="18"/>
          <w:szCs w:val="18"/>
          <w:color w:val="1F1F1F"/>
        </w:rPr>
        <w:t>address;</w:t>
      </w:r>
    </w:p>
    <w:p>
      <w:pPr>
        <w:spacing w:after="0" w:line="198" w:lineRule="exact"/>
        <w:rPr>
          <w:rFonts w:ascii="Arial" w:cs="Arial" w:eastAsia="Arial" w:hAnsi="Arial"/>
          <w:sz w:val="18"/>
          <w:szCs w:val="18"/>
          <w:color w:val="333333"/>
        </w:rPr>
      </w:pPr>
    </w:p>
    <w:p>
      <w:pPr>
        <w:ind w:left="1960" w:hanging="656"/>
        <w:spacing w:after="0"/>
        <w:tabs>
          <w:tab w:leader="none" w:pos="1960" w:val="left"/>
        </w:tabs>
        <w:numPr>
          <w:ilvl w:val="1"/>
          <w:numId w:val="207"/>
        </w:numPr>
        <w:rPr>
          <w:rFonts w:ascii="Arial" w:cs="Arial" w:eastAsia="Arial" w:hAnsi="Arial"/>
          <w:sz w:val="18"/>
          <w:szCs w:val="18"/>
          <w:color w:val="282828"/>
        </w:rPr>
      </w:pPr>
      <w:r>
        <w:rPr>
          <w:rFonts w:ascii="Arial" w:cs="Arial" w:eastAsia="Arial" w:hAnsi="Arial"/>
          <w:sz w:val="18"/>
          <w:szCs w:val="18"/>
          <w:color w:val="212121"/>
        </w:rPr>
        <w:t xml:space="preserve">sent </w:t>
      </w:r>
      <w:r>
        <w:rPr>
          <w:rFonts w:ascii="Arial" w:cs="Arial" w:eastAsia="Arial" w:hAnsi="Arial"/>
          <w:sz w:val="18"/>
          <w:szCs w:val="18"/>
          <w:color w:val="262626"/>
        </w:rPr>
        <w:t>to</w:t>
      </w:r>
      <w:r>
        <w:rPr>
          <w:rFonts w:ascii="Arial" w:cs="Arial" w:eastAsia="Arial" w:hAnsi="Arial"/>
          <w:sz w:val="18"/>
          <w:szCs w:val="18"/>
          <w:color w:val="212121"/>
        </w:rPr>
        <w:t xml:space="preserve"> that </w:t>
      </w:r>
      <w:r>
        <w:rPr>
          <w:rFonts w:ascii="Arial" w:cs="Arial" w:eastAsia="Arial" w:hAnsi="Arial"/>
          <w:sz w:val="18"/>
          <w:szCs w:val="18"/>
          <w:color w:val="181818"/>
        </w:rPr>
        <w:t>person’s</w:t>
      </w:r>
      <w:r>
        <w:rPr>
          <w:rFonts w:ascii="Arial" w:cs="Arial" w:eastAsia="Arial" w:hAnsi="Arial"/>
          <w:sz w:val="18"/>
          <w:szCs w:val="18"/>
          <w:color w:val="212121"/>
        </w:rPr>
        <w:t xml:space="preserve"> </w:t>
      </w:r>
      <w:r>
        <w:rPr>
          <w:rFonts w:ascii="Arial" w:cs="Arial" w:eastAsia="Arial" w:hAnsi="Arial"/>
          <w:sz w:val="18"/>
          <w:szCs w:val="18"/>
          <w:color w:val="1C1C1C"/>
        </w:rPr>
        <w:t>address</w:t>
      </w:r>
      <w:r>
        <w:rPr>
          <w:rFonts w:ascii="Arial" w:cs="Arial" w:eastAsia="Arial" w:hAnsi="Arial"/>
          <w:sz w:val="18"/>
          <w:szCs w:val="18"/>
          <w:color w:val="212121"/>
        </w:rPr>
        <w:t xml:space="preserve"> by </w:t>
      </w:r>
      <w:r>
        <w:rPr>
          <w:rFonts w:ascii="Arial" w:cs="Arial" w:eastAsia="Arial" w:hAnsi="Arial"/>
          <w:sz w:val="18"/>
          <w:szCs w:val="18"/>
          <w:color w:val="282828"/>
        </w:rPr>
        <w:t>prepaid</w:t>
      </w:r>
      <w:r>
        <w:rPr>
          <w:rFonts w:ascii="Arial" w:cs="Arial" w:eastAsia="Arial" w:hAnsi="Arial"/>
          <w:sz w:val="18"/>
          <w:szCs w:val="18"/>
          <w:color w:val="212121"/>
        </w:rPr>
        <w:t xml:space="preserve"> </w:t>
      </w:r>
      <w:r>
        <w:rPr>
          <w:rFonts w:ascii="Arial" w:cs="Arial" w:eastAsia="Arial" w:hAnsi="Arial"/>
          <w:sz w:val="18"/>
          <w:szCs w:val="18"/>
          <w:color w:val="232323"/>
        </w:rPr>
        <w:t>mail</w:t>
      </w:r>
      <w:r>
        <w:rPr>
          <w:rFonts w:ascii="Arial" w:cs="Arial" w:eastAsia="Arial" w:hAnsi="Arial"/>
          <w:sz w:val="18"/>
          <w:szCs w:val="18"/>
          <w:color w:val="212121"/>
        </w:rPr>
        <w:t xml:space="preserve"> </w:t>
      </w:r>
      <w:r>
        <w:rPr>
          <w:rFonts w:ascii="Arial" w:cs="Arial" w:eastAsia="Arial" w:hAnsi="Arial"/>
          <w:sz w:val="18"/>
          <w:szCs w:val="18"/>
          <w:color w:val="2B2B2B"/>
        </w:rPr>
        <w:t>or</w:t>
      </w:r>
      <w:r>
        <w:rPr>
          <w:rFonts w:ascii="Arial" w:cs="Arial" w:eastAsia="Arial" w:hAnsi="Arial"/>
          <w:sz w:val="18"/>
          <w:szCs w:val="18"/>
          <w:color w:val="212121"/>
        </w:rPr>
        <w:t xml:space="preserve"> </w:t>
      </w:r>
      <w:r>
        <w:rPr>
          <w:rFonts w:ascii="Arial" w:cs="Arial" w:eastAsia="Arial" w:hAnsi="Arial"/>
          <w:sz w:val="18"/>
          <w:szCs w:val="18"/>
          <w:color w:val="232323"/>
        </w:rPr>
        <w:t>by</w:t>
      </w:r>
      <w:r>
        <w:rPr>
          <w:rFonts w:ascii="Arial" w:cs="Arial" w:eastAsia="Arial" w:hAnsi="Arial"/>
          <w:sz w:val="18"/>
          <w:szCs w:val="18"/>
          <w:color w:val="212121"/>
        </w:rPr>
        <w:t xml:space="preserve"> </w:t>
      </w:r>
      <w:r>
        <w:rPr>
          <w:rFonts w:ascii="Arial" w:cs="Arial" w:eastAsia="Arial" w:hAnsi="Arial"/>
          <w:sz w:val="18"/>
          <w:szCs w:val="18"/>
          <w:color w:val="262626"/>
        </w:rPr>
        <w:t>prepaid</w:t>
      </w:r>
      <w:r>
        <w:rPr>
          <w:rFonts w:ascii="Arial" w:cs="Arial" w:eastAsia="Arial" w:hAnsi="Arial"/>
          <w:sz w:val="18"/>
          <w:szCs w:val="18"/>
          <w:color w:val="212121"/>
        </w:rPr>
        <w:t xml:space="preserve"> </w:t>
      </w:r>
      <w:r>
        <w:rPr>
          <w:rFonts w:ascii="Arial" w:cs="Arial" w:eastAsia="Arial" w:hAnsi="Arial"/>
          <w:sz w:val="18"/>
          <w:szCs w:val="18"/>
          <w:color w:val="1D1D1D"/>
        </w:rPr>
        <w:t>airmail,</w:t>
      </w:r>
      <w:r>
        <w:rPr>
          <w:rFonts w:ascii="Arial" w:cs="Arial" w:eastAsia="Arial" w:hAnsi="Arial"/>
          <w:sz w:val="18"/>
          <w:szCs w:val="18"/>
          <w:color w:val="212121"/>
        </w:rPr>
        <w:t xml:space="preserve"> </w:t>
      </w:r>
      <w:r>
        <w:rPr>
          <w:rFonts w:ascii="Arial" w:cs="Arial" w:eastAsia="Arial" w:hAnsi="Arial"/>
          <w:sz w:val="18"/>
          <w:szCs w:val="18"/>
          <w:color w:val="313131"/>
        </w:rPr>
        <w:t>if</w:t>
      </w:r>
      <w:r>
        <w:rPr>
          <w:rFonts w:ascii="Arial" w:cs="Arial" w:eastAsia="Arial" w:hAnsi="Arial"/>
          <w:sz w:val="18"/>
          <w:szCs w:val="18"/>
          <w:color w:val="212121"/>
        </w:rPr>
        <w:t xml:space="preserve"> the </w:t>
      </w:r>
      <w:r>
        <w:rPr>
          <w:rFonts w:ascii="Arial" w:cs="Arial" w:eastAsia="Arial" w:hAnsi="Arial"/>
          <w:sz w:val="18"/>
          <w:szCs w:val="18"/>
          <w:color w:val="282828"/>
        </w:rPr>
        <w:t>address</w:t>
      </w:r>
      <w:r>
        <w:rPr>
          <w:rFonts w:ascii="Arial" w:cs="Arial" w:eastAsia="Arial" w:hAnsi="Arial"/>
          <w:sz w:val="18"/>
          <w:szCs w:val="18"/>
          <w:color w:val="212121"/>
        </w:rPr>
        <w:t xml:space="preserve"> </w:t>
      </w:r>
      <w:r>
        <w:rPr>
          <w:rFonts w:ascii="Arial" w:cs="Arial" w:eastAsia="Arial" w:hAnsi="Arial"/>
          <w:sz w:val="18"/>
          <w:szCs w:val="18"/>
          <w:color w:val="2A2A2A"/>
        </w:rPr>
        <w:t>is</w:t>
      </w:r>
      <w:r>
        <w:rPr>
          <w:rFonts w:ascii="Arial" w:cs="Arial" w:eastAsia="Arial" w:hAnsi="Arial"/>
          <w:sz w:val="18"/>
          <w:szCs w:val="18"/>
          <w:color w:val="212121"/>
        </w:rPr>
        <w:t xml:space="preserve"> </w:t>
      </w:r>
      <w:r>
        <w:rPr>
          <w:rFonts w:ascii="Arial" w:cs="Arial" w:eastAsia="Arial" w:hAnsi="Arial"/>
          <w:sz w:val="18"/>
          <w:szCs w:val="18"/>
          <w:color w:val="1F1F1F"/>
        </w:rPr>
        <w:t>overseas;</w:t>
      </w:r>
    </w:p>
    <w:p>
      <w:pPr>
        <w:spacing w:after="0" w:line="198" w:lineRule="exact"/>
        <w:rPr>
          <w:rFonts w:ascii="Arial" w:cs="Arial" w:eastAsia="Arial" w:hAnsi="Arial"/>
          <w:sz w:val="18"/>
          <w:szCs w:val="18"/>
          <w:color w:val="282828"/>
        </w:rPr>
      </w:pPr>
    </w:p>
    <w:p>
      <w:pPr>
        <w:ind w:left="1960" w:right="560" w:hanging="656"/>
        <w:spacing w:after="0"/>
        <w:tabs>
          <w:tab w:leader="none" w:pos="1960" w:val="left"/>
        </w:tabs>
        <w:numPr>
          <w:ilvl w:val="1"/>
          <w:numId w:val="207"/>
        </w:numPr>
        <w:rPr>
          <w:rFonts w:ascii="Arial" w:cs="Arial" w:eastAsia="Arial" w:hAnsi="Arial"/>
          <w:sz w:val="18"/>
          <w:szCs w:val="18"/>
          <w:color w:val="1F1F1F"/>
        </w:rPr>
      </w:pPr>
      <w:r>
        <w:rPr>
          <w:rFonts w:ascii="Arial" w:cs="Arial" w:eastAsia="Arial" w:hAnsi="Arial"/>
          <w:sz w:val="18"/>
          <w:szCs w:val="18"/>
          <w:color w:val="181818"/>
        </w:rPr>
        <w:t xml:space="preserve">sent </w:t>
      </w:r>
      <w:r>
        <w:rPr>
          <w:rFonts w:ascii="Arial" w:cs="Arial" w:eastAsia="Arial" w:hAnsi="Arial"/>
          <w:sz w:val="18"/>
          <w:szCs w:val="18"/>
          <w:color w:val="232323"/>
        </w:rPr>
        <w:t>by</w:t>
      </w:r>
      <w:r>
        <w:rPr>
          <w:rFonts w:ascii="Arial" w:cs="Arial" w:eastAsia="Arial" w:hAnsi="Arial"/>
          <w:sz w:val="18"/>
          <w:szCs w:val="18"/>
          <w:color w:val="181818"/>
        </w:rPr>
        <w:t xml:space="preserve"> </w:t>
      </w:r>
      <w:r>
        <w:rPr>
          <w:rFonts w:ascii="Arial" w:cs="Arial" w:eastAsia="Arial" w:hAnsi="Arial"/>
          <w:sz w:val="18"/>
          <w:szCs w:val="18"/>
          <w:color w:val="242424"/>
        </w:rPr>
        <w:t>fax</w:t>
      </w:r>
      <w:r>
        <w:rPr>
          <w:rFonts w:ascii="Arial" w:cs="Arial" w:eastAsia="Arial" w:hAnsi="Arial"/>
          <w:sz w:val="18"/>
          <w:szCs w:val="18"/>
          <w:color w:val="181818"/>
        </w:rPr>
        <w:t xml:space="preserve"> </w:t>
      </w:r>
      <w:r>
        <w:rPr>
          <w:rFonts w:ascii="Arial" w:cs="Arial" w:eastAsia="Arial" w:hAnsi="Arial"/>
          <w:sz w:val="18"/>
          <w:szCs w:val="18"/>
          <w:color w:val="2D2D2D"/>
        </w:rPr>
        <w:t>to</w:t>
      </w:r>
      <w:r>
        <w:rPr>
          <w:rFonts w:ascii="Arial" w:cs="Arial" w:eastAsia="Arial" w:hAnsi="Arial"/>
          <w:sz w:val="18"/>
          <w:szCs w:val="18"/>
          <w:color w:val="181818"/>
        </w:rPr>
        <w:t xml:space="preserve"> </w:t>
      </w:r>
      <w:r>
        <w:rPr>
          <w:rFonts w:ascii="Arial" w:cs="Arial" w:eastAsia="Arial" w:hAnsi="Arial"/>
          <w:sz w:val="18"/>
          <w:szCs w:val="18"/>
          <w:color w:val="242424"/>
        </w:rPr>
        <w:t>that</w:t>
      </w:r>
      <w:r>
        <w:rPr>
          <w:rFonts w:ascii="Arial" w:cs="Arial" w:eastAsia="Arial" w:hAnsi="Arial"/>
          <w:sz w:val="18"/>
          <w:szCs w:val="18"/>
          <w:color w:val="181818"/>
        </w:rPr>
        <w:t xml:space="preserve"> </w:t>
      </w:r>
      <w:r>
        <w:rPr>
          <w:rFonts w:ascii="Arial" w:cs="Arial" w:eastAsia="Arial" w:hAnsi="Arial"/>
          <w:sz w:val="18"/>
          <w:szCs w:val="18"/>
          <w:color w:val="1A1A1A"/>
        </w:rPr>
        <w:t>person’s</w:t>
      </w:r>
      <w:r>
        <w:rPr>
          <w:rFonts w:ascii="Arial" w:cs="Arial" w:eastAsia="Arial" w:hAnsi="Arial"/>
          <w:sz w:val="18"/>
          <w:szCs w:val="18"/>
          <w:color w:val="181818"/>
        </w:rPr>
        <w:t xml:space="preserve"> </w:t>
      </w:r>
      <w:r>
        <w:rPr>
          <w:rFonts w:ascii="Arial" w:cs="Arial" w:eastAsia="Arial" w:hAnsi="Arial"/>
          <w:sz w:val="18"/>
          <w:szCs w:val="18"/>
          <w:color w:val="232323"/>
        </w:rPr>
        <w:t>fax</w:t>
      </w:r>
      <w:r>
        <w:rPr>
          <w:rFonts w:ascii="Arial" w:cs="Arial" w:eastAsia="Arial" w:hAnsi="Arial"/>
          <w:sz w:val="18"/>
          <w:szCs w:val="18"/>
          <w:color w:val="181818"/>
        </w:rPr>
        <w:t xml:space="preserve"> </w:t>
      </w:r>
      <w:r>
        <w:rPr>
          <w:rFonts w:ascii="Arial" w:cs="Arial" w:eastAsia="Arial" w:hAnsi="Arial"/>
          <w:sz w:val="18"/>
          <w:szCs w:val="18"/>
          <w:color w:val="212121"/>
        </w:rPr>
        <w:t>number</w:t>
      </w:r>
      <w:r>
        <w:rPr>
          <w:rFonts w:ascii="Arial" w:cs="Arial" w:eastAsia="Arial" w:hAnsi="Arial"/>
          <w:sz w:val="18"/>
          <w:szCs w:val="18"/>
          <w:color w:val="181818"/>
        </w:rPr>
        <w:t xml:space="preserve"> </w:t>
      </w:r>
      <w:r>
        <w:rPr>
          <w:rFonts w:ascii="Arial" w:cs="Arial" w:eastAsia="Arial" w:hAnsi="Arial"/>
          <w:sz w:val="18"/>
          <w:szCs w:val="18"/>
          <w:color w:val="1D1D1D"/>
        </w:rPr>
        <w:t>where</w:t>
      </w:r>
      <w:r>
        <w:rPr>
          <w:rFonts w:ascii="Arial" w:cs="Arial" w:eastAsia="Arial" w:hAnsi="Arial"/>
          <w:sz w:val="18"/>
          <w:szCs w:val="18"/>
          <w:color w:val="181818"/>
        </w:rPr>
        <w:t xml:space="preserve"> </w:t>
      </w:r>
      <w:r>
        <w:rPr>
          <w:rFonts w:ascii="Arial" w:cs="Arial" w:eastAsia="Arial" w:hAnsi="Arial"/>
          <w:sz w:val="18"/>
          <w:szCs w:val="18"/>
          <w:color w:val="1F1F1F"/>
        </w:rPr>
        <w:t>the sender</w:t>
      </w:r>
      <w:r>
        <w:rPr>
          <w:rFonts w:ascii="Arial" w:cs="Arial" w:eastAsia="Arial" w:hAnsi="Arial"/>
          <w:sz w:val="18"/>
          <w:szCs w:val="18"/>
          <w:color w:val="181818"/>
        </w:rPr>
        <w:t xml:space="preserve"> </w:t>
      </w:r>
      <w:r>
        <w:rPr>
          <w:rFonts w:ascii="Arial" w:cs="Arial" w:eastAsia="Arial" w:hAnsi="Arial"/>
          <w:sz w:val="18"/>
          <w:szCs w:val="18"/>
          <w:color w:val="1C1C1C"/>
        </w:rPr>
        <w:t>receives</w:t>
      </w:r>
      <w:r>
        <w:rPr>
          <w:rFonts w:ascii="Arial" w:cs="Arial" w:eastAsia="Arial" w:hAnsi="Arial"/>
          <w:sz w:val="18"/>
          <w:szCs w:val="18"/>
          <w:color w:val="181818"/>
        </w:rPr>
        <w:t xml:space="preserve"> </w:t>
      </w:r>
      <w:r>
        <w:rPr>
          <w:rFonts w:ascii="Arial" w:cs="Arial" w:eastAsia="Arial" w:hAnsi="Arial"/>
          <w:sz w:val="18"/>
          <w:szCs w:val="18"/>
          <w:color w:val="2D2D2D"/>
        </w:rPr>
        <w:t>a</w:t>
      </w:r>
      <w:r>
        <w:rPr>
          <w:rFonts w:ascii="Arial" w:cs="Arial" w:eastAsia="Arial" w:hAnsi="Arial"/>
          <w:sz w:val="18"/>
          <w:szCs w:val="18"/>
          <w:color w:val="181818"/>
        </w:rPr>
        <w:t xml:space="preserve"> </w:t>
      </w:r>
      <w:r>
        <w:rPr>
          <w:rFonts w:ascii="Arial" w:cs="Arial" w:eastAsia="Arial" w:hAnsi="Arial"/>
          <w:sz w:val="18"/>
          <w:szCs w:val="18"/>
          <w:color w:val="1F1F1F"/>
        </w:rPr>
        <w:t>transmission</w:t>
      </w:r>
      <w:r>
        <w:rPr>
          <w:rFonts w:ascii="Arial" w:cs="Arial" w:eastAsia="Arial" w:hAnsi="Arial"/>
          <w:sz w:val="18"/>
          <w:szCs w:val="18"/>
          <w:color w:val="181818"/>
        </w:rPr>
        <w:t xml:space="preserve"> </w:t>
      </w:r>
      <w:r>
        <w:rPr>
          <w:rFonts w:ascii="Arial" w:cs="Arial" w:eastAsia="Arial" w:hAnsi="Arial"/>
          <w:sz w:val="18"/>
          <w:szCs w:val="18"/>
          <w:color w:val="161616"/>
        </w:rPr>
        <w:t>confirmation</w:t>
      </w:r>
      <w:r>
        <w:rPr>
          <w:rFonts w:ascii="Arial" w:cs="Arial" w:eastAsia="Arial" w:hAnsi="Arial"/>
          <w:sz w:val="18"/>
          <w:szCs w:val="18"/>
          <w:color w:val="181818"/>
        </w:rPr>
        <w:t xml:space="preserve"> </w:t>
      </w:r>
      <w:r>
        <w:rPr>
          <w:rFonts w:ascii="Arial" w:cs="Arial" w:eastAsia="Arial" w:hAnsi="Arial"/>
          <w:sz w:val="18"/>
          <w:szCs w:val="18"/>
          <w:color w:val="131313"/>
        </w:rPr>
        <w:t>report</w:t>
      </w:r>
      <w:r>
        <w:rPr>
          <w:rFonts w:ascii="Arial" w:cs="Arial" w:eastAsia="Arial" w:hAnsi="Arial"/>
          <w:sz w:val="18"/>
          <w:szCs w:val="18"/>
          <w:color w:val="181818"/>
        </w:rPr>
        <w:t xml:space="preserve"> </w:t>
      </w:r>
      <w:r>
        <w:rPr>
          <w:rFonts w:ascii="Arial" w:cs="Arial" w:eastAsia="Arial" w:hAnsi="Arial"/>
          <w:sz w:val="18"/>
          <w:szCs w:val="18"/>
          <w:color w:val="1F1F1F"/>
        </w:rPr>
        <w:t>from</w:t>
      </w:r>
      <w:r>
        <w:rPr>
          <w:rFonts w:ascii="Arial" w:cs="Arial" w:eastAsia="Arial" w:hAnsi="Arial"/>
          <w:sz w:val="18"/>
          <w:szCs w:val="18"/>
          <w:color w:val="181818"/>
        </w:rPr>
        <w:t xml:space="preserve"> </w:t>
      </w:r>
      <w:r>
        <w:rPr>
          <w:rFonts w:ascii="Arial" w:cs="Arial" w:eastAsia="Arial" w:hAnsi="Arial"/>
          <w:sz w:val="18"/>
          <w:szCs w:val="18"/>
          <w:color w:val="1D1D1D"/>
        </w:rPr>
        <w:t>the</w:t>
      </w:r>
      <w:r>
        <w:rPr>
          <w:rFonts w:ascii="Arial" w:cs="Arial" w:eastAsia="Arial" w:hAnsi="Arial"/>
          <w:sz w:val="18"/>
          <w:szCs w:val="18"/>
          <w:color w:val="181818"/>
        </w:rPr>
        <w:t xml:space="preserve"> </w:t>
      </w:r>
      <w:r>
        <w:rPr>
          <w:rFonts w:ascii="Arial" w:cs="Arial" w:eastAsia="Arial" w:hAnsi="Arial"/>
          <w:sz w:val="18"/>
          <w:szCs w:val="18"/>
          <w:color w:val="1A1A1A"/>
        </w:rPr>
        <w:t xml:space="preserve">despatching machine </w:t>
      </w:r>
      <w:r>
        <w:rPr>
          <w:rFonts w:ascii="Arial" w:cs="Arial" w:eastAsia="Arial" w:hAnsi="Arial"/>
          <w:sz w:val="18"/>
          <w:szCs w:val="18"/>
          <w:color w:val="212121"/>
        </w:rPr>
        <w:t>indicating the</w:t>
      </w:r>
      <w:r>
        <w:rPr>
          <w:rFonts w:ascii="Arial" w:cs="Arial" w:eastAsia="Arial" w:hAnsi="Arial"/>
          <w:sz w:val="18"/>
          <w:szCs w:val="18"/>
          <w:color w:val="1A1A1A"/>
        </w:rPr>
        <w:t xml:space="preserve"> </w:t>
      </w:r>
      <w:r>
        <w:rPr>
          <w:rFonts w:ascii="Arial" w:cs="Arial" w:eastAsia="Arial" w:hAnsi="Arial"/>
          <w:sz w:val="18"/>
          <w:szCs w:val="18"/>
          <w:color w:val="242424"/>
        </w:rPr>
        <w:t>transmission</w:t>
      </w:r>
      <w:r>
        <w:rPr>
          <w:rFonts w:ascii="Arial" w:cs="Arial" w:eastAsia="Arial" w:hAnsi="Arial"/>
          <w:sz w:val="18"/>
          <w:szCs w:val="18"/>
          <w:color w:val="1A1A1A"/>
        </w:rPr>
        <w:t xml:space="preserve"> </w:t>
      </w:r>
      <w:r>
        <w:rPr>
          <w:rFonts w:ascii="Arial" w:cs="Arial" w:eastAsia="Arial" w:hAnsi="Arial"/>
          <w:sz w:val="18"/>
          <w:szCs w:val="18"/>
          <w:color w:val="151515"/>
        </w:rPr>
        <w:t>has</w:t>
      </w:r>
      <w:r>
        <w:rPr>
          <w:rFonts w:ascii="Arial" w:cs="Arial" w:eastAsia="Arial" w:hAnsi="Arial"/>
          <w:sz w:val="18"/>
          <w:szCs w:val="18"/>
          <w:color w:val="1A1A1A"/>
        </w:rPr>
        <w:t xml:space="preserve"> </w:t>
      </w:r>
      <w:r>
        <w:rPr>
          <w:rFonts w:ascii="Arial" w:cs="Arial" w:eastAsia="Arial" w:hAnsi="Arial"/>
          <w:sz w:val="18"/>
          <w:szCs w:val="18"/>
          <w:color w:val="181818"/>
        </w:rPr>
        <w:t>been</w:t>
      </w:r>
      <w:r>
        <w:rPr>
          <w:rFonts w:ascii="Arial" w:cs="Arial" w:eastAsia="Arial" w:hAnsi="Arial"/>
          <w:sz w:val="18"/>
          <w:szCs w:val="18"/>
          <w:color w:val="1A1A1A"/>
        </w:rPr>
        <w:t xml:space="preserve"> </w:t>
      </w:r>
      <w:r>
        <w:rPr>
          <w:rFonts w:ascii="Arial" w:cs="Arial" w:eastAsia="Arial" w:hAnsi="Arial"/>
          <w:sz w:val="18"/>
          <w:szCs w:val="18"/>
          <w:color w:val="161616"/>
        </w:rPr>
        <w:t>made</w:t>
      </w:r>
      <w:r>
        <w:rPr>
          <w:rFonts w:ascii="Arial" w:cs="Arial" w:eastAsia="Arial" w:hAnsi="Arial"/>
          <w:sz w:val="18"/>
          <w:szCs w:val="18"/>
          <w:color w:val="1A1A1A"/>
        </w:rPr>
        <w:t xml:space="preserve"> </w:t>
      </w:r>
      <w:r>
        <w:rPr>
          <w:rFonts w:ascii="Arial" w:cs="Arial" w:eastAsia="Arial" w:hAnsi="Arial"/>
          <w:sz w:val="18"/>
          <w:szCs w:val="18"/>
          <w:color w:val="1F1F1F"/>
        </w:rPr>
        <w:t>without error</w:t>
      </w:r>
      <w:r>
        <w:rPr>
          <w:rFonts w:ascii="Arial" w:cs="Arial" w:eastAsia="Arial" w:hAnsi="Arial"/>
          <w:sz w:val="18"/>
          <w:szCs w:val="18"/>
          <w:color w:val="1A1A1A"/>
        </w:rPr>
        <w:t xml:space="preserve"> </w:t>
      </w:r>
      <w:r>
        <w:rPr>
          <w:rFonts w:ascii="Arial" w:cs="Arial" w:eastAsia="Arial" w:hAnsi="Arial"/>
          <w:sz w:val="18"/>
          <w:szCs w:val="18"/>
          <w:color w:val="2A2A2A"/>
        </w:rPr>
        <w:t>and</w:t>
      </w:r>
      <w:r>
        <w:rPr>
          <w:rFonts w:ascii="Arial" w:cs="Arial" w:eastAsia="Arial" w:hAnsi="Arial"/>
          <w:sz w:val="18"/>
          <w:szCs w:val="18"/>
          <w:color w:val="1A1A1A"/>
        </w:rPr>
        <w:t xml:space="preserve"> showing </w:t>
      </w:r>
      <w:r>
        <w:rPr>
          <w:rFonts w:ascii="Arial" w:cs="Arial" w:eastAsia="Arial" w:hAnsi="Arial"/>
          <w:sz w:val="18"/>
          <w:szCs w:val="18"/>
          <w:color w:val="1C1C1C"/>
        </w:rPr>
        <w:t>the relevant</w:t>
      </w:r>
      <w:r>
        <w:rPr>
          <w:rFonts w:ascii="Arial" w:cs="Arial" w:eastAsia="Arial" w:hAnsi="Arial"/>
          <w:sz w:val="18"/>
          <w:szCs w:val="18"/>
          <w:color w:val="1A1A1A"/>
        </w:rPr>
        <w:t xml:space="preserve"> </w:t>
      </w:r>
      <w:r>
        <w:rPr>
          <w:rFonts w:ascii="Arial" w:cs="Arial" w:eastAsia="Arial" w:hAnsi="Arial"/>
          <w:sz w:val="18"/>
          <w:szCs w:val="18"/>
          <w:color w:val="161616"/>
        </w:rPr>
        <w:t xml:space="preserve">number </w:t>
      </w:r>
      <w:r>
        <w:rPr>
          <w:rFonts w:ascii="Arial" w:cs="Arial" w:eastAsia="Arial" w:hAnsi="Arial"/>
          <w:sz w:val="18"/>
          <w:szCs w:val="18"/>
          <w:color w:val="262626"/>
        </w:rPr>
        <w:t>of</w:t>
      </w:r>
      <w:r>
        <w:rPr>
          <w:rFonts w:ascii="Arial" w:cs="Arial" w:eastAsia="Arial" w:hAnsi="Arial"/>
          <w:sz w:val="18"/>
          <w:szCs w:val="18"/>
          <w:color w:val="161616"/>
        </w:rPr>
        <w:t xml:space="preserve"> </w:t>
      </w:r>
      <w:r>
        <w:rPr>
          <w:rFonts w:ascii="Arial" w:cs="Arial" w:eastAsia="Arial" w:hAnsi="Arial"/>
          <w:sz w:val="18"/>
          <w:szCs w:val="18"/>
          <w:color w:val="1F1F1F"/>
        </w:rPr>
        <w:t>pages</w:t>
      </w:r>
      <w:r>
        <w:rPr>
          <w:rFonts w:ascii="Arial" w:cs="Arial" w:eastAsia="Arial" w:hAnsi="Arial"/>
          <w:sz w:val="18"/>
          <w:szCs w:val="18"/>
          <w:color w:val="161616"/>
        </w:rPr>
        <w:t xml:space="preserve"> </w:t>
      </w:r>
      <w:r>
        <w:rPr>
          <w:rFonts w:ascii="Arial" w:cs="Arial" w:eastAsia="Arial" w:hAnsi="Arial"/>
          <w:sz w:val="18"/>
          <w:szCs w:val="18"/>
          <w:color w:val="1D1D1D"/>
        </w:rPr>
        <w:t>and</w:t>
      </w:r>
      <w:r>
        <w:rPr>
          <w:rFonts w:ascii="Arial" w:cs="Arial" w:eastAsia="Arial" w:hAnsi="Arial"/>
          <w:sz w:val="18"/>
          <w:szCs w:val="18"/>
          <w:color w:val="161616"/>
        </w:rPr>
        <w:t xml:space="preserve"> </w:t>
      </w:r>
      <w:r>
        <w:rPr>
          <w:rFonts w:ascii="Arial" w:cs="Arial" w:eastAsia="Arial" w:hAnsi="Arial"/>
          <w:sz w:val="18"/>
          <w:szCs w:val="18"/>
          <w:color w:val="232323"/>
        </w:rPr>
        <w:t>the</w:t>
      </w:r>
      <w:r>
        <w:rPr>
          <w:rFonts w:ascii="Arial" w:cs="Arial" w:eastAsia="Arial" w:hAnsi="Arial"/>
          <w:sz w:val="18"/>
          <w:szCs w:val="18"/>
          <w:color w:val="161616"/>
        </w:rPr>
        <w:t xml:space="preserve"> </w:t>
      </w:r>
      <w:r>
        <w:rPr>
          <w:rFonts w:ascii="Arial" w:cs="Arial" w:eastAsia="Arial" w:hAnsi="Arial"/>
          <w:sz w:val="18"/>
          <w:szCs w:val="18"/>
          <w:color w:val="000000"/>
        </w:rPr>
        <w:t>correct</w:t>
      </w:r>
      <w:r>
        <w:rPr>
          <w:rFonts w:ascii="Arial" w:cs="Arial" w:eastAsia="Arial" w:hAnsi="Arial"/>
          <w:sz w:val="18"/>
          <w:szCs w:val="18"/>
          <w:color w:val="161616"/>
        </w:rPr>
        <w:t xml:space="preserve"> destination </w:t>
      </w:r>
      <w:r>
        <w:rPr>
          <w:rFonts w:ascii="Arial" w:cs="Arial" w:eastAsia="Arial" w:hAnsi="Arial"/>
          <w:sz w:val="18"/>
          <w:szCs w:val="18"/>
          <w:color w:val="1D1D1D"/>
        </w:rPr>
        <w:t>fax</w:t>
      </w:r>
      <w:r>
        <w:rPr>
          <w:rFonts w:ascii="Arial" w:cs="Arial" w:eastAsia="Arial" w:hAnsi="Arial"/>
          <w:sz w:val="18"/>
          <w:szCs w:val="18"/>
          <w:color w:val="161616"/>
        </w:rPr>
        <w:t xml:space="preserve"> </w:t>
      </w:r>
      <w:r>
        <w:rPr>
          <w:rFonts w:ascii="Arial" w:cs="Arial" w:eastAsia="Arial" w:hAnsi="Arial"/>
          <w:sz w:val="18"/>
          <w:szCs w:val="18"/>
          <w:color w:val="1F1F1F"/>
        </w:rPr>
        <w:t>number or</w:t>
      </w:r>
      <w:r>
        <w:rPr>
          <w:rFonts w:ascii="Arial" w:cs="Arial" w:eastAsia="Arial" w:hAnsi="Arial"/>
          <w:sz w:val="18"/>
          <w:szCs w:val="18"/>
          <w:color w:val="161616"/>
        </w:rPr>
        <w:t xml:space="preserve"> </w:t>
      </w:r>
      <w:r>
        <w:rPr>
          <w:rFonts w:ascii="Arial" w:cs="Arial" w:eastAsia="Arial" w:hAnsi="Arial"/>
          <w:sz w:val="18"/>
          <w:szCs w:val="18"/>
          <w:color w:val="1C1C1C"/>
        </w:rPr>
        <w:t>name</w:t>
      </w:r>
      <w:r>
        <w:rPr>
          <w:rFonts w:ascii="Arial" w:cs="Arial" w:eastAsia="Arial" w:hAnsi="Arial"/>
          <w:sz w:val="18"/>
          <w:szCs w:val="18"/>
          <w:color w:val="161616"/>
        </w:rPr>
        <w:t xml:space="preserve"> </w:t>
      </w:r>
      <w:r>
        <w:rPr>
          <w:rFonts w:ascii="Arial" w:cs="Arial" w:eastAsia="Arial" w:hAnsi="Arial"/>
          <w:sz w:val="18"/>
          <w:szCs w:val="18"/>
          <w:color w:val="282828"/>
        </w:rPr>
        <w:t>of</w:t>
      </w:r>
      <w:r>
        <w:rPr>
          <w:rFonts w:ascii="Arial" w:cs="Arial" w:eastAsia="Arial" w:hAnsi="Arial"/>
          <w:sz w:val="18"/>
          <w:szCs w:val="18"/>
          <w:color w:val="161616"/>
        </w:rPr>
        <w:t xml:space="preserve"> </w:t>
      </w:r>
      <w:r>
        <w:rPr>
          <w:rFonts w:ascii="Arial" w:cs="Arial" w:eastAsia="Arial" w:hAnsi="Arial"/>
          <w:sz w:val="18"/>
          <w:szCs w:val="18"/>
          <w:color w:val="1C1C1C"/>
        </w:rPr>
        <w:t>recipient;</w:t>
      </w:r>
      <w:r>
        <w:rPr>
          <w:rFonts w:ascii="Arial" w:cs="Arial" w:eastAsia="Arial" w:hAnsi="Arial"/>
          <w:sz w:val="18"/>
          <w:szCs w:val="18"/>
          <w:color w:val="161616"/>
        </w:rPr>
        <w:t xml:space="preserve"> </w:t>
      </w:r>
      <w:r>
        <w:rPr>
          <w:rFonts w:ascii="Arial" w:cs="Arial" w:eastAsia="Arial" w:hAnsi="Arial"/>
          <w:sz w:val="18"/>
          <w:szCs w:val="18"/>
          <w:color w:val="1F1F1F"/>
        </w:rPr>
        <w:t>or</w:t>
      </w:r>
    </w:p>
    <w:p>
      <w:pPr>
        <w:spacing w:after="0" w:line="189" w:lineRule="exact"/>
        <w:rPr>
          <w:sz w:val="20"/>
          <w:szCs w:val="20"/>
          <w:color w:val="auto"/>
        </w:rPr>
      </w:pPr>
    </w:p>
    <w:p>
      <w:pPr>
        <w:spacing w:after="0"/>
        <w:tabs>
          <w:tab w:leader="none" w:pos="1340" w:val="left"/>
          <w:tab w:leader="none" w:pos="1680" w:val="left"/>
          <w:tab w:leader="none" w:pos="110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Deed of access, insurance and indemnity</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8" w:name="page199"/>
    <w:bookmarkEnd w:id="198"/>
    <w:p>
      <w:pPr>
        <w:ind w:left="1960" w:right="1060" w:hanging="656"/>
        <w:spacing w:after="0"/>
        <w:tabs>
          <w:tab w:leader="none" w:pos="1960" w:val="left"/>
        </w:tabs>
        <w:numPr>
          <w:ilvl w:val="0"/>
          <w:numId w:val="208"/>
        </w:numPr>
        <w:rPr>
          <w:rFonts w:ascii="Arial" w:cs="Arial" w:eastAsia="Arial" w:hAnsi="Arial"/>
          <w:sz w:val="18"/>
          <w:szCs w:val="18"/>
          <w:color w:val="2D2D2D"/>
        </w:rPr>
      </w:pPr>
      <w:r>
        <w:rPr>
          <w:rFonts w:ascii="Arial" w:cs="Arial" w:eastAsia="Arial" w:hAnsi="Arial"/>
          <w:sz w:val="18"/>
          <w:szCs w:val="18"/>
          <w:color w:val="2A2A2A"/>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 xml:space="preserve">sent </w:t>
      </w:r>
      <w:r>
        <w:rPr>
          <w:rFonts w:ascii="Arial" w:cs="Arial" w:eastAsia="Arial" w:hAnsi="Arial"/>
          <w:sz w:val="18"/>
          <w:szCs w:val="18"/>
          <w:color w:val="2B2B2B"/>
        </w:rPr>
        <w:t>by</w:t>
      </w:r>
      <w:r>
        <w:rPr>
          <w:rFonts w:ascii="Arial" w:cs="Arial" w:eastAsia="Arial" w:hAnsi="Arial"/>
          <w:sz w:val="18"/>
          <w:szCs w:val="18"/>
          <w:color w:val="2A2A2A"/>
        </w:rPr>
        <w:t xml:space="preserve"> </w:t>
      </w:r>
      <w:r>
        <w:rPr>
          <w:rFonts w:ascii="Arial" w:cs="Arial" w:eastAsia="Arial" w:hAnsi="Arial"/>
          <w:sz w:val="18"/>
          <w:szCs w:val="18"/>
          <w:color w:val="2F2F2F"/>
        </w:rPr>
        <w:t>email</w:t>
      </w:r>
      <w:r>
        <w:rPr>
          <w:rFonts w:ascii="Arial" w:cs="Arial" w:eastAsia="Arial" w:hAnsi="Arial"/>
          <w:sz w:val="18"/>
          <w:szCs w:val="18"/>
          <w:color w:val="2A2A2A"/>
        </w:rPr>
        <w:t xml:space="preserve"> </w:t>
      </w:r>
      <w:r>
        <w:rPr>
          <w:rFonts w:ascii="Arial" w:cs="Arial" w:eastAsia="Arial" w:hAnsi="Arial"/>
          <w:sz w:val="18"/>
          <w:szCs w:val="18"/>
          <w:color w:val="363636"/>
        </w:rPr>
        <w:t>to</w:t>
      </w:r>
      <w:r>
        <w:rPr>
          <w:rFonts w:ascii="Arial" w:cs="Arial" w:eastAsia="Arial" w:hAnsi="Arial"/>
          <w:sz w:val="18"/>
          <w:szCs w:val="18"/>
          <w:color w:val="2A2A2A"/>
        </w:rPr>
        <w:t xml:space="preserve"> </w:t>
      </w:r>
      <w:r>
        <w:rPr>
          <w:rFonts w:ascii="Arial" w:cs="Arial" w:eastAsia="Arial" w:hAnsi="Arial"/>
          <w:sz w:val="18"/>
          <w:szCs w:val="18"/>
          <w:color w:val="2D2D2D"/>
        </w:rPr>
        <w:t>that person’s email</w:t>
      </w:r>
      <w:r>
        <w:rPr>
          <w:rFonts w:ascii="Arial" w:cs="Arial" w:eastAsia="Arial" w:hAnsi="Arial"/>
          <w:sz w:val="18"/>
          <w:szCs w:val="18"/>
          <w:color w:val="2A2A2A"/>
        </w:rPr>
        <w:t xml:space="preserve"> </w:t>
      </w:r>
      <w:r>
        <w:rPr>
          <w:rFonts w:ascii="Arial" w:cs="Arial" w:eastAsia="Arial" w:hAnsi="Arial"/>
          <w:sz w:val="18"/>
          <w:szCs w:val="18"/>
          <w:color w:val="282828"/>
        </w:rPr>
        <w:t>address where the</w:t>
      </w:r>
      <w:r>
        <w:rPr>
          <w:rFonts w:ascii="Arial" w:cs="Arial" w:eastAsia="Arial" w:hAnsi="Arial"/>
          <w:sz w:val="18"/>
          <w:szCs w:val="18"/>
          <w:color w:val="2A2A2A"/>
        </w:rPr>
        <w:t xml:space="preserve"> </w:t>
      </w:r>
      <w:r>
        <w:rPr>
          <w:rFonts w:ascii="Arial" w:cs="Arial" w:eastAsia="Arial" w:hAnsi="Arial"/>
          <w:sz w:val="18"/>
          <w:szCs w:val="18"/>
          <w:color w:val="262626"/>
        </w:rPr>
        <w:t>sender</w:t>
      </w:r>
      <w:r>
        <w:rPr>
          <w:rFonts w:ascii="Arial" w:cs="Arial" w:eastAsia="Arial" w:hAnsi="Arial"/>
          <w:sz w:val="18"/>
          <w:szCs w:val="18"/>
          <w:color w:val="2A2A2A"/>
        </w:rPr>
        <w:t xml:space="preserve"> </w:t>
      </w:r>
      <w:r>
        <w:rPr>
          <w:rFonts w:ascii="Arial" w:cs="Arial" w:eastAsia="Arial" w:hAnsi="Arial"/>
          <w:sz w:val="18"/>
          <w:szCs w:val="18"/>
          <w:color w:val="2F2F2F"/>
        </w:rPr>
        <w:t>receives</w:t>
      </w:r>
      <w:r>
        <w:rPr>
          <w:rFonts w:ascii="Arial" w:cs="Arial" w:eastAsia="Arial" w:hAnsi="Arial"/>
          <w:sz w:val="18"/>
          <w:szCs w:val="18"/>
          <w:color w:val="2A2A2A"/>
        </w:rPr>
        <w:t xml:space="preserve"> </w:t>
      </w:r>
      <w:r>
        <w:rPr>
          <w:rFonts w:ascii="Arial" w:cs="Arial" w:eastAsia="Arial" w:hAnsi="Arial"/>
          <w:sz w:val="18"/>
          <w:szCs w:val="18"/>
          <w:color w:val="363636"/>
        </w:rPr>
        <w:t>an</w:t>
      </w:r>
      <w:r>
        <w:rPr>
          <w:rFonts w:ascii="Arial" w:cs="Arial" w:eastAsia="Arial" w:hAnsi="Arial"/>
          <w:sz w:val="18"/>
          <w:szCs w:val="18"/>
          <w:color w:val="2A2A2A"/>
        </w:rPr>
        <w:t xml:space="preserve"> </w:t>
      </w:r>
      <w:r>
        <w:rPr>
          <w:rFonts w:ascii="Arial" w:cs="Arial" w:eastAsia="Arial" w:hAnsi="Arial"/>
          <w:sz w:val="18"/>
          <w:szCs w:val="18"/>
          <w:color w:val="2B2B2B"/>
        </w:rPr>
        <w:t>email</w:t>
      </w:r>
      <w:r>
        <w:rPr>
          <w:rFonts w:ascii="Arial" w:cs="Arial" w:eastAsia="Arial" w:hAnsi="Arial"/>
          <w:sz w:val="18"/>
          <w:szCs w:val="18"/>
          <w:color w:val="2A2A2A"/>
        </w:rPr>
        <w:t xml:space="preserve"> </w:t>
      </w:r>
      <w:r>
        <w:rPr>
          <w:rFonts w:ascii="Arial" w:cs="Arial" w:eastAsia="Arial" w:hAnsi="Arial"/>
          <w:sz w:val="18"/>
          <w:szCs w:val="18"/>
          <w:color w:val="232323"/>
        </w:rPr>
        <w:t>receipt</w:t>
      </w:r>
      <w:r>
        <w:rPr>
          <w:rFonts w:ascii="Arial" w:cs="Arial" w:eastAsia="Arial" w:hAnsi="Arial"/>
          <w:sz w:val="18"/>
          <w:szCs w:val="18"/>
          <w:color w:val="2A2A2A"/>
        </w:rPr>
        <w:t xml:space="preserve"> </w:t>
      </w:r>
      <w:r>
        <w:rPr>
          <w:rFonts w:ascii="Arial" w:cs="Arial" w:eastAsia="Arial" w:hAnsi="Arial"/>
          <w:sz w:val="18"/>
          <w:szCs w:val="18"/>
          <w:color w:val="2B2B2B"/>
        </w:rPr>
        <w:t>or</w:t>
      </w:r>
      <w:r>
        <w:rPr>
          <w:rFonts w:ascii="Arial" w:cs="Arial" w:eastAsia="Arial" w:hAnsi="Arial"/>
          <w:sz w:val="18"/>
          <w:szCs w:val="18"/>
          <w:color w:val="2A2A2A"/>
        </w:rPr>
        <w:t xml:space="preserve"> </w:t>
      </w:r>
      <w:r>
        <w:rPr>
          <w:rFonts w:ascii="Arial" w:cs="Arial" w:eastAsia="Arial" w:hAnsi="Arial"/>
          <w:sz w:val="18"/>
          <w:szCs w:val="18"/>
          <w:color w:val="1F1F1F"/>
        </w:rPr>
        <w:t>other</w:t>
      </w:r>
      <w:r>
        <w:rPr>
          <w:rFonts w:ascii="Arial" w:cs="Arial" w:eastAsia="Arial" w:hAnsi="Arial"/>
          <w:sz w:val="18"/>
          <w:szCs w:val="18"/>
          <w:color w:val="2A2A2A"/>
        </w:rPr>
        <w:t xml:space="preserve"> </w:t>
      </w:r>
      <w:r>
        <w:rPr>
          <w:rFonts w:ascii="Arial" w:cs="Arial" w:eastAsia="Arial" w:hAnsi="Arial"/>
          <w:sz w:val="18"/>
          <w:szCs w:val="18"/>
          <w:color w:val="2D2D2D"/>
        </w:rPr>
        <w:t>written</w:t>
      </w:r>
      <w:r>
        <w:rPr>
          <w:rFonts w:ascii="Arial" w:cs="Arial" w:eastAsia="Arial" w:hAnsi="Arial"/>
          <w:sz w:val="18"/>
          <w:szCs w:val="18"/>
          <w:color w:val="2A2A2A"/>
        </w:rPr>
        <w:t xml:space="preserve"> </w:t>
      </w:r>
      <w:r>
        <w:rPr>
          <w:rFonts w:ascii="Arial" w:cs="Arial" w:eastAsia="Arial" w:hAnsi="Arial"/>
          <w:sz w:val="18"/>
          <w:szCs w:val="18"/>
          <w:color w:val="262626"/>
        </w:rPr>
        <w:t xml:space="preserve">confirmation from </w:t>
      </w:r>
      <w:r>
        <w:rPr>
          <w:rFonts w:ascii="Arial" w:cs="Arial" w:eastAsia="Arial" w:hAnsi="Arial"/>
          <w:sz w:val="18"/>
          <w:szCs w:val="18"/>
          <w:color w:val="2D2D2D"/>
        </w:rPr>
        <w:t>the</w:t>
      </w:r>
      <w:r>
        <w:rPr>
          <w:rFonts w:ascii="Arial" w:cs="Arial" w:eastAsia="Arial" w:hAnsi="Arial"/>
          <w:sz w:val="18"/>
          <w:szCs w:val="18"/>
          <w:color w:val="262626"/>
        </w:rPr>
        <w:t xml:space="preserve"> </w:t>
      </w:r>
      <w:r>
        <w:rPr>
          <w:rFonts w:ascii="Arial" w:cs="Arial" w:eastAsia="Arial" w:hAnsi="Arial"/>
          <w:sz w:val="18"/>
          <w:szCs w:val="18"/>
          <w:color w:val="313131"/>
        </w:rPr>
        <w:t>recipient</w:t>
      </w:r>
      <w:r>
        <w:rPr>
          <w:rFonts w:ascii="Arial" w:cs="Arial" w:eastAsia="Arial" w:hAnsi="Arial"/>
          <w:sz w:val="18"/>
          <w:szCs w:val="18"/>
          <w:color w:val="262626"/>
        </w:rPr>
        <w:t xml:space="preserve"> </w:t>
      </w:r>
      <w:r>
        <w:rPr>
          <w:rFonts w:ascii="Arial" w:cs="Arial" w:eastAsia="Arial" w:hAnsi="Arial"/>
          <w:sz w:val="18"/>
          <w:szCs w:val="18"/>
          <w:color w:val="212121"/>
        </w:rPr>
        <w:t>to</w:t>
      </w:r>
      <w:r>
        <w:rPr>
          <w:rFonts w:ascii="Arial" w:cs="Arial" w:eastAsia="Arial" w:hAnsi="Arial"/>
          <w:sz w:val="18"/>
          <w:szCs w:val="18"/>
          <w:color w:val="262626"/>
        </w:rPr>
        <w:t xml:space="preserve"> </w:t>
      </w:r>
      <w:r>
        <w:rPr>
          <w:rFonts w:ascii="Arial" w:cs="Arial" w:eastAsia="Arial" w:hAnsi="Arial"/>
          <w:sz w:val="18"/>
          <w:szCs w:val="18"/>
          <w:color w:val="242424"/>
        </w:rPr>
        <w:t>the</w:t>
      </w:r>
      <w:r>
        <w:rPr>
          <w:rFonts w:ascii="Arial" w:cs="Arial" w:eastAsia="Arial" w:hAnsi="Arial"/>
          <w:sz w:val="18"/>
          <w:szCs w:val="18"/>
          <w:color w:val="262626"/>
        </w:rPr>
        <w:t xml:space="preserve"> </w:t>
      </w:r>
      <w:r>
        <w:rPr>
          <w:rFonts w:ascii="Arial" w:cs="Arial" w:eastAsia="Arial" w:hAnsi="Arial"/>
          <w:sz w:val="18"/>
          <w:szCs w:val="18"/>
          <w:color w:val="212121"/>
        </w:rPr>
        <w:t>sender</w:t>
      </w:r>
      <w:r>
        <w:rPr>
          <w:rFonts w:ascii="Arial" w:cs="Arial" w:eastAsia="Arial" w:hAnsi="Arial"/>
          <w:sz w:val="18"/>
          <w:szCs w:val="18"/>
          <w:color w:val="262626"/>
        </w:rPr>
        <w:t xml:space="preserve"> </w:t>
      </w:r>
      <w:r>
        <w:rPr>
          <w:rFonts w:ascii="Arial" w:cs="Arial" w:eastAsia="Arial" w:hAnsi="Arial"/>
          <w:sz w:val="18"/>
          <w:szCs w:val="18"/>
          <w:color w:val="2D2D2D"/>
        </w:rPr>
        <w:t>which</w:t>
      </w:r>
      <w:r>
        <w:rPr>
          <w:rFonts w:ascii="Arial" w:cs="Arial" w:eastAsia="Arial" w:hAnsi="Arial"/>
          <w:sz w:val="18"/>
          <w:szCs w:val="18"/>
          <w:color w:val="262626"/>
        </w:rPr>
        <w:t xml:space="preserve"> </w:t>
      </w:r>
      <w:r>
        <w:rPr>
          <w:rFonts w:ascii="Arial" w:cs="Arial" w:eastAsia="Arial" w:hAnsi="Arial"/>
          <w:sz w:val="18"/>
          <w:szCs w:val="18"/>
          <w:color w:val="2A2A2A"/>
        </w:rPr>
        <w:t>indicates</w:t>
      </w:r>
      <w:r>
        <w:rPr>
          <w:rFonts w:ascii="Arial" w:cs="Arial" w:eastAsia="Arial" w:hAnsi="Arial"/>
          <w:sz w:val="18"/>
          <w:szCs w:val="18"/>
          <w:color w:val="262626"/>
        </w:rPr>
        <w:t xml:space="preserve"> </w:t>
      </w:r>
      <w:r>
        <w:rPr>
          <w:rFonts w:ascii="Arial" w:cs="Arial" w:eastAsia="Arial" w:hAnsi="Arial"/>
          <w:sz w:val="18"/>
          <w:szCs w:val="18"/>
          <w:color w:val="333333"/>
        </w:rPr>
        <w:t>that</w:t>
      </w:r>
      <w:r>
        <w:rPr>
          <w:rFonts w:ascii="Arial" w:cs="Arial" w:eastAsia="Arial" w:hAnsi="Arial"/>
          <w:sz w:val="18"/>
          <w:szCs w:val="18"/>
          <w:color w:val="262626"/>
        </w:rPr>
        <w:t xml:space="preserve"> </w:t>
      </w:r>
      <w:r>
        <w:rPr>
          <w:rFonts w:ascii="Arial" w:cs="Arial" w:eastAsia="Arial" w:hAnsi="Arial"/>
          <w:sz w:val="18"/>
          <w:szCs w:val="18"/>
          <w:color w:val="2D2D2D"/>
        </w:rPr>
        <w:t>the</w:t>
      </w:r>
      <w:r>
        <w:rPr>
          <w:rFonts w:ascii="Arial" w:cs="Arial" w:eastAsia="Arial" w:hAnsi="Arial"/>
          <w:sz w:val="18"/>
          <w:szCs w:val="18"/>
          <w:color w:val="262626"/>
        </w:rPr>
        <w:t xml:space="preserve"> </w:t>
      </w:r>
      <w:r>
        <w:rPr>
          <w:rFonts w:ascii="Arial" w:cs="Arial" w:eastAsia="Arial" w:hAnsi="Arial"/>
          <w:sz w:val="18"/>
          <w:szCs w:val="18"/>
          <w:color w:val="232323"/>
        </w:rPr>
        <w:t>email</w:t>
      </w:r>
      <w:r>
        <w:rPr>
          <w:rFonts w:ascii="Arial" w:cs="Arial" w:eastAsia="Arial" w:hAnsi="Arial"/>
          <w:sz w:val="18"/>
          <w:szCs w:val="18"/>
          <w:color w:val="262626"/>
        </w:rPr>
        <w:t xml:space="preserve"> </w:t>
      </w:r>
      <w:r>
        <w:rPr>
          <w:rFonts w:ascii="Arial" w:cs="Arial" w:eastAsia="Arial" w:hAnsi="Arial"/>
          <w:sz w:val="18"/>
          <w:szCs w:val="18"/>
          <w:color w:val="2B2B2B"/>
        </w:rPr>
        <w:t>was</w:t>
      </w:r>
      <w:r>
        <w:rPr>
          <w:rFonts w:ascii="Arial" w:cs="Arial" w:eastAsia="Arial" w:hAnsi="Arial"/>
          <w:sz w:val="18"/>
          <w:szCs w:val="18"/>
          <w:color w:val="262626"/>
        </w:rPr>
        <w:t xml:space="preserve"> </w:t>
      </w:r>
      <w:r>
        <w:rPr>
          <w:rFonts w:ascii="Arial" w:cs="Arial" w:eastAsia="Arial" w:hAnsi="Arial"/>
          <w:sz w:val="18"/>
          <w:szCs w:val="18"/>
          <w:color w:val="2A2A2A"/>
        </w:rPr>
        <w:t>received</w:t>
      </w:r>
      <w:r>
        <w:rPr>
          <w:rFonts w:ascii="Arial" w:cs="Arial" w:eastAsia="Arial" w:hAnsi="Arial"/>
          <w:sz w:val="18"/>
          <w:szCs w:val="18"/>
          <w:color w:val="262626"/>
        </w:rPr>
        <w:t xml:space="preserve"> at </w:t>
      </w:r>
      <w:r>
        <w:rPr>
          <w:rFonts w:ascii="Arial" w:cs="Arial" w:eastAsia="Arial" w:hAnsi="Arial"/>
          <w:sz w:val="18"/>
          <w:szCs w:val="18"/>
          <w:color w:val="2F2F2F"/>
        </w:rPr>
        <w:t>the</w:t>
      </w:r>
      <w:r>
        <w:rPr>
          <w:rFonts w:ascii="Arial" w:cs="Arial" w:eastAsia="Arial" w:hAnsi="Arial"/>
          <w:sz w:val="18"/>
          <w:szCs w:val="18"/>
          <w:color w:val="262626"/>
        </w:rPr>
        <w:t xml:space="preserve"> </w:t>
      </w:r>
      <w:r>
        <w:rPr>
          <w:rFonts w:ascii="Arial" w:cs="Arial" w:eastAsia="Arial" w:hAnsi="Arial"/>
          <w:sz w:val="18"/>
          <w:szCs w:val="18"/>
          <w:color w:val="161616"/>
        </w:rPr>
        <w:t>email</w:t>
      </w:r>
      <w:r>
        <w:rPr>
          <w:rFonts w:ascii="Arial" w:cs="Arial" w:eastAsia="Arial" w:hAnsi="Arial"/>
          <w:sz w:val="18"/>
          <w:szCs w:val="18"/>
          <w:color w:val="262626"/>
        </w:rPr>
        <w:t xml:space="preserve"> </w:t>
      </w:r>
      <w:r>
        <w:rPr>
          <w:rFonts w:ascii="Arial" w:cs="Arial" w:eastAsia="Arial" w:hAnsi="Arial"/>
          <w:sz w:val="18"/>
          <w:szCs w:val="18"/>
          <w:color w:val="2B2B2B"/>
        </w:rPr>
        <w:t xml:space="preserve">address </w:t>
      </w:r>
      <w:r>
        <w:rPr>
          <w:rFonts w:ascii="Arial" w:cs="Arial" w:eastAsia="Arial" w:hAnsi="Arial"/>
          <w:sz w:val="18"/>
          <w:szCs w:val="18"/>
          <w:color w:val="343434"/>
        </w:rPr>
        <w:t>of</w:t>
      </w:r>
      <w:r>
        <w:rPr>
          <w:rFonts w:ascii="Arial" w:cs="Arial" w:eastAsia="Arial" w:hAnsi="Arial"/>
          <w:sz w:val="18"/>
          <w:szCs w:val="18"/>
          <w:color w:val="2B2B2B"/>
        </w:rPr>
        <w:t xml:space="preserve"> </w:t>
      </w:r>
      <w:r>
        <w:rPr>
          <w:rFonts w:ascii="Arial" w:cs="Arial" w:eastAsia="Arial" w:hAnsi="Arial"/>
          <w:sz w:val="18"/>
          <w:szCs w:val="18"/>
          <w:color w:val="2F2F2F"/>
        </w:rPr>
        <w:t>the</w:t>
      </w:r>
      <w:r>
        <w:rPr>
          <w:rFonts w:ascii="Arial" w:cs="Arial" w:eastAsia="Arial" w:hAnsi="Arial"/>
          <w:sz w:val="18"/>
          <w:szCs w:val="18"/>
          <w:color w:val="2B2B2B"/>
        </w:rPr>
        <w:t xml:space="preserve"> </w:t>
      </w:r>
      <w:r>
        <w:rPr>
          <w:rFonts w:ascii="Arial" w:cs="Arial" w:eastAsia="Arial" w:hAnsi="Arial"/>
          <w:sz w:val="18"/>
          <w:szCs w:val="18"/>
          <w:color w:val="282828"/>
        </w:rPr>
        <w:t>recipient.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383838"/>
        </w:rPr>
        <w:t>12.2</w:t>
      </w:r>
      <w:r>
        <w:rPr>
          <w:sz w:val="20"/>
          <w:szCs w:val="20"/>
          <w:color w:val="auto"/>
        </w:rPr>
        <w:tab/>
      </w:r>
      <w:r>
        <w:rPr>
          <w:rFonts w:ascii="Arial" w:cs="Arial" w:eastAsia="Arial" w:hAnsi="Arial"/>
          <w:sz w:val="17"/>
          <w:szCs w:val="17"/>
          <w:b w:val="1"/>
          <w:bCs w:val="1"/>
          <w:color w:val="262626"/>
        </w:rPr>
        <w:t xml:space="preserve">When </w:t>
      </w:r>
      <w:r>
        <w:rPr>
          <w:rFonts w:ascii="Arial" w:cs="Arial" w:eastAsia="Arial" w:hAnsi="Arial"/>
          <w:sz w:val="17"/>
          <w:szCs w:val="17"/>
          <w:b w:val="1"/>
          <w:bCs w:val="1"/>
          <w:color w:val="343434"/>
        </w:rPr>
        <w:t>is</w:t>
      </w:r>
      <w:r>
        <w:rPr>
          <w:rFonts w:ascii="Arial" w:cs="Arial" w:eastAsia="Arial" w:hAnsi="Arial"/>
          <w:sz w:val="17"/>
          <w:szCs w:val="17"/>
          <w:b w:val="1"/>
          <w:bCs w:val="1"/>
          <w:color w:val="262626"/>
        </w:rPr>
        <w:t xml:space="preserve"> </w:t>
      </w:r>
      <w:r>
        <w:rPr>
          <w:rFonts w:ascii="Arial" w:cs="Arial" w:eastAsia="Arial" w:hAnsi="Arial"/>
          <w:sz w:val="17"/>
          <w:szCs w:val="17"/>
          <w:b w:val="1"/>
          <w:bCs w:val="1"/>
          <w:color w:val="2B2B2B"/>
        </w:rPr>
        <w:t>notice</w:t>
      </w:r>
      <w:r>
        <w:rPr>
          <w:rFonts w:ascii="Arial" w:cs="Arial" w:eastAsia="Arial" w:hAnsi="Arial"/>
          <w:sz w:val="17"/>
          <w:szCs w:val="17"/>
          <w:b w:val="1"/>
          <w:bCs w:val="1"/>
          <w:color w:val="262626"/>
        </w:rPr>
        <w:t xml:space="preserve"> </w:t>
      </w:r>
      <w:r>
        <w:rPr>
          <w:rFonts w:ascii="Arial" w:cs="Arial" w:eastAsia="Arial" w:hAnsi="Arial"/>
          <w:sz w:val="17"/>
          <w:szCs w:val="17"/>
          <w:b w:val="1"/>
          <w:bCs w:val="1"/>
          <w:color w:val="2F2F2F"/>
        </w:rPr>
        <w:t>given</w:t>
      </w:r>
    </w:p>
    <w:p>
      <w:pPr>
        <w:spacing w:after="0" w:line="220" w:lineRule="exact"/>
        <w:rPr>
          <w:sz w:val="20"/>
          <w:szCs w:val="20"/>
          <w:color w:val="auto"/>
        </w:rPr>
      </w:pPr>
    </w:p>
    <w:p>
      <w:pPr>
        <w:ind w:left="660" w:right="220"/>
        <w:spacing w:after="0" w:line="246" w:lineRule="auto"/>
        <w:rPr>
          <w:sz w:val="20"/>
          <w:szCs w:val="20"/>
          <w:color w:val="auto"/>
        </w:rPr>
      </w:pPr>
      <w:r>
        <w:rPr>
          <w:rFonts w:ascii="Arial" w:cs="Arial" w:eastAsia="Arial" w:hAnsi="Arial"/>
          <w:sz w:val="18"/>
          <w:szCs w:val="18"/>
          <w:color w:val="2F2F2F"/>
        </w:rPr>
        <w:t xml:space="preserve">A </w:t>
      </w:r>
      <w:r>
        <w:rPr>
          <w:rFonts w:ascii="Arial" w:cs="Arial" w:eastAsia="Arial" w:hAnsi="Arial"/>
          <w:sz w:val="18"/>
          <w:szCs w:val="18"/>
          <w:color w:val="2D2D2D"/>
        </w:rPr>
        <w:t>notice,</w:t>
      </w:r>
      <w:r>
        <w:rPr>
          <w:rFonts w:ascii="Arial" w:cs="Arial" w:eastAsia="Arial" w:hAnsi="Arial"/>
          <w:sz w:val="18"/>
          <w:szCs w:val="18"/>
          <w:color w:val="2F2F2F"/>
        </w:rPr>
        <w:t xml:space="preserve"> </w:t>
      </w:r>
      <w:r>
        <w:rPr>
          <w:rFonts w:ascii="Arial" w:cs="Arial" w:eastAsia="Arial" w:hAnsi="Arial"/>
          <w:sz w:val="18"/>
          <w:szCs w:val="18"/>
          <w:color w:val="262626"/>
        </w:rPr>
        <w:t>consent</w:t>
      </w:r>
      <w:r>
        <w:rPr>
          <w:rFonts w:ascii="Arial" w:cs="Arial" w:eastAsia="Arial" w:hAnsi="Arial"/>
          <w:sz w:val="18"/>
          <w:szCs w:val="18"/>
          <w:color w:val="2F2F2F"/>
        </w:rPr>
        <w:t xml:space="preserve"> </w:t>
      </w:r>
      <w:r>
        <w:rPr>
          <w:rFonts w:ascii="Arial" w:cs="Arial" w:eastAsia="Arial" w:hAnsi="Arial"/>
          <w:sz w:val="18"/>
          <w:szCs w:val="18"/>
          <w:color w:val="313131"/>
        </w:rPr>
        <w:t>or</w:t>
      </w:r>
      <w:r>
        <w:rPr>
          <w:rFonts w:ascii="Arial" w:cs="Arial" w:eastAsia="Arial" w:hAnsi="Arial"/>
          <w:sz w:val="18"/>
          <w:szCs w:val="18"/>
          <w:color w:val="2F2F2F"/>
        </w:rPr>
        <w:t xml:space="preserve"> </w:t>
      </w:r>
      <w:r>
        <w:rPr>
          <w:rFonts w:ascii="Arial" w:cs="Arial" w:eastAsia="Arial" w:hAnsi="Arial"/>
          <w:sz w:val="18"/>
          <w:szCs w:val="18"/>
          <w:color w:val="262626"/>
        </w:rPr>
        <w:t>communication</w:t>
      </w:r>
      <w:r>
        <w:rPr>
          <w:rFonts w:ascii="Arial" w:cs="Arial" w:eastAsia="Arial" w:hAnsi="Arial"/>
          <w:sz w:val="18"/>
          <w:szCs w:val="18"/>
          <w:color w:val="2F2F2F"/>
        </w:rPr>
        <w:t xml:space="preserve"> </w:t>
      </w:r>
      <w:r>
        <w:rPr>
          <w:rFonts w:ascii="Arial" w:cs="Arial" w:eastAsia="Arial" w:hAnsi="Arial"/>
          <w:sz w:val="18"/>
          <w:szCs w:val="18"/>
          <w:color w:val="1C1C1C"/>
        </w:rPr>
        <w:t>given</w:t>
      </w:r>
      <w:r>
        <w:rPr>
          <w:rFonts w:ascii="Arial" w:cs="Arial" w:eastAsia="Arial" w:hAnsi="Arial"/>
          <w:sz w:val="18"/>
          <w:szCs w:val="18"/>
          <w:color w:val="2F2F2F"/>
        </w:rPr>
        <w:t xml:space="preserve"> under </w:t>
      </w:r>
      <w:r>
        <w:rPr>
          <w:rFonts w:ascii="Arial" w:cs="Arial" w:eastAsia="Arial" w:hAnsi="Arial"/>
          <w:sz w:val="18"/>
          <w:szCs w:val="18"/>
          <w:color w:val="282828"/>
        </w:rPr>
        <w:t>clause</w:t>
      </w:r>
      <w:r>
        <w:rPr>
          <w:rFonts w:ascii="Arial" w:cs="Arial" w:eastAsia="Arial" w:hAnsi="Arial"/>
          <w:sz w:val="18"/>
          <w:szCs w:val="18"/>
          <w:color w:val="2F2F2F"/>
        </w:rPr>
        <w:t xml:space="preserve"> </w:t>
      </w:r>
      <w:r>
        <w:rPr>
          <w:rFonts w:ascii="Arial" w:cs="Arial" w:eastAsia="Arial" w:hAnsi="Arial"/>
          <w:sz w:val="18"/>
          <w:szCs w:val="18"/>
          <w:color w:val="2D2D2D"/>
        </w:rPr>
        <w:t>12.1(a)</w:t>
      </w:r>
      <w:r>
        <w:rPr>
          <w:rFonts w:ascii="Arial" w:cs="Arial" w:eastAsia="Arial" w:hAnsi="Arial"/>
          <w:sz w:val="18"/>
          <w:szCs w:val="18"/>
          <w:color w:val="2F2F2F"/>
        </w:rPr>
        <w:t xml:space="preserve"> is </w:t>
      </w:r>
      <w:r>
        <w:rPr>
          <w:rFonts w:ascii="Arial" w:cs="Arial" w:eastAsia="Arial" w:hAnsi="Arial"/>
          <w:sz w:val="18"/>
          <w:szCs w:val="18"/>
          <w:color w:val="2D2D2D"/>
        </w:rPr>
        <w:t>given and</w:t>
      </w:r>
      <w:r>
        <w:rPr>
          <w:rFonts w:ascii="Arial" w:cs="Arial" w:eastAsia="Arial" w:hAnsi="Arial"/>
          <w:sz w:val="18"/>
          <w:szCs w:val="18"/>
          <w:color w:val="2F2F2F"/>
        </w:rPr>
        <w:t xml:space="preserve"> </w:t>
      </w:r>
      <w:r>
        <w:rPr>
          <w:rFonts w:ascii="Arial" w:cs="Arial" w:eastAsia="Arial" w:hAnsi="Arial"/>
          <w:sz w:val="18"/>
          <w:szCs w:val="18"/>
          <w:color w:val="282828"/>
        </w:rPr>
        <w:t>received on</w:t>
      </w:r>
      <w:r>
        <w:rPr>
          <w:rFonts w:ascii="Arial" w:cs="Arial" w:eastAsia="Arial" w:hAnsi="Arial"/>
          <w:sz w:val="18"/>
          <w:szCs w:val="18"/>
          <w:color w:val="2F2F2F"/>
        </w:rPr>
        <w:t xml:space="preserve"> </w:t>
      </w:r>
      <w:r>
        <w:rPr>
          <w:rFonts w:ascii="Arial" w:cs="Arial" w:eastAsia="Arial" w:hAnsi="Arial"/>
          <w:sz w:val="18"/>
          <w:szCs w:val="18"/>
          <w:color w:val="2D2D2D"/>
        </w:rPr>
        <w:t>the</w:t>
      </w:r>
      <w:r>
        <w:rPr>
          <w:rFonts w:ascii="Arial" w:cs="Arial" w:eastAsia="Arial" w:hAnsi="Arial"/>
          <w:sz w:val="18"/>
          <w:szCs w:val="18"/>
          <w:color w:val="2F2F2F"/>
        </w:rPr>
        <w:t xml:space="preserve"> </w:t>
      </w:r>
      <w:r>
        <w:rPr>
          <w:rFonts w:ascii="Arial" w:cs="Arial" w:eastAsia="Arial" w:hAnsi="Arial"/>
          <w:sz w:val="18"/>
          <w:szCs w:val="18"/>
          <w:color w:val="262626"/>
        </w:rPr>
        <w:t>corresponding</w:t>
      </w:r>
      <w:r>
        <w:rPr>
          <w:rFonts w:ascii="Arial" w:cs="Arial" w:eastAsia="Arial" w:hAnsi="Arial"/>
          <w:sz w:val="18"/>
          <w:szCs w:val="18"/>
          <w:color w:val="2F2F2F"/>
        </w:rPr>
        <w:t xml:space="preserve"> </w:t>
      </w:r>
      <w:r>
        <w:rPr>
          <w:rFonts w:ascii="Arial" w:cs="Arial" w:eastAsia="Arial" w:hAnsi="Arial"/>
          <w:sz w:val="18"/>
          <w:szCs w:val="18"/>
          <w:color w:val="1A1A1A"/>
        </w:rPr>
        <w:t>day</w:t>
      </w:r>
      <w:r>
        <w:rPr>
          <w:rFonts w:ascii="Arial" w:cs="Arial" w:eastAsia="Arial" w:hAnsi="Arial"/>
          <w:sz w:val="18"/>
          <w:szCs w:val="18"/>
          <w:color w:val="2F2F2F"/>
        </w:rPr>
        <w:t xml:space="preserve"> </w:t>
      </w:r>
      <w:r>
        <w:rPr>
          <w:rFonts w:ascii="Arial" w:cs="Arial" w:eastAsia="Arial" w:hAnsi="Arial"/>
          <w:sz w:val="18"/>
          <w:szCs w:val="18"/>
          <w:color w:val="2A2A2A"/>
        </w:rPr>
        <w:t>set</w:t>
      </w:r>
      <w:r>
        <w:rPr>
          <w:rFonts w:ascii="Arial" w:cs="Arial" w:eastAsia="Arial" w:hAnsi="Arial"/>
          <w:sz w:val="18"/>
          <w:szCs w:val="18"/>
          <w:color w:val="2F2F2F"/>
        </w:rPr>
        <w:t xml:space="preserve"> </w:t>
      </w:r>
      <w:r>
        <w:rPr>
          <w:rFonts w:ascii="Arial" w:cs="Arial" w:eastAsia="Arial" w:hAnsi="Arial"/>
          <w:sz w:val="18"/>
          <w:szCs w:val="18"/>
          <w:color w:val="262626"/>
        </w:rPr>
        <w:t>out</w:t>
      </w:r>
      <w:r>
        <w:rPr>
          <w:rFonts w:ascii="Arial" w:cs="Arial" w:eastAsia="Arial" w:hAnsi="Arial"/>
          <w:sz w:val="18"/>
          <w:szCs w:val="18"/>
          <w:color w:val="2F2F2F"/>
        </w:rPr>
        <w:t xml:space="preserve"> </w:t>
      </w:r>
      <w:r>
        <w:rPr>
          <w:rFonts w:ascii="Arial" w:cs="Arial" w:eastAsia="Arial" w:hAnsi="Arial"/>
          <w:sz w:val="18"/>
          <w:szCs w:val="18"/>
          <w:color w:val="313131"/>
        </w:rPr>
        <w:t>in</w:t>
      </w:r>
      <w:r>
        <w:rPr>
          <w:rFonts w:ascii="Arial" w:cs="Arial" w:eastAsia="Arial" w:hAnsi="Arial"/>
          <w:sz w:val="18"/>
          <w:szCs w:val="18"/>
          <w:color w:val="2F2F2F"/>
        </w:rPr>
        <w:t xml:space="preserve"> </w:t>
      </w:r>
      <w:r>
        <w:rPr>
          <w:rFonts w:ascii="Arial" w:cs="Arial" w:eastAsia="Arial" w:hAnsi="Arial"/>
          <w:sz w:val="18"/>
          <w:szCs w:val="18"/>
          <w:color w:val="2D2D2D"/>
        </w:rPr>
        <w:t>the</w:t>
      </w:r>
      <w:r>
        <w:rPr>
          <w:rFonts w:ascii="Arial" w:cs="Arial" w:eastAsia="Arial" w:hAnsi="Arial"/>
          <w:sz w:val="18"/>
          <w:szCs w:val="18"/>
          <w:color w:val="2F2F2F"/>
        </w:rPr>
        <w:t xml:space="preserve"> table </w:t>
      </w:r>
      <w:r>
        <w:rPr>
          <w:rFonts w:ascii="Arial" w:cs="Arial" w:eastAsia="Arial" w:hAnsi="Arial"/>
          <w:sz w:val="18"/>
          <w:szCs w:val="18"/>
          <w:color w:val="2A2A2A"/>
        </w:rPr>
        <w:t xml:space="preserve">below. The </w:t>
      </w:r>
      <w:r>
        <w:rPr>
          <w:rFonts w:ascii="Arial" w:cs="Arial" w:eastAsia="Arial" w:hAnsi="Arial"/>
          <w:sz w:val="18"/>
          <w:szCs w:val="18"/>
          <w:color w:val="262626"/>
        </w:rPr>
        <w:t>time expressed</w:t>
      </w:r>
      <w:r>
        <w:rPr>
          <w:rFonts w:ascii="Arial" w:cs="Arial" w:eastAsia="Arial" w:hAnsi="Arial"/>
          <w:sz w:val="18"/>
          <w:szCs w:val="18"/>
          <w:color w:val="2A2A2A"/>
        </w:rPr>
        <w:t xml:space="preserve"> </w:t>
      </w:r>
      <w:r>
        <w:rPr>
          <w:rFonts w:ascii="Arial" w:cs="Arial" w:eastAsia="Arial" w:hAnsi="Arial"/>
          <w:sz w:val="18"/>
          <w:szCs w:val="18"/>
          <w:color w:val="2F2F2F"/>
        </w:rPr>
        <w:t>in</w:t>
      </w:r>
      <w:r>
        <w:rPr>
          <w:rFonts w:ascii="Arial" w:cs="Arial" w:eastAsia="Arial" w:hAnsi="Arial"/>
          <w:sz w:val="18"/>
          <w:szCs w:val="18"/>
          <w:color w:val="2A2A2A"/>
        </w:rPr>
        <w:t xml:space="preserve"> </w:t>
      </w:r>
      <w:r>
        <w:rPr>
          <w:rFonts w:ascii="Arial" w:cs="Arial" w:eastAsia="Arial" w:hAnsi="Arial"/>
          <w:sz w:val="18"/>
          <w:szCs w:val="18"/>
          <w:color w:val="262626"/>
        </w:rPr>
        <w:t>the</w:t>
      </w:r>
      <w:r>
        <w:rPr>
          <w:rFonts w:ascii="Arial" w:cs="Arial" w:eastAsia="Arial" w:hAnsi="Arial"/>
          <w:sz w:val="18"/>
          <w:szCs w:val="18"/>
          <w:color w:val="2A2A2A"/>
        </w:rPr>
        <w:t xml:space="preserve"> </w:t>
      </w:r>
      <w:r>
        <w:rPr>
          <w:rFonts w:ascii="Arial" w:cs="Arial" w:eastAsia="Arial" w:hAnsi="Arial"/>
          <w:sz w:val="18"/>
          <w:szCs w:val="18"/>
          <w:color w:val="282828"/>
        </w:rPr>
        <w:t>table</w:t>
      </w:r>
      <w:r>
        <w:rPr>
          <w:rFonts w:ascii="Arial" w:cs="Arial" w:eastAsia="Arial" w:hAnsi="Arial"/>
          <w:sz w:val="18"/>
          <w:szCs w:val="18"/>
          <w:color w:val="2A2A2A"/>
        </w:rPr>
        <w:t xml:space="preserve"> </w:t>
      </w:r>
      <w:r>
        <w:rPr>
          <w:rFonts w:ascii="Arial" w:cs="Arial" w:eastAsia="Arial" w:hAnsi="Arial"/>
          <w:sz w:val="18"/>
          <w:szCs w:val="18"/>
          <w:color w:val="1F1F1F"/>
        </w:rPr>
        <w:t>is</w:t>
      </w:r>
      <w:r>
        <w:rPr>
          <w:rFonts w:ascii="Arial" w:cs="Arial" w:eastAsia="Arial" w:hAnsi="Arial"/>
          <w:sz w:val="18"/>
          <w:szCs w:val="18"/>
          <w:color w:val="2A2A2A"/>
        </w:rPr>
        <w:t xml:space="preserve"> </w:t>
      </w:r>
      <w:r>
        <w:rPr>
          <w:rFonts w:ascii="Arial" w:cs="Arial" w:eastAsia="Arial" w:hAnsi="Arial"/>
          <w:sz w:val="18"/>
          <w:szCs w:val="18"/>
          <w:color w:val="212121"/>
        </w:rPr>
        <w:t>the</w:t>
      </w:r>
      <w:r>
        <w:rPr>
          <w:rFonts w:ascii="Arial" w:cs="Arial" w:eastAsia="Arial" w:hAnsi="Arial"/>
          <w:sz w:val="18"/>
          <w:szCs w:val="18"/>
          <w:color w:val="2A2A2A"/>
        </w:rPr>
        <w:t xml:space="preserve"> </w:t>
      </w:r>
      <w:r>
        <w:rPr>
          <w:rFonts w:ascii="Arial" w:cs="Arial" w:eastAsia="Arial" w:hAnsi="Arial"/>
          <w:sz w:val="18"/>
          <w:szCs w:val="18"/>
          <w:color w:val="333333"/>
        </w:rPr>
        <w:t>local</w:t>
      </w:r>
      <w:r>
        <w:rPr>
          <w:rFonts w:ascii="Arial" w:cs="Arial" w:eastAsia="Arial" w:hAnsi="Arial"/>
          <w:sz w:val="18"/>
          <w:szCs w:val="18"/>
          <w:color w:val="2A2A2A"/>
        </w:rPr>
        <w:t xml:space="preserve"> time </w:t>
      </w:r>
      <w:r>
        <w:rPr>
          <w:rFonts w:ascii="Arial" w:cs="Arial" w:eastAsia="Arial" w:hAnsi="Arial"/>
          <w:sz w:val="18"/>
          <w:szCs w:val="18"/>
          <w:color w:val="333333"/>
        </w:rPr>
        <w:t>in</w:t>
      </w:r>
      <w:r>
        <w:rPr>
          <w:rFonts w:ascii="Arial" w:cs="Arial" w:eastAsia="Arial" w:hAnsi="Arial"/>
          <w:sz w:val="18"/>
          <w:szCs w:val="18"/>
          <w:color w:val="2A2A2A"/>
        </w:rPr>
        <w:t xml:space="preserve"> </w:t>
      </w:r>
      <w:r>
        <w:rPr>
          <w:rFonts w:ascii="Arial" w:cs="Arial" w:eastAsia="Arial" w:hAnsi="Arial"/>
          <w:sz w:val="18"/>
          <w:szCs w:val="18"/>
          <w:color w:val="2D2D2D"/>
        </w:rPr>
        <w:t>the</w:t>
      </w:r>
      <w:r>
        <w:rPr>
          <w:rFonts w:ascii="Arial" w:cs="Arial" w:eastAsia="Arial" w:hAnsi="Arial"/>
          <w:sz w:val="18"/>
          <w:szCs w:val="18"/>
          <w:color w:val="2A2A2A"/>
        </w:rPr>
        <w:t xml:space="preserve"> place </w:t>
      </w:r>
      <w:r>
        <w:rPr>
          <w:rFonts w:ascii="Arial" w:cs="Arial" w:eastAsia="Arial" w:hAnsi="Arial"/>
          <w:sz w:val="18"/>
          <w:szCs w:val="18"/>
          <w:color w:val="212121"/>
        </w:rPr>
        <w:t>of</w:t>
      </w:r>
      <w:r>
        <w:rPr>
          <w:rFonts w:ascii="Arial" w:cs="Arial" w:eastAsia="Arial" w:hAnsi="Arial"/>
          <w:sz w:val="18"/>
          <w:szCs w:val="18"/>
          <w:color w:val="2A2A2A"/>
        </w:rPr>
        <w:t xml:space="preserve"> </w:t>
      </w:r>
      <w:r>
        <w:rPr>
          <w:rFonts w:ascii="Arial" w:cs="Arial" w:eastAsia="Arial" w:hAnsi="Arial"/>
          <w:sz w:val="18"/>
          <w:szCs w:val="18"/>
          <w:color w:val="1F1F1F"/>
        </w:rPr>
        <w:t>receipt.</w:t>
      </w:r>
    </w:p>
    <w:p>
      <w:pPr>
        <w:spacing w:after="0" w:line="183" w:lineRule="exact"/>
        <w:rPr>
          <w:sz w:val="20"/>
          <w:szCs w:val="20"/>
          <w:color w:val="auto"/>
        </w:rPr>
      </w:pPr>
    </w:p>
    <w:p>
      <w:pPr>
        <w:spacing w:after="0"/>
        <w:tabs>
          <w:tab w:leader="none" w:pos="1340" w:val="left"/>
          <w:tab w:leader="none" w:pos="1680" w:val="left"/>
          <w:tab w:leader="none" w:pos="110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Deed of access, insurance and indemnity</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9" w:name="page200"/>
    <w:bookmarkEnd w:id="199"/>
    <w:tbl>
      <w:tblPr>
        <w:tblLayout w:type="fixed"/>
        <w:tblInd w:w="670" w:type="dxa"/>
        <w:tblCellMar>
          <w:top w:w="0" w:type="dxa"/>
          <w:left w:w="0" w:type="dxa"/>
          <w:bottom w:w="0" w:type="dxa"/>
          <w:right w:w="0" w:type="dxa"/>
        </w:tblCellMar>
      </w:tblPr>
      <w:tr>
        <w:trPr>
          <w:trHeight w:val="329"/>
        </w:trPr>
        <w:tc>
          <w:tcPr>
            <w:tcW w:w="2820" w:type="dxa"/>
            <w:vAlign w:val="bottom"/>
            <w:tcBorders>
              <w:top w:val="single" w:sz="8" w:color="3F3F3F"/>
              <w:left w:val="single" w:sz="8" w:color="3F3F3F"/>
              <w:bottom w:val="single" w:sz="8" w:color="DEE2E1"/>
              <w:right w:val="single" w:sz="8" w:color="3F3F3F"/>
            </w:tcBorders>
            <w:shd w:val="clear" w:color="auto" w:fill="DEE2E1"/>
          </w:tcPr>
          <w:p>
            <w:pPr>
              <w:ind w:left="100"/>
              <w:spacing w:after="0"/>
              <w:rPr>
                <w:sz w:val="20"/>
                <w:szCs w:val="20"/>
                <w:color w:val="auto"/>
              </w:rPr>
            </w:pPr>
            <w:r>
              <w:rPr>
                <w:rFonts w:ascii="Arial" w:cs="Arial" w:eastAsia="Arial" w:hAnsi="Arial"/>
                <w:sz w:val="18"/>
                <w:szCs w:val="18"/>
                <w:b w:val="1"/>
                <w:bCs w:val="1"/>
                <w:color w:val="1A1A1A"/>
              </w:rPr>
              <w:t xml:space="preserve">If </w:t>
            </w:r>
            <w:r>
              <w:rPr>
                <w:rFonts w:ascii="Arial" w:cs="Arial" w:eastAsia="Arial" w:hAnsi="Arial"/>
                <w:sz w:val="18"/>
                <w:szCs w:val="18"/>
                <w:b w:val="1"/>
                <w:bCs w:val="1"/>
                <w:color w:val="262626"/>
              </w:rPr>
              <w:t>a</w:t>
            </w:r>
            <w:r>
              <w:rPr>
                <w:rFonts w:ascii="Arial" w:cs="Arial" w:eastAsia="Arial" w:hAnsi="Arial"/>
                <w:sz w:val="18"/>
                <w:szCs w:val="18"/>
                <w:b w:val="1"/>
                <w:bCs w:val="1"/>
                <w:color w:val="1A1A1A"/>
              </w:rPr>
              <w:t xml:space="preserve"> </w:t>
            </w:r>
            <w:r>
              <w:rPr>
                <w:rFonts w:ascii="Arial" w:cs="Arial" w:eastAsia="Arial" w:hAnsi="Arial"/>
                <w:sz w:val="18"/>
                <w:szCs w:val="18"/>
                <w:b w:val="1"/>
                <w:bCs w:val="1"/>
                <w:color w:val="181818"/>
              </w:rPr>
              <w:t>notice</w:t>
            </w:r>
            <w:r>
              <w:rPr>
                <w:rFonts w:ascii="Arial" w:cs="Arial" w:eastAsia="Arial" w:hAnsi="Arial"/>
                <w:sz w:val="18"/>
                <w:szCs w:val="18"/>
                <w:b w:val="1"/>
                <w:bCs w:val="1"/>
                <w:color w:val="1A1A1A"/>
              </w:rPr>
              <w:t xml:space="preserve"> </w:t>
            </w:r>
            <w:r>
              <w:rPr>
                <w:rFonts w:ascii="Arial" w:cs="Arial" w:eastAsia="Arial" w:hAnsi="Arial"/>
                <w:sz w:val="18"/>
                <w:szCs w:val="18"/>
                <w:b w:val="1"/>
                <w:bCs w:val="1"/>
                <w:color w:val="232323"/>
              </w:rPr>
              <w:t>is</w:t>
            </w:r>
          </w:p>
        </w:tc>
        <w:tc>
          <w:tcPr>
            <w:tcW w:w="7740" w:type="dxa"/>
            <w:vAlign w:val="bottom"/>
            <w:tcBorders>
              <w:top w:val="single" w:sz="8" w:color="3F3F3F"/>
              <w:bottom w:val="single" w:sz="8" w:color="DEE2E1"/>
              <w:right w:val="single" w:sz="8" w:color="3F3F3F"/>
            </w:tcBorders>
            <w:gridSpan w:val="2"/>
            <w:shd w:val="clear" w:color="auto" w:fill="DEE2E1"/>
          </w:tcPr>
          <w:p>
            <w:pPr>
              <w:ind w:left="80"/>
              <w:spacing w:after="0"/>
              <w:rPr>
                <w:sz w:val="20"/>
                <w:szCs w:val="20"/>
                <w:color w:val="auto"/>
              </w:rPr>
            </w:pPr>
            <w:r>
              <w:rPr>
                <w:rFonts w:ascii="Arial" w:cs="Arial" w:eastAsia="Arial" w:hAnsi="Arial"/>
                <w:sz w:val="18"/>
                <w:szCs w:val="18"/>
                <w:b w:val="1"/>
                <w:bCs w:val="1"/>
                <w:color w:val="131313"/>
              </w:rPr>
              <w:t xml:space="preserve">It </w:t>
            </w:r>
            <w:r>
              <w:rPr>
                <w:rFonts w:ascii="Arial" w:cs="Arial" w:eastAsia="Arial" w:hAnsi="Arial"/>
                <w:sz w:val="18"/>
                <w:szCs w:val="18"/>
                <w:b w:val="1"/>
                <w:bCs w:val="1"/>
                <w:color w:val="232323"/>
              </w:rPr>
              <w:t>is</w:t>
            </w:r>
            <w:r>
              <w:rPr>
                <w:rFonts w:ascii="Arial" w:cs="Arial" w:eastAsia="Arial" w:hAnsi="Arial"/>
                <w:sz w:val="18"/>
                <w:szCs w:val="18"/>
                <w:b w:val="1"/>
                <w:bCs w:val="1"/>
                <w:color w:val="131313"/>
              </w:rPr>
              <w:t xml:space="preserve"> </w:t>
            </w:r>
            <w:r>
              <w:rPr>
                <w:rFonts w:ascii="Arial" w:cs="Arial" w:eastAsia="Arial" w:hAnsi="Arial"/>
                <w:sz w:val="18"/>
                <w:szCs w:val="18"/>
                <w:b w:val="1"/>
                <w:bCs w:val="1"/>
                <w:color w:val="1A1A1A"/>
              </w:rPr>
              <w:t>given</w:t>
            </w:r>
            <w:r>
              <w:rPr>
                <w:rFonts w:ascii="Arial" w:cs="Arial" w:eastAsia="Arial" w:hAnsi="Arial"/>
                <w:sz w:val="18"/>
                <w:szCs w:val="18"/>
                <w:b w:val="1"/>
                <w:bCs w:val="1"/>
                <w:color w:val="131313"/>
              </w:rPr>
              <w:t xml:space="preserve"> </w:t>
            </w:r>
            <w:r>
              <w:rPr>
                <w:rFonts w:ascii="Arial" w:cs="Arial" w:eastAsia="Arial" w:hAnsi="Arial"/>
                <w:sz w:val="18"/>
                <w:szCs w:val="18"/>
                <w:b w:val="1"/>
                <w:bCs w:val="1"/>
                <w:color w:val="111111"/>
              </w:rPr>
              <w:t>and</w:t>
            </w:r>
            <w:r>
              <w:rPr>
                <w:rFonts w:ascii="Arial" w:cs="Arial" w:eastAsia="Arial" w:hAnsi="Arial"/>
                <w:sz w:val="18"/>
                <w:szCs w:val="18"/>
                <w:b w:val="1"/>
                <w:bCs w:val="1"/>
                <w:color w:val="131313"/>
              </w:rPr>
              <w:t xml:space="preserve"> received </w:t>
            </w:r>
            <w:r>
              <w:rPr>
                <w:rFonts w:ascii="Arial" w:cs="Arial" w:eastAsia="Arial" w:hAnsi="Arial"/>
                <w:sz w:val="18"/>
                <w:szCs w:val="18"/>
                <w:b w:val="1"/>
                <w:bCs w:val="1"/>
                <w:color w:val="232323"/>
              </w:rPr>
              <w:t>on</w:t>
            </w:r>
          </w:p>
        </w:tc>
      </w:tr>
      <w:tr>
        <w:trPr>
          <w:trHeight w:val="249"/>
        </w:trPr>
        <w:tc>
          <w:tcPr>
            <w:tcW w:w="2820" w:type="dxa"/>
            <w:vAlign w:val="bottom"/>
            <w:tcBorders>
              <w:top w:val="single" w:sz="8" w:color="3F3F3F"/>
              <w:left w:val="single" w:sz="8" w:color="3F3F3F"/>
              <w:right w:val="single" w:sz="8" w:color="3F3F3F"/>
            </w:tcBorders>
          </w:tcPr>
          <w:p>
            <w:pPr>
              <w:ind w:left="100"/>
              <w:spacing w:after="0"/>
              <w:rPr>
                <w:sz w:val="20"/>
                <w:szCs w:val="20"/>
                <w:color w:val="auto"/>
              </w:rPr>
            </w:pPr>
            <w:r>
              <w:rPr>
                <w:rFonts w:ascii="Arial" w:cs="Arial" w:eastAsia="Arial" w:hAnsi="Arial"/>
                <w:sz w:val="18"/>
                <w:szCs w:val="18"/>
                <w:color w:val="1F1F1F"/>
              </w:rPr>
              <w:t xml:space="preserve">Delivered </w:t>
            </w:r>
            <w:r>
              <w:rPr>
                <w:rFonts w:ascii="Arial" w:cs="Arial" w:eastAsia="Arial" w:hAnsi="Arial"/>
                <w:sz w:val="18"/>
                <w:szCs w:val="18"/>
                <w:color w:val="131313"/>
              </w:rPr>
              <w:t>by</w:t>
            </w:r>
            <w:r>
              <w:rPr>
                <w:rFonts w:ascii="Arial" w:cs="Arial" w:eastAsia="Arial" w:hAnsi="Arial"/>
                <w:sz w:val="18"/>
                <w:szCs w:val="18"/>
                <w:color w:val="1F1F1F"/>
              </w:rPr>
              <w:t xml:space="preserve"> </w:t>
            </w:r>
            <w:r>
              <w:rPr>
                <w:rFonts w:ascii="Arial" w:cs="Arial" w:eastAsia="Arial" w:hAnsi="Arial"/>
                <w:sz w:val="18"/>
                <w:szCs w:val="18"/>
                <w:color w:val="0F0F0F"/>
              </w:rPr>
              <w:t>hand</w:t>
            </w:r>
            <w:r>
              <w:rPr>
                <w:rFonts w:ascii="Arial" w:cs="Arial" w:eastAsia="Arial" w:hAnsi="Arial"/>
                <w:sz w:val="18"/>
                <w:szCs w:val="18"/>
                <w:color w:val="1F1F1F"/>
              </w:rPr>
              <w:t xml:space="preserve"> </w:t>
            </w:r>
            <w:r>
              <w:rPr>
                <w:rFonts w:ascii="Arial" w:cs="Arial" w:eastAsia="Arial" w:hAnsi="Arial"/>
                <w:sz w:val="18"/>
                <w:szCs w:val="18"/>
                <w:color w:val="212121"/>
              </w:rPr>
              <w:t>or</w:t>
            </w:r>
            <w:r>
              <w:rPr>
                <w:rFonts w:ascii="Arial" w:cs="Arial" w:eastAsia="Arial" w:hAnsi="Arial"/>
                <w:sz w:val="18"/>
                <w:szCs w:val="18"/>
                <w:color w:val="1F1F1F"/>
              </w:rPr>
              <w:t xml:space="preserve"> </w:t>
            </w:r>
            <w:r>
              <w:rPr>
                <w:rFonts w:ascii="Arial" w:cs="Arial" w:eastAsia="Arial" w:hAnsi="Arial"/>
                <w:sz w:val="18"/>
                <w:szCs w:val="18"/>
                <w:color w:val="1C1C1C"/>
              </w:rPr>
              <w:t>sent by</w:t>
            </w:r>
            <w:r>
              <w:rPr>
                <w:rFonts w:ascii="Arial" w:cs="Arial" w:eastAsia="Arial" w:hAnsi="Arial"/>
                <w:sz w:val="18"/>
                <w:szCs w:val="18"/>
                <w:color w:val="1F1F1F"/>
              </w:rPr>
              <w:t xml:space="preserve"> </w:t>
            </w:r>
            <w:r>
              <w:rPr>
                <w:rFonts w:ascii="Arial" w:cs="Arial" w:eastAsia="Arial" w:hAnsi="Arial"/>
                <w:sz w:val="18"/>
                <w:szCs w:val="18"/>
                <w:color w:val="181818"/>
              </w:rPr>
              <w:t>fax</w:t>
            </w:r>
          </w:p>
        </w:tc>
        <w:tc>
          <w:tcPr>
            <w:tcW w:w="560" w:type="dxa"/>
            <w:vAlign w:val="bottom"/>
            <w:tcBorders>
              <w:top w:val="single" w:sz="8" w:color="3F3F3F"/>
            </w:tcBorders>
          </w:tcPr>
          <w:p>
            <w:pPr>
              <w:ind w:left="80"/>
              <w:spacing w:after="0"/>
              <w:rPr>
                <w:sz w:val="20"/>
                <w:szCs w:val="20"/>
                <w:color w:val="auto"/>
              </w:rPr>
            </w:pPr>
            <w:r>
              <w:rPr>
                <w:rFonts w:ascii="Arial" w:cs="Arial" w:eastAsia="Arial" w:hAnsi="Arial"/>
                <w:sz w:val="18"/>
                <w:szCs w:val="18"/>
                <w:color w:val="232323"/>
              </w:rPr>
              <w:t>(a)</w:t>
            </w:r>
          </w:p>
        </w:tc>
        <w:tc>
          <w:tcPr>
            <w:tcW w:w="7180" w:type="dxa"/>
            <w:vAlign w:val="bottom"/>
            <w:tcBorders>
              <w:top w:val="single" w:sz="8" w:color="3F3F3F"/>
              <w:right w:val="single" w:sz="8" w:color="3F3F3F"/>
            </w:tcBorders>
          </w:tcPr>
          <w:p>
            <w:pPr>
              <w:ind w:left="240"/>
              <w:spacing w:after="0"/>
              <w:rPr>
                <w:sz w:val="20"/>
                <w:szCs w:val="20"/>
                <w:color w:val="auto"/>
              </w:rPr>
            </w:pPr>
            <w:r>
              <w:rPr>
                <w:rFonts w:ascii="Arial" w:cs="Arial" w:eastAsia="Arial" w:hAnsi="Arial"/>
                <w:sz w:val="18"/>
                <w:szCs w:val="18"/>
                <w:color w:val="1C1C1C"/>
              </w:rPr>
              <w:t xml:space="preserve">that </w:t>
            </w:r>
            <w:r>
              <w:rPr>
                <w:rFonts w:ascii="Arial" w:cs="Arial" w:eastAsia="Arial" w:hAnsi="Arial"/>
                <w:sz w:val="18"/>
                <w:szCs w:val="18"/>
                <w:color w:val="1A1A1A"/>
              </w:rPr>
              <w:t>day,</w:t>
            </w:r>
            <w:r>
              <w:rPr>
                <w:rFonts w:ascii="Arial" w:cs="Arial" w:eastAsia="Arial" w:hAnsi="Arial"/>
                <w:sz w:val="18"/>
                <w:szCs w:val="18"/>
                <w:color w:val="1C1C1C"/>
              </w:rPr>
              <w:t xml:space="preserve"> </w:t>
            </w:r>
            <w:r>
              <w:rPr>
                <w:rFonts w:ascii="Arial" w:cs="Arial" w:eastAsia="Arial" w:hAnsi="Arial"/>
                <w:sz w:val="18"/>
                <w:szCs w:val="18"/>
                <w:color w:val="1D1D1D"/>
              </w:rPr>
              <w:t>if</w:t>
            </w:r>
            <w:r>
              <w:rPr>
                <w:rFonts w:ascii="Arial" w:cs="Arial" w:eastAsia="Arial" w:hAnsi="Arial"/>
                <w:sz w:val="18"/>
                <w:szCs w:val="18"/>
                <w:color w:val="1C1C1C"/>
              </w:rPr>
              <w:t xml:space="preserve"> </w:t>
            </w:r>
            <w:r>
              <w:rPr>
                <w:rFonts w:ascii="Arial" w:cs="Arial" w:eastAsia="Arial" w:hAnsi="Arial"/>
                <w:sz w:val="18"/>
                <w:szCs w:val="18"/>
                <w:color w:val="0E0E0E"/>
              </w:rPr>
              <w:t>delivered</w:t>
            </w:r>
            <w:r>
              <w:rPr>
                <w:rFonts w:ascii="Arial" w:cs="Arial" w:eastAsia="Arial" w:hAnsi="Arial"/>
                <w:sz w:val="18"/>
                <w:szCs w:val="18"/>
                <w:color w:val="1C1C1C"/>
              </w:rPr>
              <w:t xml:space="preserve"> </w:t>
            </w:r>
            <w:r>
              <w:rPr>
                <w:rFonts w:ascii="Arial" w:cs="Arial" w:eastAsia="Arial" w:hAnsi="Arial"/>
                <w:sz w:val="18"/>
                <w:szCs w:val="18"/>
                <w:color w:val="151515"/>
              </w:rPr>
              <w:t>by</w:t>
            </w:r>
            <w:r>
              <w:rPr>
                <w:rFonts w:ascii="Arial" w:cs="Arial" w:eastAsia="Arial" w:hAnsi="Arial"/>
                <w:sz w:val="18"/>
                <w:szCs w:val="18"/>
                <w:color w:val="1C1C1C"/>
              </w:rPr>
              <w:t xml:space="preserve"> </w:t>
            </w:r>
            <w:r>
              <w:rPr>
                <w:rFonts w:ascii="Arial" w:cs="Arial" w:eastAsia="Arial" w:hAnsi="Arial"/>
                <w:sz w:val="18"/>
                <w:szCs w:val="18"/>
                <w:color w:val="181818"/>
              </w:rPr>
              <w:t>5.00pm</w:t>
            </w:r>
            <w:r>
              <w:rPr>
                <w:rFonts w:ascii="Arial" w:cs="Arial" w:eastAsia="Arial" w:hAnsi="Arial"/>
                <w:sz w:val="18"/>
                <w:szCs w:val="18"/>
                <w:color w:val="1C1C1C"/>
              </w:rPr>
              <w:t xml:space="preserve"> </w:t>
            </w:r>
            <w:r>
              <w:rPr>
                <w:rFonts w:ascii="Arial" w:cs="Arial" w:eastAsia="Arial" w:hAnsi="Arial"/>
                <w:sz w:val="18"/>
                <w:szCs w:val="18"/>
                <w:color w:val="1A1A1A"/>
              </w:rPr>
              <w:t>on</w:t>
            </w:r>
            <w:r>
              <w:rPr>
                <w:rFonts w:ascii="Arial" w:cs="Arial" w:eastAsia="Arial" w:hAnsi="Arial"/>
                <w:sz w:val="18"/>
                <w:szCs w:val="18"/>
                <w:color w:val="1C1C1C"/>
              </w:rPr>
              <w:t xml:space="preserve"> </w:t>
            </w:r>
            <w:r>
              <w:rPr>
                <w:rFonts w:ascii="Arial" w:cs="Arial" w:eastAsia="Arial" w:hAnsi="Arial"/>
                <w:sz w:val="18"/>
                <w:szCs w:val="18"/>
                <w:color w:val="2A2A2A"/>
              </w:rPr>
              <w:t>a</w:t>
            </w:r>
            <w:r>
              <w:rPr>
                <w:rFonts w:ascii="Arial" w:cs="Arial" w:eastAsia="Arial" w:hAnsi="Arial"/>
                <w:sz w:val="18"/>
                <w:szCs w:val="18"/>
                <w:color w:val="1C1C1C"/>
              </w:rPr>
              <w:t xml:space="preserve"> </w:t>
            </w:r>
            <w:r>
              <w:rPr>
                <w:rFonts w:ascii="Arial" w:cs="Arial" w:eastAsia="Arial" w:hAnsi="Arial"/>
                <w:sz w:val="18"/>
                <w:szCs w:val="18"/>
                <w:color w:val="111111"/>
              </w:rPr>
              <w:t>Business</w:t>
            </w:r>
            <w:r>
              <w:rPr>
                <w:rFonts w:ascii="Arial" w:cs="Arial" w:eastAsia="Arial" w:hAnsi="Arial"/>
                <w:sz w:val="18"/>
                <w:szCs w:val="18"/>
                <w:color w:val="1C1C1C"/>
              </w:rPr>
              <w:t xml:space="preserve"> </w:t>
            </w:r>
            <w:r>
              <w:rPr>
                <w:rFonts w:ascii="Arial" w:cs="Arial" w:eastAsia="Arial" w:hAnsi="Arial"/>
                <w:sz w:val="18"/>
                <w:szCs w:val="18"/>
                <w:color w:val="1F1F1F"/>
              </w:rPr>
              <w:t>Day;</w:t>
            </w:r>
            <w:r>
              <w:rPr>
                <w:rFonts w:ascii="Arial" w:cs="Arial" w:eastAsia="Arial" w:hAnsi="Arial"/>
                <w:sz w:val="18"/>
                <w:szCs w:val="18"/>
                <w:color w:val="1C1C1C"/>
              </w:rPr>
              <w:t xml:space="preserve"> </w:t>
            </w:r>
            <w:r>
              <w:rPr>
                <w:rFonts w:ascii="Arial" w:cs="Arial" w:eastAsia="Arial" w:hAnsi="Arial"/>
                <w:sz w:val="18"/>
                <w:szCs w:val="18"/>
                <w:color w:val="2A2A2A"/>
              </w:rPr>
              <w:t>or</w:t>
            </w:r>
          </w:p>
        </w:tc>
      </w:tr>
      <w:tr>
        <w:trPr>
          <w:trHeight w:val="203"/>
        </w:trPr>
        <w:tc>
          <w:tcPr>
            <w:tcW w:w="2820" w:type="dxa"/>
            <w:vAlign w:val="bottom"/>
            <w:tcBorders>
              <w:left w:val="single" w:sz="8" w:color="3F3F3F"/>
              <w:bottom w:val="single" w:sz="8" w:color="3F3F3F"/>
              <w:right w:val="single" w:sz="8" w:color="3F3F3F"/>
            </w:tcBorders>
          </w:tcPr>
          <w:p>
            <w:pPr>
              <w:ind w:left="100"/>
              <w:spacing w:after="0" w:line="203" w:lineRule="exact"/>
              <w:rPr>
                <w:sz w:val="20"/>
                <w:szCs w:val="20"/>
                <w:color w:val="auto"/>
              </w:rPr>
            </w:pPr>
            <w:r>
              <w:rPr>
                <w:rFonts w:ascii="Arial" w:cs="Arial" w:eastAsia="Arial" w:hAnsi="Arial"/>
                <w:sz w:val="18"/>
                <w:szCs w:val="18"/>
                <w:color w:val="1C1C1C"/>
              </w:rPr>
              <w:t>or email</w:t>
            </w:r>
          </w:p>
        </w:tc>
        <w:tc>
          <w:tcPr>
            <w:tcW w:w="560" w:type="dxa"/>
            <w:vAlign w:val="bottom"/>
            <w:tcBorders>
              <w:bottom w:val="single" w:sz="8" w:color="3F3F3F"/>
            </w:tcBorders>
          </w:tcPr>
          <w:p>
            <w:pPr>
              <w:ind w:left="80"/>
              <w:spacing w:after="0" w:line="203" w:lineRule="exact"/>
              <w:rPr>
                <w:sz w:val="20"/>
                <w:szCs w:val="20"/>
                <w:color w:val="auto"/>
              </w:rPr>
            </w:pPr>
            <w:r>
              <w:rPr>
                <w:rFonts w:ascii="Arial" w:cs="Arial" w:eastAsia="Arial" w:hAnsi="Arial"/>
                <w:sz w:val="18"/>
                <w:szCs w:val="18"/>
                <w:color w:val="1A1A1A"/>
              </w:rPr>
              <w:t>(b)</w:t>
            </w:r>
          </w:p>
        </w:tc>
        <w:tc>
          <w:tcPr>
            <w:tcW w:w="7180" w:type="dxa"/>
            <w:vAlign w:val="bottom"/>
            <w:tcBorders>
              <w:bottom w:val="single" w:sz="8" w:color="3F3F3F"/>
              <w:right w:val="single" w:sz="8" w:color="3F3F3F"/>
            </w:tcBorders>
          </w:tcPr>
          <w:p>
            <w:pPr>
              <w:ind w:left="240"/>
              <w:spacing w:after="0" w:line="203" w:lineRule="exact"/>
              <w:rPr>
                <w:sz w:val="20"/>
                <w:szCs w:val="20"/>
                <w:color w:val="auto"/>
              </w:rPr>
            </w:pPr>
            <w:r>
              <w:rPr>
                <w:rFonts w:ascii="Arial" w:cs="Arial" w:eastAsia="Arial" w:hAnsi="Arial"/>
                <w:sz w:val="18"/>
                <w:szCs w:val="18"/>
                <w:color w:val="1A1A1A"/>
              </w:rPr>
              <w:t xml:space="preserve">the </w:t>
            </w:r>
            <w:r>
              <w:rPr>
                <w:rFonts w:ascii="Arial" w:cs="Arial" w:eastAsia="Arial" w:hAnsi="Arial"/>
                <w:sz w:val="18"/>
                <w:szCs w:val="18"/>
                <w:color w:val="131313"/>
              </w:rPr>
              <w:t>next</w:t>
            </w:r>
            <w:r>
              <w:rPr>
                <w:rFonts w:ascii="Arial" w:cs="Arial" w:eastAsia="Arial" w:hAnsi="Arial"/>
                <w:sz w:val="18"/>
                <w:szCs w:val="18"/>
                <w:color w:val="1A1A1A"/>
              </w:rPr>
              <w:t xml:space="preserve"> </w:t>
            </w:r>
            <w:r>
              <w:rPr>
                <w:rFonts w:ascii="Arial" w:cs="Arial" w:eastAsia="Arial" w:hAnsi="Arial"/>
                <w:sz w:val="18"/>
                <w:szCs w:val="18"/>
                <w:color w:val="181818"/>
              </w:rPr>
              <w:t>Business</w:t>
            </w:r>
            <w:r>
              <w:rPr>
                <w:rFonts w:ascii="Arial" w:cs="Arial" w:eastAsia="Arial" w:hAnsi="Arial"/>
                <w:sz w:val="18"/>
                <w:szCs w:val="18"/>
                <w:color w:val="1A1A1A"/>
              </w:rPr>
              <w:t xml:space="preserve"> </w:t>
            </w:r>
            <w:r>
              <w:rPr>
                <w:rFonts w:ascii="Arial" w:cs="Arial" w:eastAsia="Arial" w:hAnsi="Arial"/>
                <w:sz w:val="18"/>
                <w:szCs w:val="18"/>
                <w:color w:val="1D1D1D"/>
              </w:rPr>
              <w:t>Day,</w:t>
            </w:r>
            <w:r>
              <w:rPr>
                <w:rFonts w:ascii="Arial" w:cs="Arial" w:eastAsia="Arial" w:hAnsi="Arial"/>
                <w:sz w:val="18"/>
                <w:szCs w:val="18"/>
                <w:color w:val="1A1A1A"/>
              </w:rPr>
              <w:t xml:space="preserve"> </w:t>
            </w:r>
            <w:r>
              <w:rPr>
                <w:rFonts w:ascii="Arial" w:cs="Arial" w:eastAsia="Arial" w:hAnsi="Arial"/>
                <w:sz w:val="18"/>
                <w:szCs w:val="18"/>
                <w:color w:val="212121"/>
              </w:rPr>
              <w:t>in</w:t>
            </w:r>
            <w:r>
              <w:rPr>
                <w:rFonts w:ascii="Arial" w:cs="Arial" w:eastAsia="Arial" w:hAnsi="Arial"/>
                <w:sz w:val="18"/>
                <w:szCs w:val="18"/>
                <w:color w:val="1A1A1A"/>
              </w:rPr>
              <w:t xml:space="preserve"> </w:t>
            </w:r>
            <w:r>
              <w:rPr>
                <w:rFonts w:ascii="Arial" w:cs="Arial" w:eastAsia="Arial" w:hAnsi="Arial"/>
                <w:sz w:val="18"/>
                <w:szCs w:val="18"/>
                <w:color w:val="181818"/>
              </w:rPr>
              <w:t>any</w:t>
            </w:r>
            <w:r>
              <w:rPr>
                <w:rFonts w:ascii="Arial" w:cs="Arial" w:eastAsia="Arial" w:hAnsi="Arial"/>
                <w:sz w:val="18"/>
                <w:szCs w:val="18"/>
                <w:color w:val="1A1A1A"/>
              </w:rPr>
              <w:t xml:space="preserve"> </w:t>
            </w:r>
            <w:r>
              <w:rPr>
                <w:rFonts w:ascii="Arial" w:cs="Arial" w:eastAsia="Arial" w:hAnsi="Arial"/>
                <w:sz w:val="18"/>
                <w:szCs w:val="18"/>
                <w:color w:val="1F1F1F"/>
              </w:rPr>
              <w:t>other</w:t>
            </w:r>
            <w:r>
              <w:rPr>
                <w:rFonts w:ascii="Arial" w:cs="Arial" w:eastAsia="Arial" w:hAnsi="Arial"/>
                <w:sz w:val="18"/>
                <w:szCs w:val="18"/>
                <w:color w:val="1A1A1A"/>
              </w:rPr>
              <w:t xml:space="preserve"> </w:t>
            </w:r>
            <w:r>
              <w:rPr>
                <w:rFonts w:ascii="Arial" w:cs="Arial" w:eastAsia="Arial" w:hAnsi="Arial"/>
                <w:sz w:val="18"/>
                <w:szCs w:val="18"/>
                <w:color w:val="161616"/>
              </w:rPr>
              <w:t>case.</w:t>
            </w:r>
          </w:p>
        </w:tc>
      </w:tr>
      <w:tr>
        <w:trPr>
          <w:trHeight w:val="249"/>
        </w:trPr>
        <w:tc>
          <w:tcPr>
            <w:tcW w:w="2820" w:type="dxa"/>
            <w:vAlign w:val="bottom"/>
            <w:tcBorders>
              <w:left w:val="single" w:sz="8" w:color="3F3F3F"/>
              <w:right w:val="single" w:sz="8" w:color="3F3F3F"/>
            </w:tcBorders>
          </w:tcPr>
          <w:p>
            <w:pPr>
              <w:ind w:left="100"/>
              <w:spacing w:after="0"/>
              <w:rPr>
                <w:sz w:val="20"/>
                <w:szCs w:val="20"/>
                <w:color w:val="auto"/>
              </w:rPr>
            </w:pPr>
            <w:r>
              <w:rPr>
                <w:rFonts w:ascii="Arial" w:cs="Arial" w:eastAsia="Arial" w:hAnsi="Arial"/>
                <w:sz w:val="18"/>
                <w:szCs w:val="18"/>
                <w:color w:val="242424"/>
              </w:rPr>
              <w:t xml:space="preserve">Sent </w:t>
            </w:r>
            <w:r>
              <w:rPr>
                <w:rFonts w:ascii="Arial" w:cs="Arial" w:eastAsia="Arial" w:hAnsi="Arial"/>
                <w:sz w:val="18"/>
                <w:szCs w:val="18"/>
                <w:color w:val="1A1A1A"/>
              </w:rPr>
              <w:t>by</w:t>
            </w:r>
            <w:r>
              <w:rPr>
                <w:rFonts w:ascii="Arial" w:cs="Arial" w:eastAsia="Arial" w:hAnsi="Arial"/>
                <w:sz w:val="18"/>
                <w:szCs w:val="18"/>
                <w:color w:val="242424"/>
              </w:rPr>
              <w:t xml:space="preserve"> </w:t>
            </w:r>
            <w:r>
              <w:rPr>
                <w:rFonts w:ascii="Arial" w:cs="Arial" w:eastAsia="Arial" w:hAnsi="Arial"/>
                <w:sz w:val="18"/>
                <w:szCs w:val="18"/>
                <w:color w:val="1C1C1C"/>
              </w:rPr>
              <w:t>post</w:t>
            </w:r>
          </w:p>
        </w:tc>
        <w:tc>
          <w:tcPr>
            <w:tcW w:w="560" w:type="dxa"/>
            <w:vAlign w:val="bottom"/>
          </w:tcPr>
          <w:p>
            <w:pPr>
              <w:ind w:left="80"/>
              <w:spacing w:after="0"/>
              <w:rPr>
                <w:sz w:val="20"/>
                <w:szCs w:val="20"/>
                <w:color w:val="auto"/>
              </w:rPr>
            </w:pPr>
            <w:r>
              <w:rPr>
                <w:rFonts w:ascii="Arial" w:cs="Arial" w:eastAsia="Arial" w:hAnsi="Arial"/>
                <w:sz w:val="18"/>
                <w:szCs w:val="18"/>
                <w:color w:val="262626"/>
              </w:rPr>
              <w:t>(a)</w:t>
            </w:r>
          </w:p>
        </w:tc>
        <w:tc>
          <w:tcPr>
            <w:tcW w:w="7180" w:type="dxa"/>
            <w:vAlign w:val="bottom"/>
            <w:tcBorders>
              <w:right w:val="single" w:sz="8" w:color="3F3F3F"/>
            </w:tcBorders>
          </w:tcPr>
          <w:p>
            <w:pPr>
              <w:ind w:left="240"/>
              <w:spacing w:after="0"/>
              <w:rPr>
                <w:sz w:val="20"/>
                <w:szCs w:val="20"/>
                <w:color w:val="auto"/>
              </w:rPr>
            </w:pPr>
            <w:r>
              <w:rPr>
                <w:rFonts w:ascii="Arial" w:cs="Arial" w:eastAsia="Arial" w:hAnsi="Arial"/>
                <w:sz w:val="18"/>
                <w:szCs w:val="18"/>
                <w:color w:val="1C1C1C"/>
              </w:rPr>
              <w:t xml:space="preserve">three </w:t>
            </w:r>
            <w:r>
              <w:rPr>
                <w:rFonts w:ascii="Arial" w:cs="Arial" w:eastAsia="Arial" w:hAnsi="Arial"/>
                <w:sz w:val="18"/>
                <w:szCs w:val="18"/>
                <w:color w:val="232323"/>
              </w:rPr>
              <w:t>Business</w:t>
            </w:r>
            <w:r>
              <w:rPr>
                <w:rFonts w:ascii="Arial" w:cs="Arial" w:eastAsia="Arial" w:hAnsi="Arial"/>
                <w:sz w:val="18"/>
                <w:szCs w:val="18"/>
                <w:color w:val="1C1C1C"/>
              </w:rPr>
              <w:t xml:space="preserve"> </w:t>
            </w:r>
            <w:r>
              <w:rPr>
                <w:rFonts w:ascii="Arial" w:cs="Arial" w:eastAsia="Arial" w:hAnsi="Arial"/>
                <w:sz w:val="18"/>
                <w:szCs w:val="18"/>
                <w:color w:val="1F1F1F"/>
              </w:rPr>
              <w:t>Days</w:t>
            </w:r>
            <w:r>
              <w:rPr>
                <w:rFonts w:ascii="Arial" w:cs="Arial" w:eastAsia="Arial" w:hAnsi="Arial"/>
                <w:sz w:val="18"/>
                <w:szCs w:val="18"/>
                <w:color w:val="1C1C1C"/>
              </w:rPr>
              <w:t xml:space="preserve"> </w:t>
            </w:r>
            <w:r>
              <w:rPr>
                <w:rFonts w:ascii="Arial" w:cs="Arial" w:eastAsia="Arial" w:hAnsi="Arial"/>
                <w:sz w:val="18"/>
                <w:szCs w:val="18"/>
                <w:color w:val="212121"/>
              </w:rPr>
              <w:t>after posting,</w:t>
            </w:r>
            <w:r>
              <w:rPr>
                <w:rFonts w:ascii="Arial" w:cs="Arial" w:eastAsia="Arial" w:hAnsi="Arial"/>
                <w:sz w:val="18"/>
                <w:szCs w:val="18"/>
                <w:color w:val="1C1C1C"/>
              </w:rPr>
              <w:t xml:space="preserve"> </w:t>
            </w:r>
            <w:r>
              <w:rPr>
                <w:rFonts w:ascii="Arial" w:cs="Arial" w:eastAsia="Arial" w:hAnsi="Arial"/>
                <w:sz w:val="18"/>
                <w:szCs w:val="18"/>
                <w:color w:val="232323"/>
              </w:rPr>
              <w:t>if</w:t>
            </w:r>
            <w:r>
              <w:rPr>
                <w:rFonts w:ascii="Arial" w:cs="Arial" w:eastAsia="Arial" w:hAnsi="Arial"/>
                <w:sz w:val="18"/>
                <w:szCs w:val="18"/>
                <w:color w:val="1C1C1C"/>
              </w:rPr>
              <w:t xml:space="preserve"> </w:t>
            </w:r>
            <w:r>
              <w:rPr>
                <w:rFonts w:ascii="Arial" w:cs="Arial" w:eastAsia="Arial" w:hAnsi="Arial"/>
                <w:sz w:val="18"/>
                <w:szCs w:val="18"/>
                <w:color w:val="1A1A1A"/>
              </w:rPr>
              <w:t>sent</w:t>
            </w:r>
            <w:r>
              <w:rPr>
                <w:rFonts w:ascii="Arial" w:cs="Arial" w:eastAsia="Arial" w:hAnsi="Arial"/>
                <w:sz w:val="18"/>
                <w:szCs w:val="18"/>
                <w:color w:val="1C1C1C"/>
              </w:rPr>
              <w:t xml:space="preserve"> within </w:t>
            </w:r>
            <w:r>
              <w:rPr>
                <w:rFonts w:ascii="Arial" w:cs="Arial" w:eastAsia="Arial" w:hAnsi="Arial"/>
                <w:sz w:val="18"/>
                <w:szCs w:val="18"/>
                <w:color w:val="181818"/>
              </w:rPr>
              <w:t>Australia;</w:t>
            </w:r>
            <w:r>
              <w:rPr>
                <w:rFonts w:ascii="Arial" w:cs="Arial" w:eastAsia="Arial" w:hAnsi="Arial"/>
                <w:sz w:val="18"/>
                <w:szCs w:val="18"/>
                <w:color w:val="1C1C1C"/>
              </w:rPr>
              <w:t xml:space="preserve"> </w:t>
            </w:r>
            <w:r>
              <w:rPr>
                <w:rFonts w:ascii="Arial" w:cs="Arial" w:eastAsia="Arial" w:hAnsi="Arial"/>
                <w:sz w:val="18"/>
                <w:szCs w:val="18"/>
                <w:color w:val="2A2A2A"/>
              </w:rPr>
              <w:t>or</w:t>
            </w:r>
          </w:p>
        </w:tc>
      </w:tr>
      <w:tr>
        <w:trPr>
          <w:trHeight w:val="203"/>
        </w:trPr>
        <w:tc>
          <w:tcPr>
            <w:tcW w:w="2820" w:type="dxa"/>
            <w:vAlign w:val="bottom"/>
            <w:tcBorders>
              <w:left w:val="single" w:sz="8" w:color="3F3F3F"/>
              <w:bottom w:val="single" w:sz="8" w:color="3F3F3F"/>
              <w:right w:val="single" w:sz="8" w:color="3F3F3F"/>
            </w:tcBorders>
          </w:tcPr>
          <w:p>
            <w:pPr>
              <w:spacing w:after="0"/>
              <w:rPr>
                <w:sz w:val="17"/>
                <w:szCs w:val="17"/>
                <w:color w:val="auto"/>
              </w:rPr>
            </w:pPr>
          </w:p>
        </w:tc>
        <w:tc>
          <w:tcPr>
            <w:tcW w:w="560" w:type="dxa"/>
            <w:vAlign w:val="bottom"/>
            <w:tcBorders>
              <w:bottom w:val="single" w:sz="8" w:color="3F3F3F"/>
            </w:tcBorders>
          </w:tcPr>
          <w:p>
            <w:pPr>
              <w:ind w:left="80"/>
              <w:spacing w:after="0" w:line="203" w:lineRule="exact"/>
              <w:rPr>
                <w:sz w:val="20"/>
                <w:szCs w:val="20"/>
                <w:color w:val="auto"/>
              </w:rPr>
            </w:pPr>
            <w:r>
              <w:rPr>
                <w:rFonts w:ascii="Arial" w:cs="Arial" w:eastAsia="Arial" w:hAnsi="Arial"/>
                <w:sz w:val="18"/>
                <w:szCs w:val="18"/>
                <w:color w:val="282828"/>
              </w:rPr>
              <w:t>(b)</w:t>
            </w:r>
          </w:p>
        </w:tc>
        <w:tc>
          <w:tcPr>
            <w:tcW w:w="7180" w:type="dxa"/>
            <w:vAlign w:val="bottom"/>
            <w:tcBorders>
              <w:bottom w:val="single" w:sz="8" w:color="3F3F3F"/>
              <w:right w:val="single" w:sz="8" w:color="3F3F3F"/>
            </w:tcBorders>
          </w:tcPr>
          <w:p>
            <w:pPr>
              <w:ind w:left="240"/>
              <w:spacing w:after="0" w:line="203" w:lineRule="exact"/>
              <w:rPr>
                <w:sz w:val="20"/>
                <w:szCs w:val="20"/>
                <w:color w:val="auto"/>
              </w:rPr>
            </w:pPr>
            <w:r>
              <w:rPr>
                <w:rFonts w:ascii="Arial" w:cs="Arial" w:eastAsia="Arial" w:hAnsi="Arial"/>
                <w:sz w:val="18"/>
                <w:szCs w:val="18"/>
                <w:color w:val="1F1F1F"/>
              </w:rPr>
              <w:t xml:space="preserve">seven </w:t>
            </w:r>
            <w:r>
              <w:rPr>
                <w:rFonts w:ascii="Arial" w:cs="Arial" w:eastAsia="Arial" w:hAnsi="Arial"/>
                <w:sz w:val="18"/>
                <w:szCs w:val="18"/>
                <w:color w:val="131313"/>
              </w:rPr>
              <w:t>Business</w:t>
            </w:r>
            <w:r>
              <w:rPr>
                <w:rFonts w:ascii="Arial" w:cs="Arial" w:eastAsia="Arial" w:hAnsi="Arial"/>
                <w:sz w:val="18"/>
                <w:szCs w:val="18"/>
                <w:color w:val="1F1F1F"/>
              </w:rPr>
              <w:t xml:space="preserve"> </w:t>
            </w:r>
            <w:r>
              <w:rPr>
                <w:rFonts w:ascii="Arial" w:cs="Arial" w:eastAsia="Arial" w:hAnsi="Arial"/>
                <w:sz w:val="18"/>
                <w:szCs w:val="18"/>
                <w:color w:val="1C1C1C"/>
              </w:rPr>
              <w:t>Days</w:t>
            </w:r>
            <w:r>
              <w:rPr>
                <w:rFonts w:ascii="Arial" w:cs="Arial" w:eastAsia="Arial" w:hAnsi="Arial"/>
                <w:sz w:val="18"/>
                <w:szCs w:val="18"/>
                <w:color w:val="1F1F1F"/>
              </w:rPr>
              <w:t xml:space="preserve"> </w:t>
            </w:r>
            <w:r>
              <w:rPr>
                <w:rFonts w:ascii="Arial" w:cs="Arial" w:eastAsia="Arial" w:hAnsi="Arial"/>
                <w:sz w:val="18"/>
                <w:szCs w:val="18"/>
                <w:color w:val="212121"/>
              </w:rPr>
              <w:t>after</w:t>
            </w:r>
            <w:r>
              <w:rPr>
                <w:rFonts w:ascii="Arial" w:cs="Arial" w:eastAsia="Arial" w:hAnsi="Arial"/>
                <w:sz w:val="18"/>
                <w:szCs w:val="18"/>
                <w:color w:val="1F1F1F"/>
              </w:rPr>
              <w:t xml:space="preserve"> </w:t>
            </w:r>
            <w:r>
              <w:rPr>
                <w:rFonts w:ascii="Arial" w:cs="Arial" w:eastAsia="Arial" w:hAnsi="Arial"/>
                <w:sz w:val="18"/>
                <w:szCs w:val="18"/>
                <w:color w:val="1D1D1D"/>
              </w:rPr>
              <w:t>posting,</w:t>
            </w:r>
            <w:r>
              <w:rPr>
                <w:rFonts w:ascii="Arial" w:cs="Arial" w:eastAsia="Arial" w:hAnsi="Arial"/>
                <w:sz w:val="18"/>
                <w:szCs w:val="18"/>
                <w:color w:val="1F1F1F"/>
              </w:rPr>
              <w:t xml:space="preserve"> </w:t>
            </w:r>
            <w:r>
              <w:rPr>
                <w:rFonts w:ascii="Arial" w:cs="Arial" w:eastAsia="Arial" w:hAnsi="Arial"/>
                <w:sz w:val="18"/>
                <w:szCs w:val="18"/>
                <w:color w:val="242424"/>
              </w:rPr>
              <w:t>if sent</w:t>
            </w:r>
            <w:r>
              <w:rPr>
                <w:rFonts w:ascii="Arial" w:cs="Arial" w:eastAsia="Arial" w:hAnsi="Arial"/>
                <w:sz w:val="18"/>
                <w:szCs w:val="18"/>
                <w:color w:val="1F1F1F"/>
              </w:rPr>
              <w:t xml:space="preserve"> to </w:t>
            </w:r>
            <w:r>
              <w:rPr>
                <w:rFonts w:ascii="Arial" w:cs="Arial" w:eastAsia="Arial" w:hAnsi="Arial"/>
                <w:sz w:val="18"/>
                <w:szCs w:val="18"/>
                <w:color w:val="242424"/>
              </w:rPr>
              <w:t>or</w:t>
            </w:r>
            <w:r>
              <w:rPr>
                <w:rFonts w:ascii="Arial" w:cs="Arial" w:eastAsia="Arial" w:hAnsi="Arial"/>
                <w:sz w:val="18"/>
                <w:szCs w:val="18"/>
                <w:color w:val="1F1F1F"/>
              </w:rPr>
              <w:t xml:space="preserve"> from </w:t>
            </w:r>
            <w:r>
              <w:rPr>
                <w:rFonts w:ascii="Arial" w:cs="Arial" w:eastAsia="Arial" w:hAnsi="Arial"/>
                <w:sz w:val="18"/>
                <w:szCs w:val="18"/>
                <w:color w:val="282828"/>
              </w:rPr>
              <w:t>a</w:t>
            </w:r>
            <w:r>
              <w:rPr>
                <w:rFonts w:ascii="Arial" w:cs="Arial" w:eastAsia="Arial" w:hAnsi="Arial"/>
                <w:sz w:val="18"/>
                <w:szCs w:val="18"/>
                <w:color w:val="1F1F1F"/>
              </w:rPr>
              <w:t xml:space="preserve"> </w:t>
            </w:r>
            <w:r>
              <w:rPr>
                <w:rFonts w:ascii="Arial" w:cs="Arial" w:eastAsia="Arial" w:hAnsi="Arial"/>
                <w:sz w:val="18"/>
                <w:szCs w:val="18"/>
                <w:color w:val="212121"/>
              </w:rPr>
              <w:t>place</w:t>
            </w:r>
            <w:r>
              <w:rPr>
                <w:rFonts w:ascii="Arial" w:cs="Arial" w:eastAsia="Arial" w:hAnsi="Arial"/>
                <w:sz w:val="18"/>
                <w:szCs w:val="18"/>
                <w:color w:val="1F1F1F"/>
              </w:rPr>
              <w:t xml:space="preserve"> </w:t>
            </w:r>
            <w:r>
              <w:rPr>
                <w:rFonts w:ascii="Arial" w:cs="Arial" w:eastAsia="Arial" w:hAnsi="Arial"/>
                <w:sz w:val="18"/>
                <w:szCs w:val="18"/>
                <w:color w:val="181818"/>
              </w:rPr>
              <w:t>outside</w:t>
            </w:r>
            <w:r>
              <w:rPr>
                <w:rFonts w:ascii="Arial" w:cs="Arial" w:eastAsia="Arial" w:hAnsi="Arial"/>
                <w:sz w:val="18"/>
                <w:szCs w:val="18"/>
                <w:color w:val="1F1F1F"/>
              </w:rPr>
              <w:t xml:space="preserve"> </w:t>
            </w:r>
            <w:r>
              <w:rPr>
                <w:rFonts w:ascii="Arial" w:cs="Arial" w:eastAsia="Arial" w:hAnsi="Arial"/>
                <w:sz w:val="18"/>
                <w:szCs w:val="18"/>
                <w:color w:val="212121"/>
              </w:rPr>
              <w:t>Australia.</w:t>
            </w: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8"/>
          <w:szCs w:val="18"/>
          <w:b w:val="1"/>
          <w:bCs w:val="1"/>
          <w:color w:val="2D2D2D"/>
        </w:rPr>
        <w:t>12.3</w:t>
      </w:r>
      <w:r>
        <w:rPr>
          <w:sz w:val="20"/>
          <w:szCs w:val="20"/>
          <w:color w:val="auto"/>
        </w:rPr>
        <w:tab/>
      </w:r>
      <w:r>
        <w:rPr>
          <w:rFonts w:ascii="Arial" w:cs="Arial" w:eastAsia="Arial" w:hAnsi="Arial"/>
          <w:sz w:val="17"/>
          <w:szCs w:val="17"/>
          <w:b w:val="1"/>
          <w:bCs w:val="1"/>
          <w:color w:val="242424"/>
        </w:rPr>
        <w:t xml:space="preserve">Address </w:t>
      </w:r>
      <w:r>
        <w:rPr>
          <w:rFonts w:ascii="Arial" w:cs="Arial" w:eastAsia="Arial" w:hAnsi="Arial"/>
          <w:sz w:val="17"/>
          <w:szCs w:val="17"/>
          <w:b w:val="1"/>
          <w:bCs w:val="1"/>
          <w:color w:val="2B2B2B"/>
        </w:rPr>
        <w:t>for</w:t>
      </w:r>
      <w:r>
        <w:rPr>
          <w:rFonts w:ascii="Arial" w:cs="Arial" w:eastAsia="Arial" w:hAnsi="Arial"/>
          <w:sz w:val="17"/>
          <w:szCs w:val="17"/>
          <w:b w:val="1"/>
          <w:bCs w:val="1"/>
          <w:color w:val="242424"/>
        </w:rPr>
        <w:t xml:space="preserve"> </w:t>
      </w:r>
      <w:r>
        <w:rPr>
          <w:rFonts w:ascii="Arial" w:cs="Arial" w:eastAsia="Arial" w:hAnsi="Arial"/>
          <w:sz w:val="17"/>
          <w:szCs w:val="17"/>
          <w:b w:val="1"/>
          <w:bCs w:val="1"/>
          <w:color w:val="212121"/>
        </w:rPr>
        <w:t>notices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232323"/>
        </w:rPr>
        <w:t xml:space="preserve">A person’s </w:t>
      </w:r>
      <w:r>
        <w:rPr>
          <w:rFonts w:ascii="Arial" w:cs="Arial" w:eastAsia="Arial" w:hAnsi="Arial"/>
          <w:sz w:val="18"/>
          <w:szCs w:val="18"/>
          <w:color w:val="1A1A1A"/>
        </w:rPr>
        <w:t>address,</w:t>
      </w:r>
      <w:r>
        <w:rPr>
          <w:rFonts w:ascii="Arial" w:cs="Arial" w:eastAsia="Arial" w:hAnsi="Arial"/>
          <w:sz w:val="18"/>
          <w:szCs w:val="18"/>
          <w:color w:val="232323"/>
        </w:rPr>
        <w:t xml:space="preserve"> </w:t>
      </w:r>
      <w:r>
        <w:rPr>
          <w:rFonts w:ascii="Arial" w:cs="Arial" w:eastAsia="Arial" w:hAnsi="Arial"/>
          <w:sz w:val="18"/>
          <w:szCs w:val="18"/>
          <w:color w:val="2B2B2B"/>
        </w:rPr>
        <w:t>fax</w:t>
      </w:r>
      <w:r>
        <w:rPr>
          <w:rFonts w:ascii="Arial" w:cs="Arial" w:eastAsia="Arial" w:hAnsi="Arial"/>
          <w:sz w:val="18"/>
          <w:szCs w:val="18"/>
          <w:color w:val="232323"/>
        </w:rPr>
        <w:t xml:space="preserve"> </w:t>
      </w:r>
      <w:r>
        <w:rPr>
          <w:rFonts w:ascii="Arial" w:cs="Arial" w:eastAsia="Arial" w:hAnsi="Arial"/>
          <w:sz w:val="18"/>
          <w:szCs w:val="18"/>
          <w:color w:val="1F1F1F"/>
        </w:rPr>
        <w:t>number</w:t>
      </w:r>
      <w:r>
        <w:rPr>
          <w:rFonts w:ascii="Arial" w:cs="Arial" w:eastAsia="Arial" w:hAnsi="Arial"/>
          <w:sz w:val="18"/>
          <w:szCs w:val="18"/>
          <w:color w:val="232323"/>
        </w:rPr>
        <w:t xml:space="preserve"> </w:t>
      </w:r>
      <w:r>
        <w:rPr>
          <w:rFonts w:ascii="Arial" w:cs="Arial" w:eastAsia="Arial" w:hAnsi="Arial"/>
          <w:sz w:val="18"/>
          <w:szCs w:val="18"/>
          <w:color w:val="2A2A2A"/>
        </w:rPr>
        <w:t>and</w:t>
      </w:r>
      <w:r>
        <w:rPr>
          <w:rFonts w:ascii="Arial" w:cs="Arial" w:eastAsia="Arial" w:hAnsi="Arial"/>
          <w:sz w:val="18"/>
          <w:szCs w:val="18"/>
          <w:color w:val="232323"/>
        </w:rPr>
        <w:t xml:space="preserve"> </w:t>
      </w:r>
      <w:r>
        <w:rPr>
          <w:rFonts w:ascii="Arial" w:cs="Arial" w:eastAsia="Arial" w:hAnsi="Arial"/>
          <w:sz w:val="18"/>
          <w:szCs w:val="18"/>
          <w:color w:val="1F1F1F"/>
        </w:rPr>
        <w:t>email</w:t>
      </w:r>
      <w:r>
        <w:rPr>
          <w:rFonts w:ascii="Arial" w:cs="Arial" w:eastAsia="Arial" w:hAnsi="Arial"/>
          <w:sz w:val="18"/>
          <w:szCs w:val="18"/>
          <w:color w:val="232323"/>
        </w:rPr>
        <w:t xml:space="preserve"> </w:t>
      </w:r>
      <w:r>
        <w:rPr>
          <w:rFonts w:ascii="Arial" w:cs="Arial" w:eastAsia="Arial" w:hAnsi="Arial"/>
          <w:sz w:val="18"/>
          <w:szCs w:val="18"/>
          <w:color w:val="161616"/>
        </w:rPr>
        <w:t>address</w:t>
      </w:r>
      <w:r>
        <w:rPr>
          <w:rFonts w:ascii="Arial" w:cs="Arial" w:eastAsia="Arial" w:hAnsi="Arial"/>
          <w:sz w:val="18"/>
          <w:szCs w:val="18"/>
          <w:color w:val="232323"/>
        </w:rPr>
        <w:t xml:space="preserve"> </w:t>
      </w:r>
      <w:r>
        <w:rPr>
          <w:rFonts w:ascii="Arial" w:cs="Arial" w:eastAsia="Arial" w:hAnsi="Arial"/>
          <w:sz w:val="18"/>
          <w:szCs w:val="18"/>
          <w:color w:val="262626"/>
        </w:rPr>
        <w:t>are</w:t>
      </w:r>
      <w:r>
        <w:rPr>
          <w:rFonts w:ascii="Arial" w:cs="Arial" w:eastAsia="Arial" w:hAnsi="Arial"/>
          <w:sz w:val="18"/>
          <w:szCs w:val="18"/>
          <w:color w:val="232323"/>
        </w:rPr>
        <w:t xml:space="preserve"> </w:t>
      </w:r>
      <w:r>
        <w:rPr>
          <w:rFonts w:ascii="Arial" w:cs="Arial" w:eastAsia="Arial" w:hAnsi="Arial"/>
          <w:sz w:val="18"/>
          <w:szCs w:val="18"/>
          <w:color w:val="212121"/>
        </w:rPr>
        <w:t>those</w:t>
      </w:r>
      <w:r>
        <w:rPr>
          <w:rFonts w:ascii="Arial" w:cs="Arial" w:eastAsia="Arial" w:hAnsi="Arial"/>
          <w:sz w:val="18"/>
          <w:szCs w:val="18"/>
          <w:color w:val="232323"/>
        </w:rPr>
        <w:t xml:space="preserve"> </w:t>
      </w:r>
      <w:r>
        <w:rPr>
          <w:rFonts w:ascii="Arial" w:cs="Arial" w:eastAsia="Arial" w:hAnsi="Arial"/>
          <w:sz w:val="18"/>
          <w:szCs w:val="18"/>
          <w:color w:val="262626"/>
        </w:rPr>
        <w:t>as</w:t>
      </w:r>
      <w:r>
        <w:rPr>
          <w:rFonts w:ascii="Arial" w:cs="Arial" w:eastAsia="Arial" w:hAnsi="Arial"/>
          <w:sz w:val="18"/>
          <w:szCs w:val="18"/>
          <w:color w:val="232323"/>
        </w:rPr>
        <w:t xml:space="preserve"> </w:t>
      </w:r>
      <w:r>
        <w:rPr>
          <w:rFonts w:ascii="Arial" w:cs="Arial" w:eastAsia="Arial" w:hAnsi="Arial"/>
          <w:sz w:val="18"/>
          <w:szCs w:val="18"/>
          <w:color w:val="212121"/>
        </w:rPr>
        <w:t>the</w:t>
      </w:r>
      <w:r>
        <w:rPr>
          <w:rFonts w:ascii="Arial" w:cs="Arial" w:eastAsia="Arial" w:hAnsi="Arial"/>
          <w:sz w:val="18"/>
          <w:szCs w:val="18"/>
          <w:color w:val="232323"/>
        </w:rPr>
        <w:t xml:space="preserve"> </w:t>
      </w:r>
      <w:r>
        <w:rPr>
          <w:rFonts w:ascii="Arial" w:cs="Arial" w:eastAsia="Arial" w:hAnsi="Arial"/>
          <w:sz w:val="18"/>
          <w:szCs w:val="18"/>
          <w:color w:val="1F1F1F"/>
        </w:rPr>
        <w:t>person</w:t>
      </w:r>
      <w:r>
        <w:rPr>
          <w:rFonts w:ascii="Arial" w:cs="Arial" w:eastAsia="Arial" w:hAnsi="Arial"/>
          <w:sz w:val="18"/>
          <w:szCs w:val="18"/>
          <w:color w:val="232323"/>
        </w:rPr>
        <w:t xml:space="preserve"> </w:t>
      </w:r>
      <w:r>
        <w:rPr>
          <w:rFonts w:ascii="Arial" w:cs="Arial" w:eastAsia="Arial" w:hAnsi="Arial"/>
          <w:sz w:val="18"/>
          <w:szCs w:val="18"/>
          <w:color w:val="212121"/>
        </w:rPr>
        <w:t>notifies</w:t>
      </w:r>
      <w:r>
        <w:rPr>
          <w:rFonts w:ascii="Arial" w:cs="Arial" w:eastAsia="Arial" w:hAnsi="Arial"/>
          <w:sz w:val="18"/>
          <w:szCs w:val="18"/>
          <w:color w:val="232323"/>
        </w:rPr>
        <w:t xml:space="preserve"> </w:t>
      </w:r>
      <w:r>
        <w:rPr>
          <w:rFonts w:ascii="Arial" w:cs="Arial" w:eastAsia="Arial" w:hAnsi="Arial"/>
          <w:sz w:val="18"/>
          <w:szCs w:val="18"/>
          <w:color w:val="282828"/>
        </w:rPr>
        <w:t>the</w:t>
      </w:r>
      <w:r>
        <w:rPr>
          <w:rFonts w:ascii="Arial" w:cs="Arial" w:eastAsia="Arial" w:hAnsi="Arial"/>
          <w:sz w:val="18"/>
          <w:szCs w:val="18"/>
          <w:color w:val="232323"/>
        </w:rPr>
        <w:t xml:space="preserve"> </w:t>
      </w:r>
      <w:r>
        <w:rPr>
          <w:rFonts w:ascii="Arial" w:cs="Arial" w:eastAsia="Arial" w:hAnsi="Arial"/>
          <w:sz w:val="18"/>
          <w:szCs w:val="18"/>
          <w:color w:val="1F1F1F"/>
        </w:rPr>
        <w:t>sender: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Borders>
              <w:right w:val="single" w:sz="8" w:color="3F3F3F"/>
            </w:tcBorders>
          </w:tcPr>
          <w:p>
            <w:pPr>
              <w:spacing w:after="0"/>
              <w:rPr>
                <w:sz w:val="18"/>
                <w:szCs w:val="18"/>
                <w:color w:val="auto"/>
              </w:rPr>
            </w:pPr>
          </w:p>
        </w:tc>
        <w:tc>
          <w:tcPr>
            <w:tcW w:w="640" w:type="dxa"/>
            <w:vAlign w:val="bottom"/>
            <w:tcBorders>
              <w:top w:val="single" w:sz="8" w:color="3F3F3F"/>
              <w:bottom w:val="single" w:sz="8" w:color="3F3F3F"/>
            </w:tcBorders>
            <w:shd w:val="clear" w:color="auto" w:fill="DEE2E1"/>
          </w:tcPr>
          <w:p>
            <w:pPr>
              <w:ind w:left="100"/>
              <w:spacing w:after="0"/>
              <w:rPr>
                <w:sz w:val="20"/>
                <w:szCs w:val="20"/>
                <w:color w:val="auto"/>
              </w:rPr>
            </w:pPr>
            <w:r>
              <w:rPr>
                <w:rFonts w:ascii="Arial" w:cs="Arial" w:eastAsia="Arial" w:hAnsi="Arial"/>
                <w:sz w:val="18"/>
                <w:szCs w:val="18"/>
                <w:b w:val="1"/>
                <w:bCs w:val="1"/>
                <w:color w:val="1F1F1F"/>
              </w:rPr>
              <w:t>Name</w:t>
            </w:r>
          </w:p>
        </w:tc>
        <w:tc>
          <w:tcPr>
            <w:tcW w:w="1600" w:type="dxa"/>
            <w:vAlign w:val="bottom"/>
            <w:tcBorders>
              <w:top w:val="single" w:sz="8" w:color="3F3F3F"/>
              <w:bottom w:val="single" w:sz="8" w:color="3F3F3F"/>
              <w:right w:val="single" w:sz="8" w:color="3F3F3F"/>
            </w:tcBorders>
            <w:shd w:val="clear" w:color="auto" w:fill="DEE2E1"/>
          </w:tcPr>
          <w:p>
            <w:pPr>
              <w:spacing w:after="0"/>
              <w:rPr>
                <w:sz w:val="18"/>
                <w:szCs w:val="18"/>
                <w:color w:val="auto"/>
              </w:rPr>
            </w:pPr>
          </w:p>
        </w:tc>
        <w:tc>
          <w:tcPr>
            <w:tcW w:w="5600" w:type="dxa"/>
            <w:vAlign w:val="bottom"/>
            <w:tcBorders>
              <w:top w:val="single" w:sz="8" w:color="3F3F3F"/>
              <w:bottom w:val="single" w:sz="8" w:color="3F3F3F"/>
            </w:tcBorders>
          </w:tcPr>
          <w:p>
            <w:pPr>
              <w:ind w:left="100"/>
              <w:spacing w:after="0"/>
              <w:rPr>
                <w:sz w:val="20"/>
                <w:szCs w:val="20"/>
                <w:color w:val="auto"/>
              </w:rPr>
            </w:pPr>
            <w:r>
              <w:rPr>
                <w:rFonts w:ascii="Arial" w:cs="Arial" w:eastAsia="Arial" w:hAnsi="Arial"/>
                <w:sz w:val="18"/>
                <w:szCs w:val="18"/>
                <w:color w:val="212121"/>
              </w:rPr>
              <w:t>Director</w:t>
            </w:r>
          </w:p>
        </w:tc>
        <w:tc>
          <w:tcPr>
            <w:tcW w:w="2700" w:type="dxa"/>
            <w:vAlign w:val="bottom"/>
            <w:tcBorders>
              <w:top w:val="single" w:sz="8" w:color="3F3F3F"/>
              <w:bottom w:val="single" w:sz="8" w:color="3F3F3F"/>
              <w:right w:val="single" w:sz="8" w:color="3F3F3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680" w:type="dxa"/>
            <w:vAlign w:val="bottom"/>
            <w:tcBorders>
              <w:right w:val="single" w:sz="8" w:color="3F3F3F"/>
            </w:tcBorders>
          </w:tcPr>
          <w:p>
            <w:pPr>
              <w:spacing w:after="0"/>
              <w:rPr>
                <w:sz w:val="17"/>
                <w:szCs w:val="17"/>
                <w:color w:val="auto"/>
              </w:rPr>
            </w:pPr>
          </w:p>
        </w:tc>
        <w:tc>
          <w:tcPr>
            <w:tcW w:w="2240" w:type="dxa"/>
            <w:vAlign w:val="bottom"/>
            <w:tcBorders>
              <w:bottom w:val="single" w:sz="8" w:color="3F3F3F"/>
              <w:right w:val="single" w:sz="8" w:color="3F3F3F"/>
            </w:tcBorders>
            <w:gridSpan w:val="2"/>
            <w:shd w:val="clear" w:color="auto" w:fill="DEE2E1"/>
          </w:tcPr>
          <w:p>
            <w:pPr>
              <w:ind w:left="100"/>
              <w:spacing w:after="0" w:line="196" w:lineRule="exact"/>
              <w:rPr>
                <w:sz w:val="20"/>
                <w:szCs w:val="20"/>
                <w:color w:val="auto"/>
              </w:rPr>
            </w:pPr>
            <w:r>
              <w:rPr>
                <w:rFonts w:ascii="Arial" w:cs="Arial" w:eastAsia="Arial" w:hAnsi="Arial"/>
                <w:sz w:val="18"/>
                <w:szCs w:val="18"/>
                <w:b w:val="1"/>
                <w:bCs w:val="1"/>
                <w:color w:val="1D1D1D"/>
              </w:rPr>
              <w:t>Attention</w:t>
            </w:r>
          </w:p>
        </w:tc>
        <w:tc>
          <w:tcPr>
            <w:tcW w:w="5600" w:type="dxa"/>
            <w:vAlign w:val="bottom"/>
            <w:tcBorders>
              <w:bottom w:val="single" w:sz="8" w:color="3F3F3F"/>
            </w:tcBorders>
          </w:tcPr>
          <w:p>
            <w:pPr>
              <w:ind w:left="100"/>
              <w:spacing w:after="0" w:line="196" w:lineRule="exact"/>
              <w:rPr>
                <w:sz w:val="20"/>
                <w:szCs w:val="20"/>
                <w:color w:val="auto"/>
              </w:rPr>
            </w:pPr>
            <w:r>
              <w:rPr>
                <w:rFonts w:ascii="Arial" w:cs="Arial" w:eastAsia="Arial" w:hAnsi="Arial"/>
                <w:sz w:val="18"/>
                <w:szCs w:val="18"/>
                <w:color w:val="262626"/>
              </w:rPr>
              <w:t xml:space="preserve">Trevor </w:t>
            </w:r>
            <w:r>
              <w:rPr>
                <w:rFonts w:ascii="Arial" w:cs="Arial" w:eastAsia="Arial" w:hAnsi="Arial"/>
                <w:sz w:val="18"/>
                <w:szCs w:val="18"/>
                <w:color w:val="212121"/>
              </w:rPr>
              <w:t>St</w:t>
            </w:r>
            <w:r>
              <w:rPr>
                <w:rFonts w:ascii="Arial" w:cs="Arial" w:eastAsia="Arial" w:hAnsi="Arial"/>
                <w:sz w:val="18"/>
                <w:szCs w:val="18"/>
                <w:color w:val="262626"/>
              </w:rPr>
              <w:t xml:space="preserve"> </w:t>
            </w:r>
            <w:r>
              <w:rPr>
                <w:rFonts w:ascii="Arial" w:cs="Arial" w:eastAsia="Arial" w:hAnsi="Arial"/>
                <w:sz w:val="18"/>
                <w:szCs w:val="18"/>
                <w:color w:val="1F1F1F"/>
              </w:rPr>
              <w:t>Baker</w:t>
            </w:r>
          </w:p>
        </w:tc>
        <w:tc>
          <w:tcPr>
            <w:tcW w:w="2700" w:type="dxa"/>
            <w:vAlign w:val="bottom"/>
            <w:tcBorders>
              <w:bottom w:val="single" w:sz="8" w:color="3F3F3F"/>
              <w:right w:val="single" w:sz="8" w:color="3F3F3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0" w:type="dxa"/>
            <w:vAlign w:val="bottom"/>
            <w:tcBorders>
              <w:right w:val="single" w:sz="8" w:color="3F3F3F"/>
            </w:tcBorders>
          </w:tcPr>
          <w:p>
            <w:pPr>
              <w:spacing w:after="0"/>
              <w:rPr>
                <w:sz w:val="17"/>
                <w:szCs w:val="17"/>
                <w:color w:val="auto"/>
              </w:rPr>
            </w:pPr>
          </w:p>
        </w:tc>
        <w:tc>
          <w:tcPr>
            <w:tcW w:w="2240" w:type="dxa"/>
            <w:vAlign w:val="bottom"/>
            <w:tcBorders>
              <w:bottom w:val="single" w:sz="8" w:color="3F3F3F"/>
              <w:right w:val="single" w:sz="8" w:color="3F3F3F"/>
            </w:tcBorders>
            <w:gridSpan w:val="2"/>
            <w:shd w:val="clear" w:color="auto" w:fill="DEE2E1"/>
          </w:tcPr>
          <w:p>
            <w:pPr>
              <w:ind w:left="100"/>
              <w:spacing w:after="0" w:line="196" w:lineRule="exact"/>
              <w:rPr>
                <w:sz w:val="20"/>
                <w:szCs w:val="20"/>
                <w:color w:val="auto"/>
              </w:rPr>
            </w:pPr>
            <w:r>
              <w:rPr>
                <w:rFonts w:ascii="Arial" w:cs="Arial" w:eastAsia="Arial" w:hAnsi="Arial"/>
                <w:sz w:val="18"/>
                <w:szCs w:val="18"/>
                <w:b w:val="1"/>
                <w:bCs w:val="1"/>
                <w:color w:val="1D1D1D"/>
              </w:rPr>
              <w:t>Address</w:t>
            </w:r>
          </w:p>
        </w:tc>
        <w:tc>
          <w:tcPr>
            <w:tcW w:w="5600" w:type="dxa"/>
            <w:vAlign w:val="bottom"/>
            <w:tcBorders>
              <w:bottom w:val="single" w:sz="8" w:color="3F3F3F"/>
            </w:tcBorders>
          </w:tcPr>
          <w:p>
            <w:pPr>
              <w:ind w:left="100"/>
              <w:spacing w:after="0" w:line="196" w:lineRule="exact"/>
              <w:rPr>
                <w:sz w:val="20"/>
                <w:szCs w:val="20"/>
                <w:color w:val="auto"/>
              </w:rPr>
            </w:pPr>
            <w:r>
              <w:rPr>
                <w:rFonts w:ascii="Arial" w:cs="Arial" w:eastAsia="Arial" w:hAnsi="Arial"/>
                <w:sz w:val="18"/>
                <w:szCs w:val="18"/>
                <w:color w:val="232323"/>
              </w:rPr>
              <w:t xml:space="preserve">GPO </w:t>
            </w:r>
            <w:r>
              <w:rPr>
                <w:rFonts w:ascii="Arial" w:cs="Arial" w:eastAsia="Arial" w:hAnsi="Arial"/>
                <w:sz w:val="18"/>
                <w:szCs w:val="18"/>
                <w:color w:val="212121"/>
              </w:rPr>
              <w:t>Box</w:t>
            </w:r>
            <w:r>
              <w:rPr>
                <w:rFonts w:ascii="Arial" w:cs="Arial" w:eastAsia="Arial" w:hAnsi="Arial"/>
                <w:sz w:val="18"/>
                <w:szCs w:val="18"/>
                <w:color w:val="232323"/>
              </w:rPr>
              <w:t xml:space="preserve"> </w:t>
            </w:r>
            <w:r>
              <w:rPr>
                <w:rFonts w:ascii="Arial" w:cs="Arial" w:eastAsia="Arial" w:hAnsi="Arial"/>
                <w:sz w:val="18"/>
                <w:szCs w:val="18"/>
                <w:color w:val="2A2A2A"/>
              </w:rPr>
              <w:t>1821,</w:t>
            </w:r>
            <w:r>
              <w:rPr>
                <w:rFonts w:ascii="Arial" w:cs="Arial" w:eastAsia="Arial" w:hAnsi="Arial"/>
                <w:sz w:val="18"/>
                <w:szCs w:val="18"/>
                <w:color w:val="232323"/>
              </w:rPr>
              <w:t xml:space="preserve"> </w:t>
            </w:r>
            <w:r>
              <w:rPr>
                <w:rFonts w:ascii="Arial" w:cs="Arial" w:eastAsia="Arial" w:hAnsi="Arial"/>
                <w:sz w:val="18"/>
                <w:szCs w:val="18"/>
                <w:color w:val="1A1A1A"/>
              </w:rPr>
              <w:t>Brisbane</w:t>
            </w:r>
            <w:r>
              <w:rPr>
                <w:rFonts w:ascii="Arial" w:cs="Arial" w:eastAsia="Arial" w:hAnsi="Arial"/>
                <w:sz w:val="18"/>
                <w:szCs w:val="18"/>
                <w:color w:val="232323"/>
              </w:rPr>
              <w:t xml:space="preserve"> </w:t>
            </w:r>
            <w:r>
              <w:rPr>
                <w:rFonts w:ascii="Arial" w:cs="Arial" w:eastAsia="Arial" w:hAnsi="Arial"/>
                <w:sz w:val="18"/>
                <w:szCs w:val="18"/>
                <w:color w:val="1F1F1F"/>
              </w:rPr>
              <w:t>Qld</w:t>
            </w:r>
            <w:r>
              <w:rPr>
                <w:rFonts w:ascii="Arial" w:cs="Arial" w:eastAsia="Arial" w:hAnsi="Arial"/>
                <w:sz w:val="18"/>
                <w:szCs w:val="18"/>
                <w:color w:val="232323"/>
              </w:rPr>
              <w:t xml:space="preserve"> </w:t>
            </w:r>
            <w:r>
              <w:rPr>
                <w:rFonts w:ascii="Arial" w:cs="Arial" w:eastAsia="Arial" w:hAnsi="Arial"/>
                <w:sz w:val="18"/>
                <w:szCs w:val="18"/>
                <w:color w:val="1D1D1D"/>
              </w:rPr>
              <w:t>4001</w:t>
            </w:r>
          </w:p>
        </w:tc>
        <w:tc>
          <w:tcPr>
            <w:tcW w:w="2700" w:type="dxa"/>
            <w:vAlign w:val="bottom"/>
            <w:tcBorders>
              <w:bottom w:val="single" w:sz="8" w:color="3F3F3F"/>
              <w:right w:val="single" w:sz="8" w:color="3F3F3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0" w:type="dxa"/>
            <w:vAlign w:val="bottom"/>
            <w:tcBorders>
              <w:right w:val="single" w:sz="8" w:color="3F3F3F"/>
            </w:tcBorders>
          </w:tcPr>
          <w:p>
            <w:pPr>
              <w:spacing w:after="0"/>
              <w:rPr>
                <w:sz w:val="17"/>
                <w:szCs w:val="17"/>
                <w:color w:val="auto"/>
              </w:rPr>
            </w:pPr>
          </w:p>
        </w:tc>
        <w:tc>
          <w:tcPr>
            <w:tcW w:w="640" w:type="dxa"/>
            <w:vAlign w:val="bottom"/>
            <w:tcBorders>
              <w:bottom w:val="single" w:sz="8" w:color="3F3F3F"/>
            </w:tcBorders>
            <w:shd w:val="clear" w:color="auto" w:fill="DEE2E1"/>
          </w:tcPr>
          <w:p>
            <w:pPr>
              <w:ind w:left="100"/>
              <w:spacing w:after="0" w:line="196" w:lineRule="exact"/>
              <w:rPr>
                <w:sz w:val="20"/>
                <w:szCs w:val="20"/>
                <w:color w:val="auto"/>
              </w:rPr>
            </w:pPr>
            <w:r>
              <w:rPr>
                <w:rFonts w:ascii="Arial" w:cs="Arial" w:eastAsia="Arial" w:hAnsi="Arial"/>
                <w:sz w:val="18"/>
                <w:szCs w:val="18"/>
                <w:b w:val="1"/>
                <w:bCs w:val="1"/>
                <w:color w:val="282828"/>
              </w:rPr>
              <w:t>Fax</w:t>
            </w:r>
          </w:p>
        </w:tc>
        <w:tc>
          <w:tcPr>
            <w:tcW w:w="1600" w:type="dxa"/>
            <w:vAlign w:val="bottom"/>
            <w:tcBorders>
              <w:bottom w:val="single" w:sz="8" w:color="3F3F3F"/>
              <w:right w:val="single" w:sz="8" w:color="3F3F3F"/>
            </w:tcBorders>
            <w:shd w:val="clear" w:color="auto" w:fill="DEE2E1"/>
          </w:tcPr>
          <w:p>
            <w:pPr>
              <w:spacing w:after="0"/>
              <w:rPr>
                <w:sz w:val="17"/>
                <w:szCs w:val="17"/>
                <w:color w:val="auto"/>
              </w:rPr>
            </w:pPr>
          </w:p>
        </w:tc>
        <w:tc>
          <w:tcPr>
            <w:tcW w:w="5600" w:type="dxa"/>
            <w:vAlign w:val="bottom"/>
            <w:tcBorders>
              <w:bottom w:val="single" w:sz="8" w:color="3F3F3F"/>
            </w:tcBorders>
          </w:tcPr>
          <w:p>
            <w:pPr>
              <w:spacing w:after="0"/>
              <w:rPr>
                <w:sz w:val="17"/>
                <w:szCs w:val="17"/>
                <w:color w:val="auto"/>
              </w:rPr>
            </w:pPr>
          </w:p>
        </w:tc>
        <w:tc>
          <w:tcPr>
            <w:tcW w:w="2700" w:type="dxa"/>
            <w:vAlign w:val="bottom"/>
            <w:tcBorders>
              <w:bottom w:val="single" w:sz="8" w:color="3F3F3F"/>
              <w:right w:val="single" w:sz="8" w:color="3F3F3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0" w:type="dxa"/>
            <w:vAlign w:val="bottom"/>
            <w:tcBorders>
              <w:right w:val="single" w:sz="8" w:color="3F3F3F"/>
            </w:tcBorders>
          </w:tcPr>
          <w:p>
            <w:pPr>
              <w:spacing w:after="0"/>
              <w:rPr>
                <w:sz w:val="17"/>
                <w:szCs w:val="17"/>
                <w:color w:val="auto"/>
              </w:rPr>
            </w:pPr>
          </w:p>
        </w:tc>
        <w:tc>
          <w:tcPr>
            <w:tcW w:w="2240" w:type="dxa"/>
            <w:vAlign w:val="bottom"/>
            <w:tcBorders>
              <w:bottom w:val="single" w:sz="8" w:color="3F3F3F"/>
              <w:right w:val="single" w:sz="8" w:color="3F3F3F"/>
            </w:tcBorders>
            <w:gridSpan w:val="2"/>
            <w:shd w:val="clear" w:color="auto" w:fill="DEE2E1"/>
          </w:tcPr>
          <w:p>
            <w:pPr>
              <w:ind w:left="100"/>
              <w:spacing w:after="0" w:line="196" w:lineRule="exact"/>
              <w:rPr>
                <w:sz w:val="20"/>
                <w:szCs w:val="20"/>
                <w:color w:val="auto"/>
              </w:rPr>
            </w:pPr>
            <w:r>
              <w:rPr>
                <w:rFonts w:ascii="Arial" w:cs="Arial" w:eastAsia="Arial" w:hAnsi="Arial"/>
                <w:sz w:val="18"/>
                <w:szCs w:val="18"/>
                <w:b w:val="1"/>
                <w:bCs w:val="1"/>
                <w:color w:val="111111"/>
              </w:rPr>
              <w:t xml:space="preserve">Email </w:t>
            </w:r>
            <w:r>
              <w:rPr>
                <w:rFonts w:ascii="Arial" w:cs="Arial" w:eastAsia="Arial" w:hAnsi="Arial"/>
                <w:sz w:val="18"/>
                <w:szCs w:val="18"/>
                <w:b w:val="1"/>
                <w:bCs w:val="1"/>
                <w:color w:val="161616"/>
              </w:rPr>
              <w:t>address</w:t>
            </w:r>
          </w:p>
        </w:tc>
        <w:tc>
          <w:tcPr>
            <w:tcW w:w="5600" w:type="dxa"/>
            <w:vAlign w:val="bottom"/>
            <w:tcBorders>
              <w:bottom w:val="single" w:sz="8" w:color="3F3F3F"/>
            </w:tcBorders>
          </w:tcPr>
          <w:p>
            <w:pPr>
              <w:ind w:left="100"/>
              <w:spacing w:after="0" w:line="196" w:lineRule="exact"/>
              <w:rPr>
                <w:sz w:val="20"/>
                <w:szCs w:val="20"/>
                <w:color w:val="auto"/>
              </w:rPr>
            </w:pPr>
            <w:r>
              <w:rPr>
                <w:rFonts w:ascii="Arial" w:cs="Arial" w:eastAsia="Arial" w:hAnsi="Arial"/>
                <w:sz w:val="18"/>
                <w:szCs w:val="18"/>
                <w:color w:val="1D1D1D"/>
              </w:rPr>
              <w:t>tstbaker@stbenergy.com.au</w:t>
            </w:r>
          </w:p>
        </w:tc>
        <w:tc>
          <w:tcPr>
            <w:tcW w:w="2700" w:type="dxa"/>
            <w:vAlign w:val="bottom"/>
            <w:tcBorders>
              <w:bottom w:val="single" w:sz="8" w:color="3F3F3F"/>
              <w:right w:val="single" w:sz="8" w:color="3F3F3F"/>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680" w:type="dxa"/>
            <w:vAlign w:val="bottom"/>
          </w:tcPr>
          <w:p>
            <w:pPr>
              <w:spacing w:after="0"/>
              <w:rPr>
                <w:sz w:val="20"/>
                <w:szCs w:val="20"/>
                <w:color w:val="auto"/>
              </w:rPr>
            </w:pPr>
          </w:p>
        </w:tc>
        <w:tc>
          <w:tcPr>
            <w:tcW w:w="640" w:type="dxa"/>
            <w:vAlign w:val="bottom"/>
            <w:tcBorders>
              <w:bottom w:val="single" w:sz="8" w:color="3B3B3B"/>
            </w:tcBorders>
          </w:tcPr>
          <w:p>
            <w:pPr>
              <w:spacing w:after="0"/>
              <w:rPr>
                <w:sz w:val="20"/>
                <w:szCs w:val="20"/>
                <w:color w:val="auto"/>
              </w:rPr>
            </w:pPr>
          </w:p>
        </w:tc>
        <w:tc>
          <w:tcPr>
            <w:tcW w:w="1600" w:type="dxa"/>
            <w:vAlign w:val="bottom"/>
            <w:tcBorders>
              <w:bottom w:val="single" w:sz="8" w:color="3B3B3B"/>
            </w:tcBorders>
          </w:tcPr>
          <w:p>
            <w:pPr>
              <w:spacing w:after="0"/>
              <w:rPr>
                <w:sz w:val="20"/>
                <w:szCs w:val="20"/>
                <w:color w:val="auto"/>
              </w:rPr>
            </w:pPr>
          </w:p>
        </w:tc>
        <w:tc>
          <w:tcPr>
            <w:tcW w:w="5600" w:type="dxa"/>
            <w:vAlign w:val="bottom"/>
            <w:tcBorders>
              <w:bottom w:val="single" w:sz="8" w:color="3B3B3B"/>
            </w:tcBorders>
          </w:tcPr>
          <w:p>
            <w:pPr>
              <w:spacing w:after="0"/>
              <w:rPr>
                <w:sz w:val="20"/>
                <w:szCs w:val="20"/>
                <w:color w:val="auto"/>
              </w:rPr>
            </w:pPr>
          </w:p>
        </w:tc>
        <w:tc>
          <w:tcPr>
            <w:tcW w:w="2700" w:type="dxa"/>
            <w:vAlign w:val="bottom"/>
            <w:tcBorders>
              <w:bottom w:val="single" w:sz="8" w:color="3B3B3B"/>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680" w:type="dxa"/>
            <w:vAlign w:val="bottom"/>
            <w:tcBorders>
              <w:right w:val="single" w:sz="8" w:color="3B3B3B"/>
            </w:tcBorders>
          </w:tcPr>
          <w:p>
            <w:pPr>
              <w:spacing w:after="0"/>
              <w:rPr>
                <w:sz w:val="20"/>
                <w:szCs w:val="20"/>
                <w:color w:val="auto"/>
              </w:rPr>
            </w:pPr>
          </w:p>
        </w:tc>
        <w:tc>
          <w:tcPr>
            <w:tcW w:w="640" w:type="dxa"/>
            <w:vAlign w:val="bottom"/>
            <w:tcBorders>
              <w:bottom w:val="single" w:sz="8" w:color="3B3B3B"/>
            </w:tcBorders>
            <w:shd w:val="clear" w:color="auto" w:fill="DEE2E1"/>
          </w:tcPr>
          <w:p>
            <w:pPr>
              <w:ind w:left="100"/>
              <w:spacing w:after="0"/>
              <w:rPr>
                <w:sz w:val="20"/>
                <w:szCs w:val="20"/>
                <w:color w:val="auto"/>
              </w:rPr>
            </w:pPr>
            <w:r>
              <w:rPr>
                <w:rFonts w:ascii="Arial" w:cs="Arial" w:eastAsia="Arial" w:hAnsi="Arial"/>
                <w:sz w:val="18"/>
                <w:szCs w:val="18"/>
                <w:b w:val="1"/>
                <w:bCs w:val="1"/>
                <w:color w:val="1F1F1F"/>
              </w:rPr>
              <w:t>Name</w:t>
            </w:r>
          </w:p>
        </w:tc>
        <w:tc>
          <w:tcPr>
            <w:tcW w:w="1600" w:type="dxa"/>
            <w:vAlign w:val="bottom"/>
            <w:tcBorders>
              <w:bottom w:val="single" w:sz="8" w:color="3B3B3B"/>
              <w:right w:val="single" w:sz="8" w:color="3B3B3B"/>
            </w:tcBorders>
            <w:shd w:val="clear" w:color="auto" w:fill="DEE2E1"/>
          </w:tcPr>
          <w:p>
            <w:pPr>
              <w:spacing w:after="0"/>
              <w:rPr>
                <w:sz w:val="20"/>
                <w:szCs w:val="20"/>
                <w:color w:val="auto"/>
              </w:rPr>
            </w:pPr>
          </w:p>
        </w:tc>
        <w:tc>
          <w:tcPr>
            <w:tcW w:w="5600" w:type="dxa"/>
            <w:vAlign w:val="bottom"/>
            <w:tcBorders>
              <w:bottom w:val="single" w:sz="8" w:color="3B3B3B"/>
            </w:tcBorders>
          </w:tcPr>
          <w:p>
            <w:pPr>
              <w:ind w:left="80"/>
              <w:spacing w:after="0"/>
              <w:rPr>
                <w:sz w:val="20"/>
                <w:szCs w:val="20"/>
                <w:color w:val="auto"/>
              </w:rPr>
            </w:pPr>
            <w:r>
              <w:rPr>
                <w:rFonts w:ascii="Arial" w:cs="Arial" w:eastAsia="Arial" w:hAnsi="Arial"/>
                <w:sz w:val="18"/>
                <w:szCs w:val="18"/>
                <w:color w:val="232323"/>
              </w:rPr>
              <w:t xml:space="preserve">The </w:t>
            </w:r>
            <w:r>
              <w:rPr>
                <w:rFonts w:ascii="Arial" w:cs="Arial" w:eastAsia="Arial" w:hAnsi="Arial"/>
                <w:sz w:val="18"/>
                <w:szCs w:val="18"/>
                <w:color w:val="262626"/>
              </w:rPr>
              <w:t>Company</w:t>
            </w:r>
          </w:p>
        </w:tc>
        <w:tc>
          <w:tcPr>
            <w:tcW w:w="2700" w:type="dxa"/>
            <w:vAlign w:val="bottom"/>
            <w:tcBorders>
              <w:bottom w:val="single" w:sz="8" w:color="3B3B3B"/>
              <w:right w:val="single" w:sz="8" w:color="3B3B3B"/>
            </w:tcBorders>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680" w:type="dxa"/>
            <w:vAlign w:val="bottom"/>
            <w:tcBorders>
              <w:right w:val="single" w:sz="8" w:color="3B3B3B"/>
            </w:tcBorders>
          </w:tcPr>
          <w:p>
            <w:pPr>
              <w:spacing w:after="0"/>
              <w:rPr>
                <w:sz w:val="17"/>
                <w:szCs w:val="17"/>
                <w:color w:val="auto"/>
              </w:rPr>
            </w:pPr>
          </w:p>
        </w:tc>
        <w:tc>
          <w:tcPr>
            <w:tcW w:w="2240" w:type="dxa"/>
            <w:vAlign w:val="bottom"/>
            <w:tcBorders>
              <w:bottom w:val="single" w:sz="8" w:color="3B3B3B"/>
              <w:right w:val="single" w:sz="8" w:color="3B3B3B"/>
            </w:tcBorders>
            <w:gridSpan w:val="2"/>
            <w:shd w:val="clear" w:color="auto" w:fill="DEE2E1"/>
          </w:tcPr>
          <w:p>
            <w:pPr>
              <w:ind w:left="100"/>
              <w:spacing w:after="0" w:line="196" w:lineRule="exact"/>
              <w:rPr>
                <w:sz w:val="20"/>
                <w:szCs w:val="20"/>
                <w:color w:val="auto"/>
              </w:rPr>
            </w:pPr>
            <w:r>
              <w:rPr>
                <w:rFonts w:ascii="Arial" w:cs="Arial" w:eastAsia="Arial" w:hAnsi="Arial"/>
                <w:sz w:val="18"/>
                <w:szCs w:val="18"/>
                <w:b w:val="1"/>
                <w:bCs w:val="1"/>
                <w:color w:val="1D1D1D"/>
              </w:rPr>
              <w:t>Attention</w:t>
            </w:r>
          </w:p>
        </w:tc>
        <w:tc>
          <w:tcPr>
            <w:tcW w:w="5600" w:type="dxa"/>
            <w:vAlign w:val="bottom"/>
            <w:tcBorders>
              <w:bottom w:val="single" w:sz="8" w:color="3B3B3B"/>
            </w:tcBorders>
          </w:tcPr>
          <w:p>
            <w:pPr>
              <w:ind w:left="100"/>
              <w:spacing w:after="0" w:line="196" w:lineRule="exact"/>
              <w:rPr>
                <w:sz w:val="20"/>
                <w:szCs w:val="20"/>
                <w:color w:val="auto"/>
              </w:rPr>
            </w:pPr>
            <w:r>
              <w:rPr>
                <w:rFonts w:ascii="Arial" w:cs="Arial" w:eastAsia="Arial" w:hAnsi="Arial"/>
                <w:sz w:val="18"/>
                <w:szCs w:val="18"/>
                <w:color w:val="212121"/>
              </w:rPr>
              <w:t xml:space="preserve">Suzanne </w:t>
            </w:r>
            <w:r>
              <w:rPr>
                <w:rFonts w:ascii="Arial" w:cs="Arial" w:eastAsia="Arial" w:hAnsi="Arial"/>
                <w:sz w:val="18"/>
                <w:szCs w:val="18"/>
                <w:color w:val="1F1F1F"/>
              </w:rPr>
              <w:t>Yeates, Company</w:t>
            </w:r>
            <w:r>
              <w:rPr>
                <w:rFonts w:ascii="Arial" w:cs="Arial" w:eastAsia="Arial" w:hAnsi="Arial"/>
                <w:sz w:val="18"/>
                <w:szCs w:val="18"/>
                <w:color w:val="212121"/>
              </w:rPr>
              <w:t xml:space="preserve"> Secretary</w:t>
            </w:r>
          </w:p>
        </w:tc>
        <w:tc>
          <w:tcPr>
            <w:tcW w:w="2700" w:type="dxa"/>
            <w:vAlign w:val="bottom"/>
            <w:tcBorders>
              <w:bottom w:val="single" w:sz="8" w:color="3B3B3B"/>
              <w:right w:val="single" w:sz="8" w:color="3B3B3B"/>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0" w:type="dxa"/>
            <w:vAlign w:val="bottom"/>
            <w:tcBorders>
              <w:right w:val="single" w:sz="8" w:color="3B3B3B"/>
            </w:tcBorders>
          </w:tcPr>
          <w:p>
            <w:pPr>
              <w:spacing w:after="0"/>
              <w:rPr>
                <w:sz w:val="17"/>
                <w:szCs w:val="17"/>
                <w:color w:val="auto"/>
              </w:rPr>
            </w:pPr>
          </w:p>
        </w:tc>
        <w:tc>
          <w:tcPr>
            <w:tcW w:w="2240" w:type="dxa"/>
            <w:vAlign w:val="bottom"/>
            <w:tcBorders>
              <w:bottom w:val="single" w:sz="8" w:color="3B3B3B"/>
              <w:right w:val="single" w:sz="8" w:color="3B3B3B"/>
            </w:tcBorders>
            <w:gridSpan w:val="2"/>
            <w:shd w:val="clear" w:color="auto" w:fill="DEE2E1"/>
          </w:tcPr>
          <w:p>
            <w:pPr>
              <w:ind w:left="100"/>
              <w:spacing w:after="0" w:line="196" w:lineRule="exact"/>
              <w:rPr>
                <w:sz w:val="20"/>
                <w:szCs w:val="20"/>
                <w:color w:val="auto"/>
              </w:rPr>
            </w:pPr>
            <w:r>
              <w:rPr>
                <w:rFonts w:ascii="Arial" w:cs="Arial" w:eastAsia="Arial" w:hAnsi="Arial"/>
                <w:sz w:val="18"/>
                <w:szCs w:val="18"/>
                <w:b w:val="1"/>
                <w:bCs w:val="1"/>
                <w:color w:val="212121"/>
              </w:rPr>
              <w:t>Address</w:t>
            </w:r>
          </w:p>
        </w:tc>
        <w:tc>
          <w:tcPr>
            <w:tcW w:w="5600" w:type="dxa"/>
            <w:vAlign w:val="bottom"/>
            <w:tcBorders>
              <w:bottom w:val="single" w:sz="8" w:color="3B3B3B"/>
            </w:tcBorders>
          </w:tcPr>
          <w:p>
            <w:pPr>
              <w:spacing w:after="0"/>
              <w:rPr>
                <w:sz w:val="17"/>
                <w:szCs w:val="17"/>
                <w:color w:val="auto"/>
              </w:rPr>
            </w:pPr>
          </w:p>
        </w:tc>
        <w:tc>
          <w:tcPr>
            <w:tcW w:w="2700" w:type="dxa"/>
            <w:vAlign w:val="bottom"/>
            <w:tcBorders>
              <w:bottom w:val="single" w:sz="8" w:color="3B3B3B"/>
              <w:right w:val="single" w:sz="8" w:color="3B3B3B"/>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0" w:type="dxa"/>
            <w:vAlign w:val="bottom"/>
            <w:tcBorders>
              <w:right w:val="single" w:sz="8" w:color="3B3B3B"/>
            </w:tcBorders>
          </w:tcPr>
          <w:p>
            <w:pPr>
              <w:spacing w:after="0"/>
              <w:rPr>
                <w:sz w:val="17"/>
                <w:szCs w:val="17"/>
                <w:color w:val="auto"/>
              </w:rPr>
            </w:pPr>
          </w:p>
        </w:tc>
        <w:tc>
          <w:tcPr>
            <w:tcW w:w="640" w:type="dxa"/>
            <w:vAlign w:val="bottom"/>
            <w:tcBorders>
              <w:bottom w:val="single" w:sz="8" w:color="3B3B3B"/>
            </w:tcBorders>
            <w:shd w:val="clear" w:color="auto" w:fill="DEE2E1"/>
          </w:tcPr>
          <w:p>
            <w:pPr>
              <w:ind w:left="100"/>
              <w:spacing w:after="0" w:line="196" w:lineRule="exact"/>
              <w:rPr>
                <w:sz w:val="20"/>
                <w:szCs w:val="20"/>
                <w:color w:val="auto"/>
              </w:rPr>
            </w:pPr>
            <w:r>
              <w:rPr>
                <w:rFonts w:ascii="Arial" w:cs="Arial" w:eastAsia="Arial" w:hAnsi="Arial"/>
                <w:sz w:val="18"/>
                <w:szCs w:val="18"/>
                <w:b w:val="1"/>
                <w:bCs w:val="1"/>
                <w:color w:val="2A2A2A"/>
              </w:rPr>
              <w:t>Fax</w:t>
            </w:r>
          </w:p>
        </w:tc>
        <w:tc>
          <w:tcPr>
            <w:tcW w:w="1600" w:type="dxa"/>
            <w:vAlign w:val="bottom"/>
            <w:tcBorders>
              <w:bottom w:val="single" w:sz="8" w:color="3B3B3B"/>
              <w:right w:val="single" w:sz="8" w:color="3B3B3B"/>
            </w:tcBorders>
            <w:shd w:val="clear" w:color="auto" w:fill="DEE2E1"/>
          </w:tcPr>
          <w:p>
            <w:pPr>
              <w:spacing w:after="0"/>
              <w:rPr>
                <w:sz w:val="17"/>
                <w:szCs w:val="17"/>
                <w:color w:val="auto"/>
              </w:rPr>
            </w:pPr>
          </w:p>
        </w:tc>
        <w:tc>
          <w:tcPr>
            <w:tcW w:w="5600" w:type="dxa"/>
            <w:vAlign w:val="bottom"/>
            <w:tcBorders>
              <w:bottom w:val="single" w:sz="8" w:color="3B3B3B"/>
            </w:tcBorders>
          </w:tcPr>
          <w:p>
            <w:pPr>
              <w:spacing w:after="0"/>
              <w:rPr>
                <w:sz w:val="17"/>
                <w:szCs w:val="17"/>
                <w:color w:val="auto"/>
              </w:rPr>
            </w:pPr>
          </w:p>
        </w:tc>
        <w:tc>
          <w:tcPr>
            <w:tcW w:w="2700" w:type="dxa"/>
            <w:vAlign w:val="bottom"/>
            <w:tcBorders>
              <w:bottom w:val="single" w:sz="8" w:color="3B3B3B"/>
              <w:right w:val="single" w:sz="8" w:color="3B3B3B"/>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0" w:type="dxa"/>
            <w:vAlign w:val="bottom"/>
            <w:tcBorders>
              <w:right w:val="single" w:sz="8" w:color="3B3B3B"/>
            </w:tcBorders>
          </w:tcPr>
          <w:p>
            <w:pPr>
              <w:spacing w:after="0"/>
              <w:rPr>
                <w:sz w:val="17"/>
                <w:szCs w:val="17"/>
                <w:color w:val="auto"/>
              </w:rPr>
            </w:pPr>
          </w:p>
        </w:tc>
        <w:tc>
          <w:tcPr>
            <w:tcW w:w="2240" w:type="dxa"/>
            <w:vAlign w:val="bottom"/>
            <w:tcBorders>
              <w:bottom w:val="single" w:sz="8" w:color="3B3B3B"/>
              <w:right w:val="single" w:sz="8" w:color="3B3B3B"/>
            </w:tcBorders>
            <w:gridSpan w:val="2"/>
            <w:shd w:val="clear" w:color="auto" w:fill="DEE2E1"/>
          </w:tcPr>
          <w:p>
            <w:pPr>
              <w:ind w:left="100"/>
              <w:spacing w:after="0" w:line="196" w:lineRule="exact"/>
              <w:rPr>
                <w:sz w:val="20"/>
                <w:szCs w:val="20"/>
                <w:color w:val="auto"/>
              </w:rPr>
            </w:pPr>
            <w:r>
              <w:rPr>
                <w:rFonts w:ascii="Arial" w:cs="Arial" w:eastAsia="Arial" w:hAnsi="Arial"/>
                <w:sz w:val="18"/>
                <w:szCs w:val="18"/>
                <w:b w:val="1"/>
                <w:bCs w:val="1"/>
                <w:color w:val="1F1F1F"/>
              </w:rPr>
              <w:t xml:space="preserve">Email </w:t>
            </w:r>
            <w:r>
              <w:rPr>
                <w:rFonts w:ascii="Arial" w:cs="Arial" w:eastAsia="Arial" w:hAnsi="Arial"/>
                <w:sz w:val="18"/>
                <w:szCs w:val="18"/>
                <w:b w:val="1"/>
                <w:bCs w:val="1"/>
                <w:color w:val="212121"/>
              </w:rPr>
              <w:t>address</w:t>
            </w:r>
          </w:p>
        </w:tc>
        <w:tc>
          <w:tcPr>
            <w:tcW w:w="5600" w:type="dxa"/>
            <w:vAlign w:val="bottom"/>
            <w:tcBorders>
              <w:bottom w:val="single" w:sz="8" w:color="3B3B3B"/>
            </w:tcBorders>
          </w:tcPr>
          <w:p>
            <w:pPr>
              <w:ind w:left="100"/>
              <w:spacing w:after="0" w:line="196" w:lineRule="exact"/>
              <w:rPr>
                <w:sz w:val="20"/>
                <w:szCs w:val="20"/>
                <w:color w:val="auto"/>
              </w:rPr>
            </w:pPr>
            <w:r>
              <w:rPr>
                <w:rFonts w:ascii="Arial" w:cs="Arial" w:eastAsia="Arial" w:hAnsi="Arial"/>
                <w:sz w:val="18"/>
                <w:szCs w:val="18"/>
                <w:color w:val="111111"/>
              </w:rPr>
              <w:t>suzanne.yeates@oasoIutions.com</w:t>
            </w:r>
          </w:p>
        </w:tc>
        <w:tc>
          <w:tcPr>
            <w:tcW w:w="2700" w:type="dxa"/>
            <w:vAlign w:val="bottom"/>
            <w:tcBorders>
              <w:bottom w:val="single" w:sz="8" w:color="3B3B3B"/>
              <w:right w:val="single" w:sz="8" w:color="3B3B3B"/>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20" w:type="dxa"/>
            <w:vAlign w:val="bottom"/>
            <w:gridSpan w:val="2"/>
          </w:tcPr>
          <w:p>
            <w:pPr>
              <w:spacing w:after="0"/>
              <w:rPr>
                <w:sz w:val="20"/>
                <w:szCs w:val="20"/>
                <w:color w:val="auto"/>
              </w:rPr>
            </w:pPr>
            <w:r>
              <w:rPr>
                <w:rFonts w:ascii="Arial" w:cs="Arial" w:eastAsia="Arial" w:hAnsi="Arial"/>
                <w:sz w:val="18"/>
                <w:szCs w:val="18"/>
                <w:color w:val="auto"/>
              </w:rPr>
              <w:t>T St Baker</w:t>
            </w:r>
          </w:p>
        </w:tc>
        <w:tc>
          <w:tcPr>
            <w:tcW w:w="7200" w:type="dxa"/>
            <w:vAlign w:val="bottom"/>
            <w:gridSpan w:val="2"/>
          </w:tcPr>
          <w:p>
            <w:pPr>
              <w:ind w:left="40"/>
              <w:spacing w:after="0"/>
              <w:rPr>
                <w:sz w:val="20"/>
                <w:szCs w:val="20"/>
                <w:color w:val="auto"/>
              </w:rPr>
            </w:pPr>
            <w:r>
              <w:rPr>
                <w:rFonts w:ascii="Arial" w:cs="Arial" w:eastAsia="Arial" w:hAnsi="Arial"/>
                <w:sz w:val="18"/>
                <w:szCs w:val="18"/>
                <w:color w:val="auto"/>
              </w:rPr>
              <w:t>|   Deed of access, insurance and indemnity</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668"/>
        </w:trPr>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05"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2B2B2B"/>
        </w:rPr>
        <w:drawing>
          <wp:anchor simplePos="0" relativeHeight="251657728" behindDoc="1" locked="0" layoutInCell="0" allowOverlap="1">
            <wp:simplePos x="0" y="0"/>
            <wp:positionH relativeFrom="page">
              <wp:posOffset>5197475</wp:posOffset>
            </wp:positionH>
            <wp:positionV relativeFrom="page">
              <wp:posOffset>217805</wp:posOffset>
            </wp:positionV>
            <wp:extent cx="2143125" cy="3429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42900"/>
                    </a:xfrm>
                    <a:prstGeom prst="rect">
                      <a:avLst/>
                    </a:prstGeom>
                    <a:noFill/>
                  </pic:spPr>
                </pic:pic>
              </a:graphicData>
            </a:graphic>
          </wp:anchor>
        </w:drawing>
        <w:t>Execution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12121"/>
        </w:rPr>
        <w:t xml:space="preserve">EXECUTED </w:t>
      </w:r>
      <w:r>
        <w:rPr>
          <w:rFonts w:ascii="Arial" w:cs="Arial" w:eastAsia="Arial" w:hAnsi="Arial"/>
          <w:sz w:val="18"/>
          <w:szCs w:val="18"/>
          <w:color w:val="2F2F2F"/>
        </w:rPr>
        <w:t>as a</w:t>
      </w:r>
      <w:r>
        <w:rPr>
          <w:rFonts w:ascii="Arial" w:cs="Arial" w:eastAsia="Arial" w:hAnsi="Arial"/>
          <w:sz w:val="18"/>
          <w:szCs w:val="18"/>
          <w:color w:val="212121"/>
        </w:rPr>
        <w:t xml:space="preserve"> </w:t>
      </w:r>
      <w:r>
        <w:rPr>
          <w:rFonts w:ascii="Arial" w:cs="Arial" w:eastAsia="Arial" w:hAnsi="Arial"/>
          <w:sz w:val="18"/>
          <w:szCs w:val="18"/>
          <w:color w:val="262626"/>
        </w:rPr>
        <w:t>deed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A2A2A"/>
        </w:rPr>
        <w:t xml:space="preserve">Signed sealed </w:t>
      </w:r>
      <w:r>
        <w:rPr>
          <w:rFonts w:ascii="Arial" w:cs="Arial" w:eastAsia="Arial" w:hAnsi="Arial"/>
          <w:sz w:val="18"/>
          <w:szCs w:val="18"/>
          <w:color w:val="232323"/>
        </w:rPr>
        <w:t>and</w:t>
      </w:r>
      <w:r>
        <w:rPr>
          <w:rFonts w:ascii="Arial" w:cs="Arial" w:eastAsia="Arial" w:hAnsi="Arial"/>
          <w:sz w:val="18"/>
          <w:szCs w:val="18"/>
          <w:color w:val="2A2A2A"/>
        </w:rPr>
        <w:t xml:space="preserve"> </w:t>
      </w:r>
      <w:r>
        <w:rPr>
          <w:rFonts w:ascii="Arial" w:cs="Arial" w:eastAsia="Arial" w:hAnsi="Arial"/>
          <w:sz w:val="18"/>
          <w:szCs w:val="18"/>
          <w:color w:val="212121"/>
        </w:rPr>
        <w:t>delivered</w:t>
      </w:r>
    </w:p>
    <w:p>
      <w:pPr>
        <w:spacing w:after="0"/>
        <w:rPr>
          <w:sz w:val="20"/>
          <w:szCs w:val="20"/>
          <w:color w:val="auto"/>
        </w:rPr>
      </w:pPr>
      <w:r>
        <w:rPr>
          <w:rFonts w:ascii="Arial" w:cs="Arial" w:eastAsia="Arial" w:hAnsi="Arial"/>
          <w:sz w:val="18"/>
          <w:szCs w:val="18"/>
          <w:color w:val="262626"/>
        </w:rPr>
        <w:t xml:space="preserve">by </w:t>
      </w:r>
      <w:r>
        <w:rPr>
          <w:rFonts w:ascii="Arial" w:cs="Arial" w:eastAsia="Arial" w:hAnsi="Arial"/>
          <w:sz w:val="18"/>
          <w:szCs w:val="18"/>
          <w:color w:val="282828"/>
        </w:rPr>
        <w:t>NOVONIX</w:t>
      </w:r>
      <w:r>
        <w:rPr>
          <w:rFonts w:ascii="Arial" w:cs="Arial" w:eastAsia="Arial" w:hAnsi="Arial"/>
          <w:sz w:val="18"/>
          <w:szCs w:val="18"/>
          <w:color w:val="262626"/>
        </w:rPr>
        <w:t xml:space="preserve"> </w:t>
      </w:r>
      <w:r>
        <w:rPr>
          <w:rFonts w:ascii="Arial" w:cs="Arial" w:eastAsia="Arial" w:hAnsi="Arial"/>
          <w:sz w:val="18"/>
          <w:szCs w:val="18"/>
          <w:color w:val="2A2A2A"/>
        </w:rPr>
        <w:t>Limited ACN</w:t>
      </w:r>
      <w:r>
        <w:rPr>
          <w:rFonts w:ascii="Arial" w:cs="Arial" w:eastAsia="Arial" w:hAnsi="Arial"/>
          <w:sz w:val="18"/>
          <w:szCs w:val="18"/>
          <w:color w:val="262626"/>
        </w:rPr>
        <w:t xml:space="preserve"> </w:t>
      </w:r>
      <w:r>
        <w:rPr>
          <w:rFonts w:ascii="Arial" w:cs="Arial" w:eastAsia="Arial" w:hAnsi="Arial"/>
          <w:sz w:val="18"/>
          <w:szCs w:val="18"/>
          <w:color w:val="242424"/>
        </w:rPr>
        <w:t>157</w:t>
      </w:r>
      <w:r>
        <w:rPr>
          <w:rFonts w:ascii="Arial" w:cs="Arial" w:eastAsia="Arial" w:hAnsi="Arial"/>
          <w:sz w:val="18"/>
          <w:szCs w:val="18"/>
          <w:color w:val="262626"/>
        </w:rPr>
        <w:t xml:space="preserve"> </w:t>
      </w:r>
      <w:r>
        <w:rPr>
          <w:rFonts w:ascii="Arial" w:cs="Arial" w:eastAsia="Arial" w:hAnsi="Arial"/>
          <w:sz w:val="18"/>
          <w:szCs w:val="18"/>
          <w:color w:val="1D1D1D"/>
        </w:rPr>
        <w:t>690</w:t>
      </w:r>
      <w:r>
        <w:rPr>
          <w:rFonts w:ascii="Arial" w:cs="Arial" w:eastAsia="Arial" w:hAnsi="Arial"/>
          <w:sz w:val="18"/>
          <w:szCs w:val="18"/>
          <w:color w:val="262626"/>
        </w:rPr>
        <w:t xml:space="preserve"> </w:t>
      </w:r>
      <w:r>
        <w:rPr>
          <w:rFonts w:ascii="Arial" w:cs="Arial" w:eastAsia="Arial" w:hAnsi="Arial"/>
          <w:sz w:val="18"/>
          <w:szCs w:val="18"/>
          <w:color w:val="242424"/>
        </w:rPr>
        <w:t>830</w:t>
      </w:r>
      <w:r>
        <w:rPr>
          <w:rFonts w:ascii="Arial" w:cs="Arial" w:eastAsia="Arial" w:hAnsi="Arial"/>
          <w:sz w:val="18"/>
          <w:szCs w:val="18"/>
          <w:color w:val="262626"/>
        </w:rPr>
        <w:t xml:space="preserve"> </w:t>
      </w:r>
      <w:r>
        <w:rPr>
          <w:rFonts w:ascii="Arial" w:cs="Arial" w:eastAsia="Arial" w:hAnsi="Arial"/>
          <w:sz w:val="18"/>
          <w:szCs w:val="18"/>
          <w:color w:val="232323"/>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126365</wp:posOffset>
            </wp:positionV>
            <wp:extent cx="1722755" cy="41148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722755" cy="41148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340360</wp:posOffset>
            </wp:positionV>
            <wp:extent cx="848995" cy="1968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4899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Ù</w:t>
            </w: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181818"/>
              </w:rPr>
              <w:t>Director</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Ù</w:t>
            </w: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212121"/>
              </w:rPr>
              <w:t>Secretary</w:t>
            </w:r>
          </w:p>
        </w:tc>
        <w:tc>
          <w:tcPr>
            <w:tcW w:w="0" w:type="dxa"/>
            <w:vAlign w:val="bottom"/>
          </w:tcPr>
          <w:p>
            <w:pPr>
              <w:spacing w:after="0"/>
              <w:rPr>
                <w:sz w:val="1"/>
                <w:szCs w:val="1"/>
                <w:color w:val="auto"/>
              </w:rPr>
            </w:pPr>
          </w:p>
        </w:tc>
      </w:tr>
      <w:tr>
        <w:trPr>
          <w:trHeight w:val="411"/>
        </w:trPr>
        <w:tc>
          <w:tcPr>
            <w:tcW w:w="5400" w:type="dxa"/>
            <w:vAlign w:val="bottom"/>
            <w:gridSpan w:val="2"/>
          </w:tcPr>
          <w:p>
            <w:pPr>
              <w:ind w:left="340"/>
              <w:spacing w:after="0"/>
              <w:rPr>
                <w:sz w:val="20"/>
                <w:szCs w:val="20"/>
                <w:color w:val="auto"/>
              </w:rPr>
            </w:pPr>
            <w:r>
              <w:rPr>
                <w:rFonts w:ascii="Arial" w:cs="Arial" w:eastAsia="Arial" w:hAnsi="Arial"/>
                <w:sz w:val="18"/>
                <w:szCs w:val="18"/>
                <w:color w:val="212121"/>
              </w:rPr>
              <w:t xml:space="preserve">Tony </w:t>
            </w:r>
            <w:r>
              <w:rPr>
                <w:rFonts w:ascii="Arial" w:cs="Arial" w:eastAsia="Arial" w:hAnsi="Arial"/>
                <w:sz w:val="18"/>
                <w:szCs w:val="18"/>
                <w:color w:val="1D1D1D"/>
              </w:rPr>
              <w:t>Bellas</w:t>
            </w:r>
          </w:p>
        </w:tc>
        <w:tc>
          <w:tcPr>
            <w:tcW w:w="8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 xml:space="preserve">Suzanne </w:t>
            </w:r>
            <w:r>
              <w:rPr>
                <w:rFonts w:ascii="Arial" w:cs="Arial" w:eastAsia="Arial" w:hAnsi="Arial"/>
                <w:sz w:val="18"/>
                <w:szCs w:val="18"/>
                <w:color w:val="232323"/>
              </w:rPr>
              <w:t>Yeates</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Arial" w:cs="Arial" w:eastAsia="Arial" w:hAnsi="Arial"/>
                <w:sz w:val="18"/>
                <w:szCs w:val="18"/>
                <w:color w:val="auto"/>
              </w:rPr>
              <w:t>Ù</w:t>
            </w: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282828"/>
              </w:rPr>
              <w:t xml:space="preserve">Full </w:t>
            </w:r>
            <w:r>
              <w:rPr>
                <w:rFonts w:ascii="Arial" w:cs="Arial" w:eastAsia="Arial" w:hAnsi="Arial"/>
                <w:sz w:val="18"/>
                <w:szCs w:val="18"/>
                <w:color w:val="262626"/>
              </w:rPr>
              <w:t>name</w:t>
            </w:r>
            <w:r>
              <w:rPr>
                <w:rFonts w:ascii="Arial" w:cs="Arial" w:eastAsia="Arial" w:hAnsi="Arial"/>
                <w:sz w:val="18"/>
                <w:szCs w:val="18"/>
                <w:color w:val="282828"/>
              </w:rPr>
              <w:t xml:space="preserve"> </w:t>
            </w:r>
            <w:r>
              <w:rPr>
                <w:rFonts w:ascii="Arial" w:cs="Arial" w:eastAsia="Arial" w:hAnsi="Arial"/>
                <w:sz w:val="18"/>
                <w:szCs w:val="18"/>
                <w:color w:val="2F2F2F"/>
              </w:rPr>
              <w:t>of</w:t>
            </w:r>
            <w:r>
              <w:rPr>
                <w:rFonts w:ascii="Arial" w:cs="Arial" w:eastAsia="Arial" w:hAnsi="Arial"/>
                <w:sz w:val="18"/>
                <w:szCs w:val="18"/>
                <w:color w:val="282828"/>
              </w:rPr>
              <w:t xml:space="preserve"> </w:t>
            </w:r>
            <w:r>
              <w:rPr>
                <w:rFonts w:ascii="Arial" w:cs="Arial" w:eastAsia="Arial" w:hAnsi="Arial"/>
                <w:sz w:val="18"/>
                <w:szCs w:val="18"/>
                <w:color w:val="1A1A1A"/>
              </w:rPr>
              <w:t>Director</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Ù</w:t>
            </w: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282828"/>
              </w:rPr>
              <w:t xml:space="preserve">Full </w:t>
            </w:r>
            <w:r>
              <w:rPr>
                <w:rFonts w:ascii="Arial" w:cs="Arial" w:eastAsia="Arial" w:hAnsi="Arial"/>
                <w:sz w:val="18"/>
                <w:szCs w:val="18"/>
                <w:color w:val="1D1D1D"/>
              </w:rPr>
              <w:t>name</w:t>
            </w:r>
            <w:r>
              <w:rPr>
                <w:rFonts w:ascii="Arial" w:cs="Arial" w:eastAsia="Arial" w:hAnsi="Arial"/>
                <w:sz w:val="18"/>
                <w:szCs w:val="18"/>
                <w:color w:val="282828"/>
              </w:rPr>
              <w:t xml:space="preserve"> of </w:t>
            </w:r>
            <w:r>
              <w:rPr>
                <w:rFonts w:ascii="Arial" w:cs="Arial" w:eastAsia="Arial" w:hAnsi="Arial"/>
                <w:sz w:val="18"/>
                <w:szCs w:val="18"/>
                <w:color w:val="1F1F1F"/>
              </w:rPr>
              <w:t>Secretary</w:t>
            </w:r>
          </w:p>
        </w:tc>
        <w:tc>
          <w:tcPr>
            <w:tcW w:w="0" w:type="dxa"/>
            <w:vAlign w:val="bottom"/>
          </w:tcPr>
          <w:p>
            <w:pPr>
              <w:spacing w:after="0"/>
              <w:rPr>
                <w:sz w:val="1"/>
                <w:szCs w:val="1"/>
                <w:color w:val="auto"/>
              </w:rPr>
            </w:pPr>
          </w:p>
        </w:tc>
      </w:tr>
      <w:tr>
        <w:trPr>
          <w:trHeight w:val="646"/>
        </w:trPr>
        <w:tc>
          <w:tcPr>
            <w:tcW w:w="5400" w:type="dxa"/>
            <w:vAlign w:val="bottom"/>
            <w:gridSpan w:val="2"/>
          </w:tcPr>
          <w:p>
            <w:pPr>
              <w:spacing w:after="0"/>
              <w:rPr>
                <w:sz w:val="20"/>
                <w:szCs w:val="20"/>
                <w:color w:val="auto"/>
              </w:rPr>
            </w:pPr>
            <w:r>
              <w:rPr>
                <w:rFonts w:ascii="Arial" w:cs="Arial" w:eastAsia="Arial" w:hAnsi="Arial"/>
                <w:sz w:val="18"/>
                <w:szCs w:val="18"/>
                <w:color w:val="1A1A1A"/>
              </w:rPr>
              <w:t xml:space="preserve">Signed </w:t>
            </w:r>
            <w:r>
              <w:rPr>
                <w:rFonts w:ascii="Arial" w:cs="Arial" w:eastAsia="Arial" w:hAnsi="Arial"/>
                <w:sz w:val="18"/>
                <w:szCs w:val="18"/>
                <w:color w:val="181818"/>
              </w:rPr>
              <w:t>sealed</w:t>
            </w:r>
            <w:r>
              <w:rPr>
                <w:rFonts w:ascii="Arial" w:cs="Arial" w:eastAsia="Arial" w:hAnsi="Arial"/>
                <w:sz w:val="18"/>
                <w:szCs w:val="18"/>
                <w:color w:val="1A1A1A"/>
              </w:rPr>
              <w:t xml:space="preserve"> </w:t>
            </w:r>
            <w:r>
              <w:rPr>
                <w:rFonts w:ascii="Arial" w:cs="Arial" w:eastAsia="Arial" w:hAnsi="Arial"/>
                <w:sz w:val="18"/>
                <w:szCs w:val="18"/>
                <w:color w:val="2A2A2A"/>
              </w:rPr>
              <w:t>and</w:t>
            </w:r>
            <w:r>
              <w:rPr>
                <w:rFonts w:ascii="Arial" w:cs="Arial" w:eastAsia="Arial" w:hAnsi="Arial"/>
                <w:sz w:val="18"/>
                <w:szCs w:val="18"/>
                <w:color w:val="1A1A1A"/>
              </w:rPr>
              <w:t xml:space="preserve"> </w:t>
            </w:r>
            <w:r>
              <w:rPr>
                <w:rFonts w:ascii="Arial" w:cs="Arial" w:eastAsia="Arial" w:hAnsi="Arial"/>
                <w:sz w:val="18"/>
                <w:szCs w:val="18"/>
                <w:color w:val="1F1F1F"/>
              </w:rPr>
              <w:t>delivered</w:t>
            </w:r>
          </w:p>
        </w:tc>
        <w:tc>
          <w:tcPr>
            <w:tcW w:w="8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line="203" w:lineRule="exact"/>
              <w:rPr>
                <w:sz w:val="20"/>
                <w:szCs w:val="20"/>
                <w:color w:val="auto"/>
              </w:rPr>
            </w:pPr>
            <w:r>
              <w:rPr>
                <w:rFonts w:ascii="Arial" w:cs="Arial" w:eastAsia="Arial" w:hAnsi="Arial"/>
                <w:sz w:val="18"/>
                <w:szCs w:val="18"/>
                <w:color w:val="282828"/>
              </w:rPr>
              <w:t xml:space="preserve">by Trevor </w:t>
            </w:r>
            <w:r>
              <w:rPr>
                <w:rFonts w:ascii="Arial" w:cs="Arial" w:eastAsia="Arial" w:hAnsi="Arial"/>
                <w:sz w:val="18"/>
                <w:szCs w:val="18"/>
                <w:color w:val="1D1D1D"/>
              </w:rPr>
              <w:t>St</w:t>
            </w:r>
            <w:r>
              <w:rPr>
                <w:rFonts w:ascii="Arial" w:cs="Arial" w:eastAsia="Arial" w:hAnsi="Arial"/>
                <w:sz w:val="18"/>
                <w:szCs w:val="18"/>
                <w:color w:val="282828"/>
              </w:rPr>
              <w:t xml:space="preserve"> </w:t>
            </w:r>
            <w:r>
              <w:rPr>
                <w:rFonts w:ascii="Arial" w:cs="Arial" w:eastAsia="Arial" w:hAnsi="Arial"/>
                <w:sz w:val="18"/>
                <w:szCs w:val="18"/>
                <w:color w:val="262626"/>
              </w:rPr>
              <w:t>Baker</w:t>
            </w:r>
            <w:r>
              <w:rPr>
                <w:rFonts w:ascii="Arial" w:cs="Arial" w:eastAsia="Arial" w:hAnsi="Arial"/>
                <w:sz w:val="18"/>
                <w:szCs w:val="18"/>
                <w:color w:val="282828"/>
              </w:rPr>
              <w:t xml:space="preserve"> </w:t>
            </w:r>
            <w:r>
              <w:rPr>
                <w:rFonts w:ascii="Arial" w:cs="Arial" w:eastAsia="Arial" w:hAnsi="Arial"/>
                <w:sz w:val="18"/>
                <w:szCs w:val="18"/>
                <w:color w:val="313131"/>
              </w:rPr>
              <w:t>in</w:t>
            </w:r>
            <w:r>
              <w:rPr>
                <w:rFonts w:ascii="Arial" w:cs="Arial" w:eastAsia="Arial" w:hAnsi="Arial"/>
                <w:sz w:val="18"/>
                <w:szCs w:val="18"/>
                <w:color w:val="282828"/>
              </w:rPr>
              <w:t xml:space="preserve"> </w:t>
            </w:r>
            <w:r>
              <w:rPr>
                <w:rFonts w:ascii="Arial" w:cs="Arial" w:eastAsia="Arial" w:hAnsi="Arial"/>
                <w:sz w:val="18"/>
                <w:szCs w:val="18"/>
                <w:color w:val="1F1F1F"/>
              </w:rPr>
              <w:t>the</w:t>
            </w:r>
            <w:r>
              <w:rPr>
                <w:rFonts w:ascii="Arial" w:cs="Arial" w:eastAsia="Arial" w:hAnsi="Arial"/>
                <w:sz w:val="18"/>
                <w:szCs w:val="18"/>
                <w:color w:val="282828"/>
              </w:rPr>
              <w:t xml:space="preserve"> </w:t>
            </w:r>
            <w:r>
              <w:rPr>
                <w:rFonts w:ascii="Arial" w:cs="Arial" w:eastAsia="Arial" w:hAnsi="Arial"/>
                <w:sz w:val="18"/>
                <w:szCs w:val="18"/>
                <w:color w:val="1A1A1A"/>
              </w:rPr>
              <w:t>presence</w:t>
            </w:r>
            <w:r>
              <w:rPr>
                <w:rFonts w:ascii="Arial" w:cs="Arial" w:eastAsia="Arial" w:hAnsi="Arial"/>
                <w:sz w:val="18"/>
                <w:szCs w:val="18"/>
                <w:color w:val="282828"/>
              </w:rPr>
              <w:t xml:space="preserve"> </w:t>
            </w:r>
            <w:r>
              <w:rPr>
                <w:rFonts w:ascii="Arial" w:cs="Arial" w:eastAsia="Arial" w:hAnsi="Arial"/>
                <w:sz w:val="18"/>
                <w:szCs w:val="18"/>
                <w:color w:val="363636"/>
              </w:rPr>
              <w:t>of:</w:t>
            </w: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color w:val="auto"/>
              </w:rPr>
              <w:t>Ù</w:t>
            </w:r>
          </w:p>
        </w:tc>
        <w:tc>
          <w:tcPr>
            <w:tcW w:w="5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282828"/>
              </w:rPr>
              <w:t xml:space="preserve">Signature </w:t>
            </w:r>
            <w:r>
              <w:rPr>
                <w:rFonts w:ascii="Arial" w:cs="Arial" w:eastAsia="Arial" w:hAnsi="Arial"/>
                <w:sz w:val="18"/>
                <w:szCs w:val="18"/>
                <w:color w:val="2A2A2A"/>
              </w:rPr>
              <w:t>of</w:t>
            </w:r>
            <w:r>
              <w:rPr>
                <w:rFonts w:ascii="Arial" w:cs="Arial" w:eastAsia="Arial" w:hAnsi="Arial"/>
                <w:sz w:val="18"/>
                <w:szCs w:val="18"/>
                <w:color w:val="282828"/>
              </w:rPr>
              <w:t xml:space="preserve"> </w:t>
            </w:r>
            <w:r>
              <w:rPr>
                <w:rFonts w:ascii="Arial" w:cs="Arial" w:eastAsia="Arial" w:hAnsi="Arial"/>
                <w:sz w:val="18"/>
                <w:szCs w:val="18"/>
                <w:color w:val="1F1F1F"/>
              </w:rPr>
              <w:t>Trevor</w:t>
            </w:r>
            <w:r>
              <w:rPr>
                <w:rFonts w:ascii="Arial" w:cs="Arial" w:eastAsia="Arial" w:hAnsi="Arial"/>
                <w:sz w:val="18"/>
                <w:szCs w:val="18"/>
                <w:color w:val="282828"/>
              </w:rPr>
              <w:t xml:space="preserve"> </w:t>
            </w:r>
            <w:r>
              <w:rPr>
                <w:rFonts w:ascii="Arial" w:cs="Arial" w:eastAsia="Arial" w:hAnsi="Arial"/>
                <w:sz w:val="18"/>
                <w:szCs w:val="18"/>
                <w:color w:val="2D2D2D"/>
              </w:rPr>
              <w:t>St</w:t>
            </w:r>
            <w:r>
              <w:rPr>
                <w:rFonts w:ascii="Arial" w:cs="Arial" w:eastAsia="Arial" w:hAnsi="Arial"/>
                <w:sz w:val="18"/>
                <w:szCs w:val="18"/>
                <w:color w:val="282828"/>
              </w:rPr>
              <w:t xml:space="preserve"> Baker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-539750</wp:posOffset>
            </wp:positionV>
            <wp:extent cx="1165860" cy="3689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165860" cy="36893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145415</wp:posOffset>
            </wp:positionV>
            <wp:extent cx="1577340" cy="42862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5773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hanging="332"/>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232323"/>
        </w:rPr>
        <w:t xml:space="preserve">Signature </w:t>
      </w:r>
      <w:r>
        <w:rPr>
          <w:rFonts w:ascii="Arial" w:cs="Arial" w:eastAsia="Arial" w:hAnsi="Arial"/>
          <w:sz w:val="18"/>
          <w:szCs w:val="18"/>
          <w:color w:val="2A2A2A"/>
        </w:rPr>
        <w:t>of</w:t>
      </w:r>
      <w:r>
        <w:rPr>
          <w:rFonts w:ascii="Arial" w:cs="Arial" w:eastAsia="Arial" w:hAnsi="Arial"/>
          <w:sz w:val="18"/>
          <w:szCs w:val="18"/>
          <w:color w:val="232323"/>
        </w:rPr>
        <w:t xml:space="preserve"> </w:t>
      </w:r>
      <w:r>
        <w:rPr>
          <w:rFonts w:ascii="Arial" w:cs="Arial" w:eastAsia="Arial" w:hAnsi="Arial"/>
          <w:sz w:val="18"/>
          <w:szCs w:val="18"/>
          <w:color w:val="1C1C1C"/>
        </w:rPr>
        <w:t>witness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340" w:hanging="332"/>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2A2A2A"/>
        </w:rPr>
        <w:t xml:space="preserve">Name of </w:t>
      </w:r>
      <w:r>
        <w:rPr>
          <w:rFonts w:ascii="Arial" w:cs="Arial" w:eastAsia="Arial" w:hAnsi="Arial"/>
          <w:sz w:val="18"/>
          <w:szCs w:val="18"/>
          <w:color w:val="1C1C1C"/>
        </w:rPr>
        <w:t>witness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-670560</wp:posOffset>
            </wp:positionV>
            <wp:extent cx="321437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-139065</wp:posOffset>
            </wp:positionV>
            <wp:extent cx="321437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-379095</wp:posOffset>
            </wp:positionV>
            <wp:extent cx="1834515" cy="2146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178" w:lineRule="exact"/>
        <w:rPr>
          <w:sz w:val="20"/>
          <w:szCs w:val="20"/>
          <w:color w:val="auto"/>
        </w:rPr>
      </w:pPr>
    </w:p>
    <w:p>
      <w:pPr>
        <w:spacing w:after="0"/>
        <w:tabs>
          <w:tab w:leader="none" w:pos="1340" w:val="left"/>
          <w:tab w:leader="none" w:pos="1680" w:val="left"/>
          <w:tab w:leader="none" w:pos="11020" w:val="left"/>
        </w:tabs>
        <w:rPr>
          <w:sz w:val="20"/>
          <w:szCs w:val="20"/>
          <w:color w:val="auto"/>
        </w:rPr>
      </w:pPr>
      <w:r>
        <w:rPr>
          <w:rFonts w:ascii="Arial" w:cs="Arial" w:eastAsia="Arial" w:hAnsi="Arial"/>
          <w:sz w:val="18"/>
          <w:szCs w:val="18"/>
          <w:color w:val="auto"/>
        </w:rPr>
        <w:t>T St Baker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Deed of access, insurance and indemnity</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929005</wp:posOffset>
            </wp:positionV>
            <wp:extent cx="71323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140335</wp:posOffset>
            </wp:positionV>
            <wp:extent cx="4714875" cy="6000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7148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Executive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NOVONIX Limited ACN 157 690 830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1</w:t>
            </w:r>
          </w:p>
        </w:tc>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Definitions and interpretation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1.1</w:t>
            </w:r>
          </w:p>
        </w:tc>
        <w:tc>
          <w:tcPr>
            <w:tcW w:w="7720" w:type="dxa"/>
            <w:vAlign w:val="bottom"/>
          </w:tcPr>
          <w:p>
            <w:pPr>
              <w:ind w:left="500"/>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1.2</w:t>
            </w:r>
          </w:p>
        </w:tc>
        <w:tc>
          <w:tcPr>
            <w:tcW w:w="7720" w:type="dxa"/>
            <w:vAlign w:val="bottom"/>
          </w:tcPr>
          <w:p>
            <w:pPr>
              <w:ind w:left="500"/>
              <w:spacing w:after="0"/>
              <w:rPr>
                <w:sz w:val="20"/>
                <w:szCs w:val="20"/>
                <w:color w:val="auto"/>
              </w:rPr>
            </w:pPr>
            <w:r>
              <w:rPr>
                <w:rFonts w:ascii="Arial" w:cs="Arial" w:eastAsia="Arial" w:hAnsi="Arial"/>
                <w:sz w:val="18"/>
                <w:szCs w:val="18"/>
                <w:color w:val="auto"/>
              </w:rPr>
              <w:t>Interpretation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05"/>
        </w:trPr>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2</w:t>
            </w:r>
          </w:p>
        </w:tc>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Administration of the Plan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05"/>
        </w:trPr>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3</w:t>
            </w:r>
          </w:p>
        </w:tc>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Grant of Options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3.1</w:t>
            </w:r>
          </w:p>
        </w:tc>
        <w:tc>
          <w:tcPr>
            <w:tcW w:w="7720" w:type="dxa"/>
            <w:vAlign w:val="bottom"/>
          </w:tcPr>
          <w:p>
            <w:pPr>
              <w:ind w:left="500"/>
              <w:spacing w:after="0"/>
              <w:rPr>
                <w:sz w:val="20"/>
                <w:szCs w:val="20"/>
                <w:color w:val="auto"/>
              </w:rPr>
            </w:pPr>
            <w:r>
              <w:rPr>
                <w:rFonts w:ascii="Arial" w:cs="Arial" w:eastAsia="Arial" w:hAnsi="Arial"/>
                <w:sz w:val="18"/>
                <w:szCs w:val="18"/>
                <w:color w:val="auto"/>
              </w:rPr>
              <w:t>Offer of Options</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3.2</w:t>
            </w:r>
          </w:p>
        </w:tc>
        <w:tc>
          <w:tcPr>
            <w:tcW w:w="7720" w:type="dxa"/>
            <w:vAlign w:val="bottom"/>
          </w:tcPr>
          <w:p>
            <w:pPr>
              <w:ind w:left="500"/>
              <w:spacing w:after="0"/>
              <w:rPr>
                <w:sz w:val="20"/>
                <w:szCs w:val="20"/>
                <w:color w:val="auto"/>
              </w:rPr>
            </w:pPr>
            <w:r>
              <w:rPr>
                <w:rFonts w:ascii="Arial" w:cs="Arial" w:eastAsia="Arial" w:hAnsi="Arial"/>
                <w:sz w:val="18"/>
                <w:szCs w:val="18"/>
                <w:color w:val="auto"/>
              </w:rPr>
              <w:t>Required details of Offer</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3.3</w:t>
            </w:r>
          </w:p>
        </w:tc>
        <w:tc>
          <w:tcPr>
            <w:tcW w:w="7720" w:type="dxa"/>
            <w:vAlign w:val="bottom"/>
          </w:tcPr>
          <w:p>
            <w:pPr>
              <w:ind w:left="500"/>
              <w:spacing w:after="0"/>
              <w:rPr>
                <w:sz w:val="20"/>
                <w:szCs w:val="20"/>
                <w:color w:val="auto"/>
              </w:rPr>
            </w:pPr>
            <w:r>
              <w:rPr>
                <w:rFonts w:ascii="Arial" w:cs="Arial" w:eastAsia="Arial" w:hAnsi="Arial"/>
                <w:sz w:val="18"/>
                <w:szCs w:val="18"/>
                <w:color w:val="auto"/>
              </w:rPr>
              <w:t>Required documents for Offer</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3.4</w:t>
            </w:r>
          </w:p>
        </w:tc>
        <w:tc>
          <w:tcPr>
            <w:tcW w:w="7720" w:type="dxa"/>
            <w:vAlign w:val="bottom"/>
          </w:tcPr>
          <w:p>
            <w:pPr>
              <w:ind w:left="500"/>
              <w:spacing w:after="0"/>
              <w:rPr>
                <w:sz w:val="20"/>
                <w:szCs w:val="20"/>
                <w:color w:val="auto"/>
              </w:rPr>
            </w:pPr>
            <w:r>
              <w:rPr>
                <w:rFonts w:ascii="Arial" w:cs="Arial" w:eastAsia="Arial" w:hAnsi="Arial"/>
                <w:sz w:val="18"/>
                <w:szCs w:val="18"/>
                <w:color w:val="auto"/>
              </w:rPr>
              <w:t>Acceptance of offer</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3.5</w:t>
            </w:r>
          </w:p>
        </w:tc>
        <w:tc>
          <w:tcPr>
            <w:tcW w:w="7720" w:type="dxa"/>
            <w:vAlign w:val="bottom"/>
          </w:tcPr>
          <w:p>
            <w:pPr>
              <w:ind w:left="500"/>
              <w:spacing w:after="0"/>
              <w:rPr>
                <w:sz w:val="20"/>
                <w:szCs w:val="20"/>
                <w:color w:val="auto"/>
              </w:rPr>
            </w:pPr>
            <w:r>
              <w:rPr>
                <w:rFonts w:ascii="Arial" w:cs="Arial" w:eastAsia="Arial" w:hAnsi="Arial"/>
                <w:sz w:val="18"/>
                <w:szCs w:val="18"/>
                <w:color w:val="auto"/>
              </w:rPr>
              <w:t>Permitted Nominees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3.6</w:t>
            </w:r>
          </w:p>
        </w:tc>
        <w:tc>
          <w:tcPr>
            <w:tcW w:w="7720" w:type="dxa"/>
            <w:vAlign w:val="bottom"/>
          </w:tcPr>
          <w:p>
            <w:pPr>
              <w:ind w:left="500"/>
              <w:spacing w:after="0"/>
              <w:rPr>
                <w:sz w:val="20"/>
                <w:szCs w:val="20"/>
                <w:color w:val="auto"/>
              </w:rPr>
            </w:pPr>
            <w:r>
              <w:rPr>
                <w:rFonts w:ascii="Arial" w:cs="Arial" w:eastAsia="Arial" w:hAnsi="Arial"/>
                <w:sz w:val="18"/>
                <w:szCs w:val="18"/>
                <w:color w:val="auto"/>
              </w:rPr>
              <w:t>No payment for grant of Options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3.7</w:t>
            </w:r>
          </w:p>
        </w:tc>
        <w:tc>
          <w:tcPr>
            <w:tcW w:w="7720" w:type="dxa"/>
            <w:vAlign w:val="bottom"/>
          </w:tcPr>
          <w:p>
            <w:pPr>
              <w:ind w:left="500"/>
              <w:spacing w:after="0"/>
              <w:rPr>
                <w:sz w:val="20"/>
                <w:szCs w:val="20"/>
                <w:color w:val="auto"/>
              </w:rPr>
            </w:pPr>
            <w:r>
              <w:rPr>
                <w:rFonts w:ascii="Arial" w:cs="Arial" w:eastAsia="Arial" w:hAnsi="Arial"/>
                <w:sz w:val="18"/>
                <w:szCs w:val="18"/>
                <w:color w:val="auto"/>
              </w:rPr>
              <w:t>Option statement or certificate</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3.8</w:t>
            </w:r>
          </w:p>
        </w:tc>
        <w:tc>
          <w:tcPr>
            <w:tcW w:w="7720" w:type="dxa"/>
            <w:vAlign w:val="bottom"/>
          </w:tcPr>
          <w:p>
            <w:pPr>
              <w:ind w:left="500"/>
              <w:spacing w:after="0"/>
              <w:rPr>
                <w:sz w:val="20"/>
                <w:szCs w:val="20"/>
                <w:color w:val="auto"/>
              </w:rPr>
            </w:pPr>
            <w:r>
              <w:rPr>
                <w:rFonts w:ascii="Arial" w:cs="Arial" w:eastAsia="Arial" w:hAnsi="Arial"/>
                <w:sz w:val="18"/>
                <w:szCs w:val="18"/>
                <w:color w:val="auto"/>
              </w:rPr>
              <w:t>Register of Options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4</w:t>
            </w:r>
          </w:p>
        </w:tc>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Exercise of Options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4.1</w:t>
            </w:r>
          </w:p>
        </w:tc>
        <w:tc>
          <w:tcPr>
            <w:tcW w:w="7720" w:type="dxa"/>
            <w:vAlign w:val="bottom"/>
          </w:tcPr>
          <w:p>
            <w:pPr>
              <w:ind w:left="500"/>
              <w:spacing w:after="0"/>
              <w:rPr>
                <w:sz w:val="20"/>
                <w:szCs w:val="20"/>
                <w:color w:val="auto"/>
              </w:rPr>
            </w:pPr>
            <w:r>
              <w:rPr>
                <w:rFonts w:ascii="Arial" w:cs="Arial" w:eastAsia="Arial" w:hAnsi="Arial"/>
                <w:sz w:val="18"/>
                <w:szCs w:val="18"/>
                <w:color w:val="auto"/>
              </w:rPr>
              <w:t>Rights to acquire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4.2</w:t>
            </w:r>
          </w:p>
        </w:tc>
        <w:tc>
          <w:tcPr>
            <w:tcW w:w="7720" w:type="dxa"/>
            <w:vAlign w:val="bottom"/>
          </w:tcPr>
          <w:p>
            <w:pPr>
              <w:ind w:left="500"/>
              <w:spacing w:after="0"/>
              <w:rPr>
                <w:sz w:val="20"/>
                <w:szCs w:val="20"/>
                <w:color w:val="auto"/>
              </w:rPr>
            </w:pPr>
            <w:r>
              <w:rPr>
                <w:rFonts w:ascii="Arial" w:cs="Arial" w:eastAsia="Arial" w:hAnsi="Arial"/>
                <w:sz w:val="18"/>
                <w:szCs w:val="18"/>
                <w:color w:val="auto"/>
              </w:rPr>
              <w:t>Exercise price</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4.3</w:t>
            </w:r>
          </w:p>
        </w:tc>
        <w:tc>
          <w:tcPr>
            <w:tcW w:w="7720" w:type="dxa"/>
            <w:vAlign w:val="bottom"/>
          </w:tcPr>
          <w:p>
            <w:pPr>
              <w:ind w:left="500"/>
              <w:spacing w:after="0"/>
              <w:rPr>
                <w:sz w:val="20"/>
                <w:szCs w:val="20"/>
                <w:color w:val="auto"/>
              </w:rPr>
            </w:pPr>
            <w:r>
              <w:rPr>
                <w:rFonts w:ascii="Arial" w:cs="Arial" w:eastAsia="Arial" w:hAnsi="Arial"/>
                <w:sz w:val="18"/>
                <w:szCs w:val="18"/>
                <w:color w:val="auto"/>
              </w:rPr>
              <w:t>Right to exercise and lapse</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4.4</w:t>
            </w:r>
          </w:p>
        </w:tc>
        <w:tc>
          <w:tcPr>
            <w:tcW w:w="7720" w:type="dxa"/>
            <w:vAlign w:val="bottom"/>
          </w:tcPr>
          <w:p>
            <w:pPr>
              <w:ind w:left="500"/>
              <w:spacing w:after="0"/>
              <w:rPr>
                <w:sz w:val="20"/>
                <w:szCs w:val="20"/>
                <w:color w:val="auto"/>
              </w:rPr>
            </w:pPr>
            <w:r>
              <w:rPr>
                <w:rFonts w:ascii="Arial" w:cs="Arial" w:eastAsia="Arial" w:hAnsi="Arial"/>
                <w:sz w:val="18"/>
                <w:szCs w:val="18"/>
                <w:color w:val="auto"/>
              </w:rPr>
              <w:t>Lapse of Options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4.5</w:t>
            </w:r>
          </w:p>
        </w:tc>
        <w:tc>
          <w:tcPr>
            <w:tcW w:w="7720" w:type="dxa"/>
            <w:vAlign w:val="bottom"/>
          </w:tcPr>
          <w:p>
            <w:pPr>
              <w:ind w:left="500"/>
              <w:spacing w:after="0"/>
              <w:rPr>
                <w:sz w:val="20"/>
                <w:szCs w:val="20"/>
                <w:color w:val="auto"/>
              </w:rPr>
            </w:pPr>
            <w:r>
              <w:rPr>
                <w:rFonts w:ascii="Arial" w:cs="Arial" w:eastAsia="Arial" w:hAnsi="Arial"/>
                <w:sz w:val="18"/>
                <w:szCs w:val="18"/>
                <w:color w:val="auto"/>
              </w:rPr>
              <w:t>General restriction on exercise</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5"/>
        </w:trPr>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5</w:t>
            </w:r>
          </w:p>
        </w:tc>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Rights attaching to Options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5.1</w:t>
            </w:r>
          </w:p>
        </w:tc>
        <w:tc>
          <w:tcPr>
            <w:tcW w:w="7720" w:type="dxa"/>
            <w:vAlign w:val="bottom"/>
          </w:tcPr>
          <w:p>
            <w:pPr>
              <w:ind w:left="500"/>
              <w:spacing w:after="0"/>
              <w:rPr>
                <w:sz w:val="20"/>
                <w:szCs w:val="20"/>
                <w:color w:val="auto"/>
              </w:rPr>
            </w:pPr>
            <w:r>
              <w:rPr>
                <w:rFonts w:ascii="Arial" w:cs="Arial" w:eastAsia="Arial" w:hAnsi="Arial"/>
                <w:sz w:val="18"/>
                <w:szCs w:val="18"/>
                <w:color w:val="auto"/>
              </w:rPr>
              <w:t>Adjustment for reconstruction</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5.2</w:t>
            </w:r>
          </w:p>
        </w:tc>
        <w:tc>
          <w:tcPr>
            <w:tcW w:w="7720" w:type="dxa"/>
            <w:vAlign w:val="bottom"/>
          </w:tcPr>
          <w:p>
            <w:pPr>
              <w:ind w:left="500"/>
              <w:spacing w:after="0"/>
              <w:rPr>
                <w:sz w:val="20"/>
                <w:szCs w:val="20"/>
                <w:color w:val="auto"/>
              </w:rPr>
            </w:pPr>
            <w:r>
              <w:rPr>
                <w:rFonts w:ascii="Arial" w:cs="Arial" w:eastAsia="Arial" w:hAnsi="Arial"/>
                <w:sz w:val="18"/>
                <w:szCs w:val="18"/>
                <w:color w:val="auto"/>
              </w:rPr>
              <w:t>Dividends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5.3</w:t>
            </w:r>
          </w:p>
        </w:tc>
        <w:tc>
          <w:tcPr>
            <w:tcW w:w="7720" w:type="dxa"/>
            <w:vAlign w:val="bottom"/>
          </w:tcPr>
          <w:p>
            <w:pPr>
              <w:ind w:left="500"/>
              <w:spacing w:after="0"/>
              <w:rPr>
                <w:sz w:val="20"/>
                <w:szCs w:val="20"/>
                <w:color w:val="auto"/>
              </w:rPr>
            </w:pPr>
            <w:r>
              <w:rPr>
                <w:rFonts w:ascii="Arial" w:cs="Arial" w:eastAsia="Arial" w:hAnsi="Arial"/>
                <w:sz w:val="18"/>
                <w:szCs w:val="18"/>
                <w:color w:val="auto"/>
              </w:rPr>
              <w:t>Voting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5.4</w:t>
            </w:r>
          </w:p>
        </w:tc>
        <w:tc>
          <w:tcPr>
            <w:tcW w:w="7720" w:type="dxa"/>
            <w:vAlign w:val="bottom"/>
          </w:tcPr>
          <w:p>
            <w:pPr>
              <w:ind w:left="500"/>
              <w:spacing w:after="0"/>
              <w:rPr>
                <w:sz w:val="20"/>
                <w:szCs w:val="20"/>
                <w:color w:val="auto"/>
              </w:rPr>
            </w:pPr>
            <w:r>
              <w:rPr>
                <w:rFonts w:ascii="Arial" w:cs="Arial" w:eastAsia="Arial" w:hAnsi="Arial"/>
                <w:sz w:val="18"/>
                <w:szCs w:val="18"/>
                <w:color w:val="auto"/>
              </w:rPr>
              <w:t>Participation in further issues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5.5</w:t>
            </w:r>
          </w:p>
        </w:tc>
        <w:tc>
          <w:tcPr>
            <w:tcW w:w="7720" w:type="dxa"/>
            <w:vAlign w:val="bottom"/>
          </w:tcPr>
          <w:p>
            <w:pPr>
              <w:ind w:left="500"/>
              <w:spacing w:after="0"/>
              <w:rPr>
                <w:sz w:val="20"/>
                <w:szCs w:val="20"/>
                <w:color w:val="auto"/>
              </w:rPr>
            </w:pPr>
            <w:r>
              <w:rPr>
                <w:rFonts w:ascii="Arial" w:cs="Arial" w:eastAsia="Arial" w:hAnsi="Arial"/>
                <w:sz w:val="18"/>
                <w:szCs w:val="18"/>
                <w:color w:val="auto"/>
              </w:rPr>
              <w:t>Transfer</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5.6</w:t>
            </w:r>
          </w:p>
        </w:tc>
        <w:tc>
          <w:tcPr>
            <w:tcW w:w="7720" w:type="dxa"/>
            <w:vAlign w:val="bottom"/>
          </w:tcPr>
          <w:p>
            <w:pPr>
              <w:ind w:left="500"/>
              <w:spacing w:after="0"/>
              <w:rPr>
                <w:sz w:val="20"/>
                <w:szCs w:val="20"/>
                <w:color w:val="auto"/>
              </w:rPr>
            </w:pPr>
            <w:r>
              <w:rPr>
                <w:rFonts w:ascii="Arial" w:cs="Arial" w:eastAsia="Arial" w:hAnsi="Arial"/>
                <w:sz w:val="18"/>
                <w:szCs w:val="18"/>
                <w:color w:val="auto"/>
              </w:rPr>
              <w:t>Transmission</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5.7</w:t>
            </w:r>
          </w:p>
        </w:tc>
        <w:tc>
          <w:tcPr>
            <w:tcW w:w="7720" w:type="dxa"/>
            <w:vAlign w:val="bottom"/>
          </w:tcPr>
          <w:p>
            <w:pPr>
              <w:ind w:left="500"/>
              <w:spacing w:after="0"/>
              <w:rPr>
                <w:sz w:val="20"/>
                <w:szCs w:val="20"/>
                <w:color w:val="auto"/>
              </w:rPr>
            </w:pPr>
            <w:r>
              <w:rPr>
                <w:rFonts w:ascii="Arial" w:cs="Arial" w:eastAsia="Arial" w:hAnsi="Arial"/>
                <w:sz w:val="18"/>
                <w:szCs w:val="18"/>
                <w:color w:val="auto"/>
              </w:rPr>
              <w:t>Quotation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6</w:t>
            </w:r>
          </w:p>
        </w:tc>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 interest in Shares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05"/>
        </w:trPr>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7</w:t>
            </w:r>
          </w:p>
        </w:tc>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Change of Control</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7.1</w:t>
            </w:r>
          </w:p>
        </w:tc>
        <w:tc>
          <w:tcPr>
            <w:tcW w:w="7720" w:type="dxa"/>
            <w:vAlign w:val="bottom"/>
          </w:tcPr>
          <w:p>
            <w:pPr>
              <w:ind w:left="500"/>
              <w:spacing w:after="0"/>
              <w:rPr>
                <w:sz w:val="20"/>
                <w:szCs w:val="20"/>
                <w:color w:val="auto"/>
              </w:rPr>
            </w:pPr>
            <w:r>
              <w:rPr>
                <w:rFonts w:ascii="Arial" w:cs="Arial" w:eastAsia="Arial" w:hAnsi="Arial"/>
                <w:sz w:val="18"/>
                <w:szCs w:val="18"/>
                <w:color w:val="auto"/>
              </w:rPr>
              <w:t>Board to notify Participant of Change of Control Trigger Event</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7.2</w:t>
            </w:r>
          </w:p>
        </w:tc>
        <w:tc>
          <w:tcPr>
            <w:tcW w:w="7720" w:type="dxa"/>
            <w:vAlign w:val="bottom"/>
          </w:tcPr>
          <w:p>
            <w:pPr>
              <w:ind w:left="500"/>
              <w:spacing w:after="0"/>
              <w:rPr>
                <w:sz w:val="20"/>
                <w:szCs w:val="20"/>
                <w:color w:val="auto"/>
              </w:rPr>
            </w:pPr>
            <w:r>
              <w:rPr>
                <w:rFonts w:ascii="Arial" w:cs="Arial" w:eastAsia="Arial" w:hAnsi="Arial"/>
                <w:sz w:val="18"/>
                <w:szCs w:val="18"/>
                <w:color w:val="auto"/>
              </w:rPr>
              <w:t>Options exercisable on Change of Control</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7.3</w:t>
            </w:r>
          </w:p>
        </w:tc>
        <w:tc>
          <w:tcPr>
            <w:tcW w:w="7720" w:type="dxa"/>
            <w:vAlign w:val="bottom"/>
          </w:tcPr>
          <w:p>
            <w:pPr>
              <w:ind w:left="500"/>
              <w:spacing w:after="0"/>
              <w:rPr>
                <w:sz w:val="20"/>
                <w:szCs w:val="20"/>
                <w:color w:val="auto"/>
              </w:rPr>
            </w:pPr>
            <w:r>
              <w:rPr>
                <w:rFonts w:ascii="Arial" w:cs="Arial" w:eastAsia="Arial" w:hAnsi="Arial"/>
                <w:sz w:val="18"/>
                <w:szCs w:val="18"/>
                <w:color w:val="auto"/>
              </w:rPr>
              <w:t>Action available to the Board for unexercised Options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46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7.4</w:t>
            </w:r>
          </w:p>
        </w:tc>
        <w:tc>
          <w:tcPr>
            <w:tcW w:w="7720" w:type="dxa"/>
            <w:vAlign w:val="bottom"/>
          </w:tcPr>
          <w:p>
            <w:pPr>
              <w:ind w:left="500"/>
              <w:spacing w:after="0"/>
              <w:rPr>
                <w:sz w:val="20"/>
                <w:szCs w:val="20"/>
                <w:color w:val="auto"/>
              </w:rPr>
            </w:pPr>
            <w:r>
              <w:rPr>
                <w:rFonts w:ascii="Arial" w:cs="Arial" w:eastAsia="Arial" w:hAnsi="Arial"/>
                <w:sz w:val="18"/>
                <w:szCs w:val="18"/>
                <w:color w:val="auto"/>
              </w:rPr>
              <w:t>Participants to cooperate and attorney</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18"/>
                <w:szCs w:val="18"/>
                <w:color w:val="auto"/>
              </w:rPr>
              <w:t>|   Executive option plan - NOVONIX Limited</w:t>
            </w:r>
          </w:p>
        </w:tc>
        <w:tc>
          <w:tcPr>
            <w:tcW w:w="2420" w:type="dxa"/>
            <w:vAlign w:val="bottom"/>
          </w:tcPr>
          <w:p>
            <w:pPr>
              <w:spacing w:after="0"/>
              <w:rPr>
                <w:sz w:val="24"/>
                <w:szCs w:val="24"/>
                <w:color w:val="auto"/>
              </w:rPr>
            </w:pPr>
          </w:p>
        </w:tc>
      </w:tr>
      <w:tr>
        <w:trPr>
          <w:trHeight w:val="493"/>
        </w:trPr>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6" w:right="339" w:bottom="204"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r>
              <w:rPr>
                <w:rFonts w:ascii="Arial" w:cs="Arial" w:eastAsia="Arial" w:hAnsi="Arial"/>
                <w:sz w:val="18"/>
                <w:szCs w:val="18"/>
                <w:b w:val="1"/>
                <w:bCs w:val="1"/>
                <w:color w:val="auto"/>
              </w:rPr>
              <w:t>8</w:t>
            </w:r>
          </w:p>
        </w:tc>
        <w:tc>
          <w:tcPr>
            <w:tcW w:w="8420" w:type="dxa"/>
            <w:vAlign w:val="bottom"/>
            <w:gridSpan w:val="2"/>
          </w:tcPr>
          <w:p>
            <w:pPr>
              <w:ind w:left="300"/>
              <w:spacing w:after="0"/>
              <w:rPr>
                <w:sz w:val="20"/>
                <w:szCs w:val="20"/>
                <w:color w:val="auto"/>
              </w:rPr>
            </w:pPr>
            <w:r>
              <w:rPr>
                <w:rFonts w:ascii="Arial" w:cs="Arial" w:eastAsia="Arial" w:hAnsi="Arial"/>
                <w:sz w:val="18"/>
                <w:szCs w:val="18"/>
                <w:b w:val="1"/>
                <w:bCs w:val="1"/>
                <w:color w:val="auto"/>
              </w:rPr>
              <w:t>Issue of Shares on Exercise</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8.1</w:t>
            </w:r>
          </w:p>
        </w:tc>
        <w:tc>
          <w:tcPr>
            <w:tcW w:w="7380" w:type="dxa"/>
            <w:vAlign w:val="bottom"/>
          </w:tcPr>
          <w:p>
            <w:pPr>
              <w:ind w:left="60"/>
              <w:spacing w:after="0"/>
              <w:rPr>
                <w:sz w:val="20"/>
                <w:szCs w:val="20"/>
                <w:color w:val="auto"/>
              </w:rPr>
            </w:pPr>
            <w:r>
              <w:rPr>
                <w:rFonts w:ascii="Arial" w:cs="Arial" w:eastAsia="Arial" w:hAnsi="Arial"/>
                <w:sz w:val="18"/>
                <w:szCs w:val="18"/>
                <w:color w:val="auto"/>
              </w:rPr>
              <w:t>Issue of Shares</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8.2</w:t>
            </w:r>
          </w:p>
        </w:tc>
        <w:tc>
          <w:tcPr>
            <w:tcW w:w="7380" w:type="dxa"/>
            <w:vAlign w:val="bottom"/>
          </w:tcPr>
          <w:p>
            <w:pPr>
              <w:ind w:left="60"/>
              <w:spacing w:after="0"/>
              <w:rPr>
                <w:sz w:val="20"/>
                <w:szCs w:val="20"/>
                <w:color w:val="auto"/>
              </w:rPr>
            </w:pPr>
            <w:r>
              <w:rPr>
                <w:rFonts w:ascii="Arial" w:cs="Arial" w:eastAsia="Arial" w:hAnsi="Arial"/>
                <w:sz w:val="18"/>
                <w:szCs w:val="18"/>
                <w:color w:val="auto"/>
              </w:rPr>
              <w:t>Application for quotation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8.3</w:t>
            </w:r>
          </w:p>
        </w:tc>
        <w:tc>
          <w:tcPr>
            <w:tcW w:w="7380" w:type="dxa"/>
            <w:vAlign w:val="bottom"/>
          </w:tcPr>
          <w:p>
            <w:pPr>
              <w:ind w:left="60"/>
              <w:spacing w:after="0"/>
              <w:rPr>
                <w:sz w:val="20"/>
                <w:szCs w:val="20"/>
                <w:color w:val="auto"/>
              </w:rPr>
            </w:pPr>
            <w:r>
              <w:rPr>
                <w:rFonts w:ascii="Arial" w:cs="Arial" w:eastAsia="Arial" w:hAnsi="Arial"/>
                <w:sz w:val="18"/>
                <w:szCs w:val="18"/>
                <w:color w:val="auto"/>
              </w:rPr>
              <w:t>Ranking</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auto"/>
              </w:rPr>
              <w:t>9</w:t>
            </w:r>
          </w:p>
        </w:tc>
        <w:tc>
          <w:tcPr>
            <w:tcW w:w="8420" w:type="dxa"/>
            <w:vAlign w:val="bottom"/>
            <w:gridSpan w:val="2"/>
          </w:tcPr>
          <w:p>
            <w:pPr>
              <w:ind w:left="300"/>
              <w:spacing w:after="0"/>
              <w:rPr>
                <w:sz w:val="20"/>
                <w:szCs w:val="20"/>
                <w:color w:val="auto"/>
              </w:rPr>
            </w:pPr>
            <w:r>
              <w:rPr>
                <w:rFonts w:ascii="Arial" w:cs="Arial" w:eastAsia="Arial" w:hAnsi="Arial"/>
                <w:sz w:val="18"/>
                <w:szCs w:val="18"/>
                <w:b w:val="1"/>
                <w:bCs w:val="1"/>
                <w:color w:val="auto"/>
              </w:rPr>
              <w:t>Disposal Restriction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9.1</w:t>
            </w:r>
          </w:p>
        </w:tc>
        <w:tc>
          <w:tcPr>
            <w:tcW w:w="7380" w:type="dxa"/>
            <w:vAlign w:val="bottom"/>
          </w:tcPr>
          <w:p>
            <w:pPr>
              <w:ind w:left="60"/>
              <w:spacing w:after="0"/>
              <w:rPr>
                <w:sz w:val="20"/>
                <w:szCs w:val="20"/>
                <w:color w:val="auto"/>
              </w:rPr>
            </w:pPr>
            <w:r>
              <w:rPr>
                <w:rFonts w:ascii="Arial" w:cs="Arial" w:eastAsia="Arial" w:hAnsi="Arial"/>
                <w:sz w:val="18"/>
                <w:szCs w:val="18"/>
                <w:color w:val="auto"/>
              </w:rPr>
              <w:t>No disposal of Shares for a specified period</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9.2</w:t>
            </w:r>
          </w:p>
        </w:tc>
        <w:tc>
          <w:tcPr>
            <w:tcW w:w="7380" w:type="dxa"/>
            <w:vAlign w:val="bottom"/>
          </w:tcPr>
          <w:p>
            <w:pPr>
              <w:ind w:left="60"/>
              <w:spacing w:after="0"/>
              <w:rPr>
                <w:sz w:val="20"/>
                <w:szCs w:val="20"/>
                <w:color w:val="auto"/>
              </w:rPr>
            </w:pPr>
            <w:r>
              <w:rPr>
                <w:rFonts w:ascii="Arial" w:cs="Arial" w:eastAsia="Arial" w:hAnsi="Arial"/>
                <w:sz w:val="18"/>
                <w:szCs w:val="18"/>
                <w:color w:val="auto"/>
              </w:rPr>
              <w:t>Holding locks or other procedures</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9.3</w:t>
            </w:r>
          </w:p>
        </w:tc>
        <w:tc>
          <w:tcPr>
            <w:tcW w:w="7380" w:type="dxa"/>
            <w:vAlign w:val="bottom"/>
          </w:tcPr>
          <w:p>
            <w:pPr>
              <w:ind w:left="60"/>
              <w:spacing w:after="0"/>
              <w:rPr>
                <w:sz w:val="20"/>
                <w:szCs w:val="20"/>
                <w:color w:val="auto"/>
              </w:rPr>
            </w:pPr>
            <w:r>
              <w:rPr>
                <w:rFonts w:ascii="Arial" w:cs="Arial" w:eastAsia="Arial" w:hAnsi="Arial"/>
                <w:sz w:val="18"/>
                <w:szCs w:val="18"/>
                <w:color w:val="auto"/>
              </w:rPr>
              <w:t>Restrictions cease on Change of Control Trigger Event</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Notice</w:t>
            </w:r>
          </w:p>
        </w:tc>
        <w:tc>
          <w:tcPr>
            <w:tcW w:w="738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10.1</w:t>
            </w:r>
          </w:p>
        </w:tc>
        <w:tc>
          <w:tcPr>
            <w:tcW w:w="7380" w:type="dxa"/>
            <w:vAlign w:val="bottom"/>
          </w:tcPr>
          <w:p>
            <w:pPr>
              <w:ind w:left="60"/>
              <w:spacing w:after="0"/>
              <w:rPr>
                <w:sz w:val="20"/>
                <w:szCs w:val="20"/>
                <w:color w:val="auto"/>
              </w:rPr>
            </w:pPr>
            <w:r>
              <w:rPr>
                <w:rFonts w:ascii="Arial" w:cs="Arial" w:eastAsia="Arial" w:hAnsi="Arial"/>
                <w:sz w:val="18"/>
                <w:szCs w:val="18"/>
                <w:color w:val="auto"/>
              </w:rPr>
              <w:t>Method of giving notice</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10.2</w:t>
            </w:r>
          </w:p>
        </w:tc>
        <w:tc>
          <w:tcPr>
            <w:tcW w:w="7380" w:type="dxa"/>
            <w:vAlign w:val="bottom"/>
          </w:tcPr>
          <w:p>
            <w:pPr>
              <w:ind w:left="60"/>
              <w:spacing w:after="0"/>
              <w:rPr>
                <w:sz w:val="20"/>
                <w:szCs w:val="20"/>
                <w:color w:val="auto"/>
              </w:rPr>
            </w:pPr>
            <w:r>
              <w:rPr>
                <w:rFonts w:ascii="Arial" w:cs="Arial" w:eastAsia="Arial" w:hAnsi="Arial"/>
                <w:sz w:val="18"/>
                <w:szCs w:val="18"/>
                <w:color w:val="auto"/>
              </w:rPr>
              <w:t>When is notice given</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10.3</w:t>
            </w:r>
          </w:p>
        </w:tc>
        <w:tc>
          <w:tcPr>
            <w:tcW w:w="7380" w:type="dxa"/>
            <w:vAlign w:val="bottom"/>
          </w:tcPr>
          <w:p>
            <w:pPr>
              <w:ind w:left="60"/>
              <w:spacing w:after="0"/>
              <w:rPr>
                <w:sz w:val="20"/>
                <w:szCs w:val="20"/>
                <w:color w:val="auto"/>
              </w:rPr>
            </w:pPr>
            <w:r>
              <w:rPr>
                <w:rFonts w:ascii="Arial" w:cs="Arial" w:eastAsia="Arial" w:hAnsi="Arial"/>
                <w:sz w:val="18"/>
                <w:szCs w:val="18"/>
                <w:color w:val="auto"/>
              </w:rPr>
              <w:t>Participant’s address for 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10.4</w:t>
            </w:r>
          </w:p>
        </w:tc>
        <w:tc>
          <w:tcPr>
            <w:tcW w:w="7380" w:type="dxa"/>
            <w:vAlign w:val="bottom"/>
          </w:tcPr>
          <w:p>
            <w:pPr>
              <w:ind w:left="60"/>
              <w:spacing w:after="0"/>
              <w:rPr>
                <w:sz w:val="20"/>
                <w:szCs w:val="20"/>
                <w:color w:val="auto"/>
              </w:rPr>
            </w:pPr>
            <w:r>
              <w:rPr>
                <w:rFonts w:ascii="Arial" w:cs="Arial" w:eastAsia="Arial" w:hAnsi="Arial"/>
                <w:sz w:val="18"/>
                <w:szCs w:val="18"/>
                <w:color w:val="auto"/>
              </w:rPr>
              <w:t>Company’s address for 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10.5</w:t>
            </w:r>
          </w:p>
        </w:tc>
        <w:tc>
          <w:tcPr>
            <w:tcW w:w="7380" w:type="dxa"/>
            <w:vAlign w:val="bottom"/>
          </w:tcPr>
          <w:p>
            <w:pPr>
              <w:ind w:left="60"/>
              <w:spacing w:after="0"/>
              <w:rPr>
                <w:sz w:val="20"/>
                <w:szCs w:val="20"/>
                <w:color w:val="auto"/>
              </w:rPr>
            </w:pPr>
            <w:r>
              <w:rPr>
                <w:rFonts w:ascii="Arial" w:cs="Arial" w:eastAsia="Arial" w:hAnsi="Arial"/>
                <w:sz w:val="18"/>
                <w:szCs w:val="18"/>
                <w:color w:val="auto"/>
              </w:rPr>
              <w:t>Notices to Permitted Nominees</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420" w:type="dxa"/>
            <w:vAlign w:val="bottom"/>
            <w:gridSpan w:val="2"/>
          </w:tcPr>
          <w:p>
            <w:pPr>
              <w:ind w:left="300"/>
              <w:spacing w:after="0"/>
              <w:rPr>
                <w:sz w:val="20"/>
                <w:szCs w:val="20"/>
                <w:color w:val="auto"/>
              </w:rPr>
            </w:pPr>
            <w:r>
              <w:rPr>
                <w:rFonts w:ascii="Arial" w:cs="Arial" w:eastAsia="Arial" w:hAnsi="Arial"/>
                <w:sz w:val="18"/>
                <w:szCs w:val="18"/>
                <w:b w:val="1"/>
                <w:bCs w:val="1"/>
                <w:color w:val="auto"/>
              </w:rPr>
              <w:t>Amendment of the Plan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11.1</w:t>
            </w:r>
          </w:p>
        </w:tc>
        <w:tc>
          <w:tcPr>
            <w:tcW w:w="738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11.2</w:t>
            </w:r>
          </w:p>
        </w:tc>
        <w:tc>
          <w:tcPr>
            <w:tcW w:w="7380" w:type="dxa"/>
            <w:vAlign w:val="bottom"/>
          </w:tcPr>
          <w:p>
            <w:pPr>
              <w:ind w:left="60"/>
              <w:spacing w:after="0"/>
              <w:rPr>
                <w:sz w:val="20"/>
                <w:szCs w:val="20"/>
                <w:color w:val="auto"/>
              </w:rPr>
            </w:pPr>
            <w:r>
              <w:rPr>
                <w:rFonts w:ascii="Arial" w:cs="Arial" w:eastAsia="Arial" w:hAnsi="Arial"/>
                <w:sz w:val="18"/>
                <w:szCs w:val="18"/>
                <w:color w:val="auto"/>
              </w:rPr>
              <w:t>Restrictions</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420" w:type="dxa"/>
            <w:vAlign w:val="bottom"/>
            <w:gridSpan w:val="2"/>
          </w:tcPr>
          <w:p>
            <w:pPr>
              <w:ind w:left="300"/>
              <w:spacing w:after="0"/>
              <w:rPr>
                <w:sz w:val="20"/>
                <w:szCs w:val="20"/>
                <w:color w:val="auto"/>
              </w:rPr>
            </w:pPr>
            <w:r>
              <w:rPr>
                <w:rFonts w:ascii="Arial" w:cs="Arial" w:eastAsia="Arial" w:hAnsi="Arial"/>
                <w:sz w:val="18"/>
                <w:szCs w:val="18"/>
                <w:b w:val="1"/>
                <w:bCs w:val="1"/>
                <w:color w:val="auto"/>
              </w:rPr>
              <w:t>Termination of the Plan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420" w:type="dxa"/>
            <w:vAlign w:val="bottom"/>
            <w:gridSpan w:val="2"/>
          </w:tcPr>
          <w:p>
            <w:pPr>
              <w:ind w:left="300"/>
              <w:spacing w:after="0"/>
              <w:rPr>
                <w:sz w:val="20"/>
                <w:szCs w:val="20"/>
                <w:color w:val="auto"/>
              </w:rPr>
            </w:pPr>
            <w:r>
              <w:rPr>
                <w:rFonts w:ascii="Arial" w:cs="Arial" w:eastAsia="Arial" w:hAnsi="Arial"/>
                <w:sz w:val="18"/>
                <w:szCs w:val="18"/>
                <w:b w:val="1"/>
                <w:bCs w:val="1"/>
                <w:color w:val="auto"/>
              </w:rPr>
              <w:t>Administration of the Plan</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13.1</w:t>
            </w:r>
          </w:p>
        </w:tc>
        <w:tc>
          <w:tcPr>
            <w:tcW w:w="7380" w:type="dxa"/>
            <w:vAlign w:val="bottom"/>
          </w:tcPr>
          <w:p>
            <w:pPr>
              <w:ind w:left="60"/>
              <w:spacing w:after="0"/>
              <w:rPr>
                <w:sz w:val="20"/>
                <w:szCs w:val="20"/>
                <w:color w:val="auto"/>
              </w:rPr>
            </w:pPr>
            <w:r>
              <w:rPr>
                <w:rFonts w:ascii="Arial" w:cs="Arial" w:eastAsia="Arial" w:hAnsi="Arial"/>
                <w:sz w:val="18"/>
                <w:szCs w:val="18"/>
                <w:color w:val="auto"/>
              </w:rPr>
              <w:t>Authority to form policy and delegation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13.2</w:t>
            </w:r>
          </w:p>
        </w:tc>
        <w:tc>
          <w:tcPr>
            <w:tcW w:w="7380" w:type="dxa"/>
            <w:vAlign w:val="bottom"/>
          </w:tcPr>
          <w:p>
            <w:pPr>
              <w:ind w:left="60"/>
              <w:spacing w:after="0"/>
              <w:rPr>
                <w:sz w:val="20"/>
                <w:szCs w:val="20"/>
                <w:color w:val="auto"/>
              </w:rPr>
            </w:pPr>
            <w:r>
              <w:rPr>
                <w:rFonts w:ascii="Arial" w:cs="Arial" w:eastAsia="Arial" w:hAnsi="Arial"/>
                <w:sz w:val="18"/>
                <w:szCs w:val="18"/>
                <w:color w:val="auto"/>
              </w:rPr>
              <w:t>Obligations of Board</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13.3</w:t>
            </w:r>
          </w:p>
        </w:tc>
        <w:tc>
          <w:tcPr>
            <w:tcW w:w="7380" w:type="dxa"/>
            <w:vAlign w:val="bottom"/>
          </w:tcPr>
          <w:p>
            <w:pPr>
              <w:ind w:left="60"/>
              <w:spacing w:after="0"/>
              <w:rPr>
                <w:sz w:val="20"/>
                <w:szCs w:val="20"/>
                <w:color w:val="auto"/>
              </w:rPr>
            </w:pPr>
            <w:r>
              <w:rPr>
                <w:rFonts w:ascii="Arial" w:cs="Arial" w:eastAsia="Arial" w:hAnsi="Arial"/>
                <w:sz w:val="18"/>
                <w:szCs w:val="18"/>
                <w:color w:val="auto"/>
              </w:rPr>
              <w:t>Board decisions</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13.4</w:t>
            </w:r>
          </w:p>
        </w:tc>
        <w:tc>
          <w:tcPr>
            <w:tcW w:w="7380" w:type="dxa"/>
            <w:vAlign w:val="bottom"/>
          </w:tcPr>
          <w:p>
            <w:pPr>
              <w:ind w:left="60"/>
              <w:spacing w:after="0"/>
              <w:rPr>
                <w:sz w:val="20"/>
                <w:szCs w:val="20"/>
                <w:color w:val="auto"/>
              </w:rPr>
            </w:pPr>
            <w:r>
              <w:rPr>
                <w:rFonts w:ascii="Arial" w:cs="Arial" w:eastAsia="Arial" w:hAnsi="Arial"/>
                <w:sz w:val="18"/>
                <w:szCs w:val="18"/>
                <w:color w:val="auto"/>
              </w:rPr>
              <w:t>Board, Company and delegates may act in its absolute discretion</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13.5</w:t>
            </w:r>
          </w:p>
        </w:tc>
        <w:tc>
          <w:tcPr>
            <w:tcW w:w="7380" w:type="dxa"/>
            <w:vAlign w:val="bottom"/>
          </w:tcPr>
          <w:p>
            <w:pPr>
              <w:ind w:left="60"/>
              <w:spacing w:after="0"/>
              <w:rPr>
                <w:sz w:val="20"/>
                <w:szCs w:val="20"/>
                <w:color w:val="auto"/>
              </w:rPr>
            </w:pPr>
            <w:r>
              <w:rPr>
                <w:rFonts w:ascii="Arial" w:cs="Arial" w:eastAsia="Arial" w:hAnsi="Arial"/>
                <w:sz w:val="18"/>
                <w:szCs w:val="18"/>
                <w:color w:val="auto"/>
              </w:rPr>
              <w:t>Independent advice by Board</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420" w:type="dxa"/>
            <w:vAlign w:val="bottom"/>
            <w:gridSpan w:val="2"/>
          </w:tcPr>
          <w:p>
            <w:pPr>
              <w:ind w:left="300"/>
              <w:spacing w:after="0"/>
              <w:rPr>
                <w:sz w:val="20"/>
                <w:szCs w:val="20"/>
                <w:color w:val="auto"/>
              </w:rPr>
            </w:pPr>
            <w:r>
              <w:rPr>
                <w:rFonts w:ascii="Arial" w:cs="Arial" w:eastAsia="Arial" w:hAnsi="Arial"/>
                <w:sz w:val="18"/>
                <w:szCs w:val="18"/>
                <w:b w:val="1"/>
                <w:bCs w:val="1"/>
                <w:color w:val="auto"/>
              </w:rPr>
              <w:t>Rights of Eligible Participants and Participants</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05"/>
        </w:trPr>
        <w:tc>
          <w:tcPr>
            <w:tcW w:w="500" w:type="dxa"/>
            <w:vAlign w:val="bottom"/>
          </w:tcPr>
          <w:p>
            <w:pPr>
              <w:spacing w:after="0"/>
              <w:rPr>
                <w:sz w:val="20"/>
                <w:szCs w:val="20"/>
                <w:color w:val="auto"/>
              </w:rPr>
            </w:pPr>
            <w:r>
              <w:rPr>
                <w:rFonts w:ascii="Arial" w:cs="Arial" w:eastAsia="Arial" w:hAnsi="Arial"/>
                <w:sz w:val="18"/>
                <w:szCs w:val="18"/>
                <w:b w:val="1"/>
                <w:bCs w:val="1"/>
                <w:color w:val="auto"/>
              </w:rPr>
              <w:t>15</w:t>
            </w:r>
          </w:p>
        </w:tc>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General</w:t>
            </w:r>
          </w:p>
        </w:tc>
        <w:tc>
          <w:tcPr>
            <w:tcW w:w="738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15.1</w:t>
            </w:r>
          </w:p>
        </w:tc>
        <w:tc>
          <w:tcPr>
            <w:tcW w:w="7380" w:type="dxa"/>
            <w:vAlign w:val="bottom"/>
          </w:tcPr>
          <w:p>
            <w:pPr>
              <w:ind w:left="60"/>
              <w:spacing w:after="0"/>
              <w:rPr>
                <w:sz w:val="20"/>
                <w:szCs w:val="20"/>
                <w:color w:val="auto"/>
              </w:rPr>
            </w:pPr>
            <w:r>
              <w:rPr>
                <w:rFonts w:ascii="Arial" w:cs="Arial" w:eastAsia="Arial" w:hAnsi="Arial"/>
                <w:sz w:val="18"/>
                <w:szCs w:val="18"/>
                <w:color w:val="auto"/>
              </w:rPr>
              <w:t>Listing Rules and Constitution</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15.2</w:t>
            </w:r>
          </w:p>
        </w:tc>
        <w:tc>
          <w:tcPr>
            <w:tcW w:w="7380" w:type="dxa"/>
            <w:vAlign w:val="bottom"/>
          </w:tcPr>
          <w:p>
            <w:pPr>
              <w:ind w:left="60"/>
              <w:spacing w:after="0"/>
              <w:rPr>
                <w:sz w:val="20"/>
                <w:szCs w:val="20"/>
                <w:color w:val="auto"/>
              </w:rPr>
            </w:pPr>
            <w:r>
              <w:rPr>
                <w:rFonts w:ascii="Arial" w:cs="Arial" w:eastAsia="Arial" w:hAnsi="Arial"/>
                <w:sz w:val="18"/>
                <w:szCs w:val="18"/>
                <w:color w:val="auto"/>
              </w:rPr>
              <w:t>Board, Company and delegates may act in its absolute discretion</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15.3</w:t>
            </w:r>
          </w:p>
        </w:tc>
        <w:tc>
          <w:tcPr>
            <w:tcW w:w="7380" w:type="dxa"/>
            <w:vAlign w:val="bottom"/>
          </w:tcPr>
          <w:p>
            <w:pPr>
              <w:ind w:left="60"/>
              <w:spacing w:after="0"/>
              <w:rPr>
                <w:sz w:val="20"/>
                <w:szCs w:val="20"/>
                <w:color w:val="auto"/>
              </w:rPr>
            </w:pPr>
            <w:r>
              <w:rPr>
                <w:rFonts w:ascii="Arial" w:cs="Arial" w:eastAsia="Arial" w:hAnsi="Arial"/>
                <w:sz w:val="18"/>
                <w:szCs w:val="18"/>
                <w:color w:val="auto"/>
              </w:rPr>
              <w:t>Costs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15.4</w:t>
            </w:r>
          </w:p>
        </w:tc>
        <w:tc>
          <w:tcPr>
            <w:tcW w:w="7380" w:type="dxa"/>
            <w:vAlign w:val="bottom"/>
          </w:tcPr>
          <w:p>
            <w:pPr>
              <w:ind w:left="60"/>
              <w:spacing w:after="0"/>
              <w:rPr>
                <w:sz w:val="20"/>
                <w:szCs w:val="20"/>
                <w:color w:val="auto"/>
              </w:rPr>
            </w:pPr>
            <w:r>
              <w:rPr>
                <w:rFonts w:ascii="Arial" w:cs="Arial" w:eastAsia="Arial" w:hAnsi="Arial"/>
                <w:sz w:val="18"/>
                <w:szCs w:val="18"/>
                <w:color w:val="auto"/>
              </w:rPr>
              <w:t>Advice</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05"/>
        </w:trPr>
        <w:tc>
          <w:tcPr>
            <w:tcW w:w="5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15.5</w:t>
            </w:r>
          </w:p>
        </w:tc>
        <w:tc>
          <w:tcPr>
            <w:tcW w:w="7380" w:type="dxa"/>
            <w:vAlign w:val="bottom"/>
          </w:tcPr>
          <w:p>
            <w:pPr>
              <w:ind w:left="60"/>
              <w:spacing w:after="0"/>
              <w:rPr>
                <w:sz w:val="20"/>
                <w:szCs w:val="20"/>
                <w:color w:val="auto"/>
              </w:rPr>
            </w:pPr>
            <w:r>
              <w:rPr>
                <w:rFonts w:ascii="Arial" w:cs="Arial" w:eastAsia="Arial" w:hAnsi="Arial"/>
                <w:sz w:val="18"/>
                <w:szCs w:val="18"/>
                <w:color w:val="auto"/>
              </w:rPr>
              <w:t>Governing law and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05"/>
        </w:trPr>
        <w:tc>
          <w:tcPr>
            <w:tcW w:w="500" w:type="dxa"/>
            <w:vAlign w:val="bottom"/>
          </w:tcPr>
          <w:p>
            <w:pPr>
              <w:spacing w:after="0"/>
              <w:rPr>
                <w:sz w:val="24"/>
                <w:szCs w:val="24"/>
                <w:color w:val="auto"/>
              </w:rPr>
            </w:pPr>
          </w:p>
        </w:tc>
        <w:tc>
          <w:tcPr>
            <w:tcW w:w="8420" w:type="dxa"/>
            <w:vAlign w:val="bottom"/>
            <w:gridSpan w:val="2"/>
          </w:tcPr>
          <w:p>
            <w:pPr>
              <w:ind w:left="640"/>
              <w:spacing w:after="0"/>
              <w:rPr>
                <w:sz w:val="20"/>
                <w:szCs w:val="20"/>
                <w:color w:val="auto"/>
              </w:rPr>
            </w:pPr>
            <w:r>
              <w:rPr>
                <w:rFonts w:ascii="Arial" w:cs="Arial" w:eastAsia="Arial" w:hAnsi="Arial"/>
                <w:sz w:val="18"/>
                <w:szCs w:val="18"/>
                <w:color w:val="auto"/>
              </w:rPr>
              <w:t>|   Executive option plan - NOVONIX Limited</w:t>
            </w:r>
          </w:p>
        </w:tc>
        <w:tc>
          <w:tcPr>
            <w:tcW w:w="232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479"/>
        </w:trPr>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0"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Executive option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NOVONIX Limited ACN 157 690 830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Plan involves the grant of Options to Eligible Participants on the terms in this document.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1</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Definitions and interpretation</w:t>
            </w:r>
          </w:p>
        </w:tc>
        <w:tc>
          <w:tcPr>
            <w:tcW w:w="92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spacing w:after="0"/>
              <w:rPr>
                <w:sz w:val="19"/>
                <w:szCs w:val="19"/>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4640" w:type="dxa"/>
            <w:vAlign w:val="bottom"/>
          </w:tcPr>
          <w:p>
            <w:pPr>
              <w:spacing w:after="0"/>
              <w:rPr>
                <w:sz w:val="20"/>
                <w:szCs w:val="20"/>
                <w:color w:val="auto"/>
              </w:rPr>
            </w:pPr>
            <w:r>
              <w:rPr>
                <w:rFonts w:ascii="Arial" w:cs="Arial" w:eastAsia="Arial" w:hAnsi="Arial"/>
                <w:sz w:val="18"/>
                <w:szCs w:val="18"/>
                <w:b w:val="1"/>
                <w:bCs w:val="1"/>
                <w:color w:val="auto"/>
              </w:rPr>
              <w:t>Definitions</w:t>
            </w:r>
          </w:p>
        </w:tc>
        <w:tc>
          <w:tcPr>
            <w:tcW w:w="9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 this document:</w:t>
            </w:r>
          </w:p>
        </w:tc>
        <w:tc>
          <w:tcPr>
            <w:tcW w:w="9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392"/>
        </w:trPr>
        <w:tc>
          <w:tcPr>
            <w:tcW w:w="580" w:type="dxa"/>
            <w:vAlign w:val="bottom"/>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60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Definition</w:t>
            </w:r>
          </w:p>
        </w:tc>
      </w:tr>
      <w:tr>
        <w:trPr>
          <w:trHeight w:val="195"/>
        </w:trPr>
        <w:tc>
          <w:tcPr>
            <w:tcW w:w="580" w:type="dxa"/>
            <w:vAlign w:val="bottom"/>
          </w:tcPr>
          <w:p>
            <w:pPr>
              <w:spacing w:after="0"/>
              <w:rPr>
                <w:sz w:val="16"/>
                <w:szCs w:val="16"/>
                <w:color w:val="auto"/>
              </w:rPr>
            </w:pPr>
          </w:p>
        </w:tc>
        <w:tc>
          <w:tcPr>
            <w:tcW w:w="4640" w:type="dxa"/>
            <w:vAlign w:val="bottom"/>
          </w:tcPr>
          <w:p>
            <w:pPr>
              <w:spacing w:after="0" w:line="195" w:lineRule="exact"/>
              <w:rPr>
                <w:sz w:val="20"/>
                <w:szCs w:val="20"/>
                <w:color w:val="auto"/>
              </w:rPr>
            </w:pPr>
            <w:r>
              <w:rPr>
                <w:rFonts w:ascii="Arial" w:cs="Arial" w:eastAsia="Arial" w:hAnsi="Arial"/>
                <w:sz w:val="18"/>
                <w:szCs w:val="18"/>
                <w:b w:val="1"/>
                <w:bCs w:val="1"/>
                <w:color w:val="auto"/>
              </w:rPr>
              <w:t>Acceptance Form</w:t>
            </w:r>
          </w:p>
        </w:tc>
        <w:tc>
          <w:tcPr>
            <w:tcW w:w="6020" w:type="dxa"/>
            <w:vAlign w:val="bottom"/>
            <w:gridSpan w:val="2"/>
          </w:tcPr>
          <w:p>
            <w:pPr>
              <w:ind w:left="420"/>
              <w:spacing w:after="0" w:line="195" w:lineRule="exact"/>
              <w:rPr>
                <w:sz w:val="20"/>
                <w:szCs w:val="20"/>
                <w:color w:val="auto"/>
              </w:rPr>
            </w:pPr>
            <w:r>
              <w:rPr>
                <w:rFonts w:ascii="Arial" w:cs="Arial" w:eastAsia="Arial" w:hAnsi="Arial"/>
                <w:sz w:val="18"/>
                <w:szCs w:val="18"/>
                <w:color w:val="auto"/>
                <w:w w:val="99"/>
              </w:rPr>
              <w:t>means an acceptance of an Offer completed and signed by an Eligible</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60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Participant (and any Permitted Nominee) in the form attached to the</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Offer.</w:t>
            </w:r>
          </w:p>
        </w:tc>
        <w:tc>
          <w:tcPr>
            <w:tcW w:w="5100" w:type="dxa"/>
            <w:vAlign w:val="bottom"/>
          </w:tcPr>
          <w:p>
            <w:pPr>
              <w:spacing w:after="0"/>
              <w:rPr>
                <w:sz w:val="18"/>
                <w:szCs w:val="18"/>
                <w:color w:val="auto"/>
              </w:rPr>
            </w:pP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ASIC</w:t>
            </w: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means the Australian Securities and Investments Commission.</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ASX</w:t>
            </w: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means ASX Limited ACN 008 624 691 or the securities exchange</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operated by it (as the case requires).</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Bidder</w:t>
            </w: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means a person who proposes to acquire (together with their</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associates) all of the ordinary shares in the Company.</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Board</w:t>
            </w: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means the Company’s board of Directors.</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Business Day</w:t>
            </w: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means a day that is not a Saturday, Sunday or public holiday in</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Brisbane, Queensland.</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Change of Control Trigger Event</w:t>
            </w: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means:</w:t>
            </w:r>
          </w:p>
        </w:tc>
      </w:tr>
      <w:tr>
        <w:trPr>
          <w:trHeight w:val="404"/>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(a)</w:t>
            </w:r>
          </w:p>
        </w:tc>
        <w:tc>
          <w:tcPr>
            <w:tcW w:w="5100" w:type="dxa"/>
            <w:vAlign w:val="bottom"/>
          </w:tcPr>
          <w:p>
            <w:pPr>
              <w:ind w:left="60"/>
              <w:spacing w:after="0"/>
              <w:rPr>
                <w:sz w:val="20"/>
                <w:szCs w:val="20"/>
                <w:color w:val="auto"/>
              </w:rPr>
            </w:pPr>
            <w:r>
              <w:rPr>
                <w:rFonts w:ascii="Arial" w:cs="Arial" w:eastAsia="Arial" w:hAnsi="Arial"/>
                <w:sz w:val="18"/>
                <w:szCs w:val="18"/>
                <w:color w:val="auto"/>
              </w:rPr>
              <w:t>a person acquires voting power (within the meaning of section</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00" w:type="dxa"/>
            <w:vAlign w:val="bottom"/>
          </w:tcPr>
          <w:p>
            <w:pPr>
              <w:ind w:left="60"/>
              <w:spacing w:after="0" w:line="202" w:lineRule="exact"/>
              <w:rPr>
                <w:sz w:val="20"/>
                <w:szCs w:val="20"/>
                <w:color w:val="auto"/>
              </w:rPr>
            </w:pPr>
            <w:r>
              <w:rPr>
                <w:rFonts w:ascii="Arial" w:cs="Arial" w:eastAsia="Arial" w:hAnsi="Arial"/>
                <w:sz w:val="18"/>
                <w:szCs w:val="18"/>
                <w:color w:val="auto"/>
              </w:rPr>
              <w:t>610 Corporations Act) in more than 50% of the ordinary shares</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in the Company;</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(b)</w:t>
            </w:r>
          </w:p>
        </w:tc>
        <w:tc>
          <w:tcPr>
            <w:tcW w:w="5100" w:type="dxa"/>
            <w:vAlign w:val="bottom"/>
          </w:tcPr>
          <w:p>
            <w:pPr>
              <w:ind w:left="60"/>
              <w:spacing w:after="0"/>
              <w:rPr>
                <w:sz w:val="20"/>
                <w:szCs w:val="20"/>
                <w:color w:val="auto"/>
              </w:rPr>
            </w:pPr>
            <w:r>
              <w:rPr>
                <w:rFonts w:ascii="Arial" w:cs="Arial" w:eastAsia="Arial" w:hAnsi="Arial"/>
                <w:sz w:val="18"/>
                <w:szCs w:val="18"/>
                <w:color w:val="auto"/>
              </w:rPr>
              <w:t>an order of the court made for the purposes of section 411(4)</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00" w:type="dxa"/>
            <w:vAlign w:val="bottom"/>
          </w:tcPr>
          <w:p>
            <w:pPr>
              <w:ind w:left="60"/>
              <w:spacing w:after="0" w:line="202" w:lineRule="exact"/>
              <w:rPr>
                <w:sz w:val="20"/>
                <w:szCs w:val="20"/>
                <w:color w:val="auto"/>
              </w:rPr>
            </w:pPr>
            <w:r>
              <w:rPr>
                <w:rFonts w:ascii="Arial" w:cs="Arial" w:eastAsia="Arial" w:hAnsi="Arial"/>
                <w:sz w:val="18"/>
                <w:szCs w:val="18"/>
                <w:color w:val="auto"/>
              </w:rPr>
              <w:t>(b) Corporations Act, in connection with a members’ scheme of</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00" w:type="dxa"/>
            <w:vAlign w:val="bottom"/>
          </w:tcPr>
          <w:p>
            <w:pPr>
              <w:ind w:left="60"/>
              <w:spacing w:after="0" w:line="202" w:lineRule="exact"/>
              <w:rPr>
                <w:sz w:val="20"/>
                <w:szCs w:val="20"/>
                <w:color w:val="auto"/>
              </w:rPr>
            </w:pPr>
            <w:r>
              <w:rPr>
                <w:rFonts w:ascii="Arial" w:cs="Arial" w:eastAsia="Arial" w:hAnsi="Arial"/>
                <w:sz w:val="18"/>
                <w:szCs w:val="18"/>
                <w:color w:val="auto"/>
              </w:rPr>
              <w:t>arrangement to effect a change of Control of the Company, is</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lodged with ASIC under section 411(10) Corporations Act;</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(c)</w:t>
            </w:r>
          </w:p>
        </w:tc>
        <w:tc>
          <w:tcPr>
            <w:tcW w:w="5100" w:type="dxa"/>
            <w:vAlign w:val="bottom"/>
          </w:tcPr>
          <w:p>
            <w:pPr>
              <w:ind w:left="60"/>
              <w:spacing w:after="0"/>
              <w:rPr>
                <w:sz w:val="20"/>
                <w:szCs w:val="20"/>
                <w:color w:val="auto"/>
              </w:rPr>
            </w:pPr>
            <w:r>
              <w:rPr>
                <w:rFonts w:ascii="Arial" w:cs="Arial" w:eastAsia="Arial" w:hAnsi="Arial"/>
                <w:sz w:val="18"/>
                <w:szCs w:val="18"/>
                <w:color w:val="auto"/>
              </w:rPr>
              <w:t>the Company Disposes of the whole or a substantial part of its</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assets or undertaking; or</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(d)</w:t>
            </w:r>
          </w:p>
        </w:tc>
        <w:tc>
          <w:tcPr>
            <w:tcW w:w="5100" w:type="dxa"/>
            <w:vAlign w:val="bottom"/>
          </w:tcPr>
          <w:p>
            <w:pPr>
              <w:ind w:left="60"/>
              <w:spacing w:after="0"/>
              <w:rPr>
                <w:sz w:val="20"/>
                <w:szCs w:val="20"/>
                <w:color w:val="auto"/>
              </w:rPr>
            </w:pPr>
            <w:r>
              <w:rPr>
                <w:rFonts w:ascii="Arial" w:cs="Arial" w:eastAsia="Arial" w:hAnsi="Arial"/>
                <w:sz w:val="18"/>
                <w:szCs w:val="18"/>
                <w:color w:val="auto"/>
              </w:rPr>
              <w:t>an event set out in paragraph (a), (b) or (c) is, in the opinion of</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00" w:type="dxa"/>
            <w:vAlign w:val="bottom"/>
          </w:tcPr>
          <w:p>
            <w:pPr>
              <w:ind w:left="60"/>
              <w:spacing w:after="0" w:line="202" w:lineRule="exact"/>
              <w:rPr>
                <w:sz w:val="20"/>
                <w:szCs w:val="20"/>
                <w:color w:val="auto"/>
              </w:rPr>
            </w:pPr>
            <w:r>
              <w:rPr>
                <w:rFonts w:ascii="Arial" w:cs="Arial" w:eastAsia="Arial" w:hAnsi="Arial"/>
                <w:sz w:val="18"/>
                <w:szCs w:val="18"/>
                <w:color w:val="auto"/>
              </w:rPr>
              <w:t>the Board, likely to occur in the near future and the Board</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00" w:type="dxa"/>
            <w:vAlign w:val="bottom"/>
          </w:tcPr>
          <w:p>
            <w:pPr>
              <w:ind w:left="60"/>
              <w:spacing w:after="0" w:line="202" w:lineRule="exact"/>
              <w:rPr>
                <w:sz w:val="20"/>
                <w:szCs w:val="20"/>
                <w:color w:val="auto"/>
              </w:rPr>
            </w:pPr>
            <w:r>
              <w:rPr>
                <w:rFonts w:ascii="Arial" w:cs="Arial" w:eastAsia="Arial" w:hAnsi="Arial"/>
                <w:sz w:val="18"/>
                <w:szCs w:val="18"/>
                <w:color w:val="auto"/>
              </w:rPr>
              <w:t>decides to nominate a date on which a Change of Control</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Trigger Event is taken to have occurred.</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means NOVONIX Limited ACN 157 690 830.</w:t>
            </w:r>
          </w:p>
        </w:tc>
      </w:tr>
      <w:tr>
        <w:trPr>
          <w:trHeight w:val="44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Constitution</w:t>
            </w: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means the Company’s constitution.</w:t>
            </w:r>
          </w:p>
        </w:tc>
      </w:tr>
      <w:tr>
        <w:trPr>
          <w:trHeight w:val="419"/>
        </w:trPr>
        <w:tc>
          <w:tcPr>
            <w:tcW w:w="580" w:type="dxa"/>
            <w:vAlign w:val="bottom"/>
          </w:tcPr>
          <w:p>
            <w:pPr>
              <w:spacing w:after="0"/>
              <w:rPr>
                <w:sz w:val="24"/>
                <w:szCs w:val="24"/>
                <w:color w:val="auto"/>
              </w:rPr>
            </w:pPr>
          </w:p>
        </w:tc>
        <w:tc>
          <w:tcPr>
            <w:tcW w:w="4640" w:type="dxa"/>
            <w:vAlign w:val="bottom"/>
          </w:tcPr>
          <w:p>
            <w:pPr>
              <w:ind w:left="560"/>
              <w:spacing w:after="0"/>
              <w:rPr>
                <w:sz w:val="20"/>
                <w:szCs w:val="20"/>
                <w:color w:val="auto"/>
              </w:rPr>
            </w:pPr>
            <w:r>
              <w:rPr>
                <w:rFonts w:ascii="Arial" w:cs="Arial" w:eastAsia="Arial" w:hAnsi="Arial"/>
                <w:sz w:val="18"/>
                <w:szCs w:val="18"/>
                <w:color w:val="auto"/>
              </w:rPr>
              <w:t>|   Executive option plan - NOVONIX Limited</w:t>
            </w:r>
          </w:p>
        </w:tc>
        <w:tc>
          <w:tcPr>
            <w:tcW w:w="9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80"/>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51" w:right="339"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6040" w:type="dxa"/>
            <w:vAlign w:val="bottom"/>
            <w:gridSpan w:val="3"/>
          </w:tcPr>
          <w:p>
            <w:pPr>
              <w:ind w:left="420"/>
              <w:spacing w:after="0"/>
              <w:rPr>
                <w:sz w:val="20"/>
                <w:szCs w:val="20"/>
                <w:color w:val="auto"/>
              </w:rPr>
            </w:pPr>
            <w:r>
              <w:rPr>
                <w:rFonts w:ascii="Arial" w:cs="Arial" w:eastAsia="Arial" w:hAnsi="Arial"/>
                <w:sz w:val="18"/>
                <w:szCs w:val="18"/>
                <w:b w:val="1"/>
                <w:bCs w:val="1"/>
                <w:color w:val="auto"/>
              </w:rPr>
              <w:t>Definition</w:t>
            </w:r>
          </w:p>
        </w:tc>
      </w:tr>
      <w:tr>
        <w:trPr>
          <w:trHeight w:val="195"/>
        </w:trPr>
        <w:tc>
          <w:tcPr>
            <w:tcW w:w="58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Consultant</w:t>
            </w:r>
          </w:p>
        </w:tc>
        <w:tc>
          <w:tcPr>
            <w:tcW w:w="6020" w:type="dxa"/>
            <w:vAlign w:val="bottom"/>
            <w:tcBorders>
              <w:top w:val="single" w:sz="8" w:color="auto"/>
            </w:tcBorders>
            <w:gridSpan w:val="2"/>
          </w:tcPr>
          <w:p>
            <w:pPr>
              <w:ind w:left="420"/>
              <w:spacing w:after="0" w:line="195" w:lineRule="exact"/>
              <w:rPr>
                <w:sz w:val="20"/>
                <w:szCs w:val="20"/>
                <w:color w:val="auto"/>
              </w:rPr>
            </w:pPr>
            <w:r>
              <w:rPr>
                <w:rFonts w:ascii="Arial" w:cs="Arial" w:eastAsia="Arial" w:hAnsi="Arial"/>
                <w:sz w:val="18"/>
                <w:szCs w:val="18"/>
                <w:color w:val="auto"/>
              </w:rPr>
              <w:t>means any person who acts in an advisory capacity for, or is engaged</w:t>
            </w:r>
          </w:p>
        </w:tc>
        <w:tc>
          <w:tcPr>
            <w:tcW w:w="20" w:type="dxa"/>
            <w:vAlign w:val="bottom"/>
          </w:tcPr>
          <w:p>
            <w:pPr>
              <w:spacing w:after="0"/>
              <w:rPr>
                <w:sz w:val="16"/>
                <w:szCs w:val="16"/>
                <w:color w:val="auto"/>
              </w:rPr>
            </w:pP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in the provision of services to, the Group.</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Control</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has the meaning given to the term in section 50AA Corporations Act.</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Corporations Act</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 xml:space="preserve">means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a director of the Company.</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Disposal Restriction</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a restriction, set out in an Offer, on the creation of a Security</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604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Interest in, or the transfer, assignment, disposal or otherwise dealing</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with, a Share issued on exercise of an Option.</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Dispose</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includes assign, transfer, sell, agree to sell (including in respect of</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604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Shares, accepting a takeover in respect of those Shares) and grant a</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Security Interest.</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Eligible Participant</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w:t>
            </w:r>
          </w:p>
        </w:tc>
      </w:tr>
      <w:tr>
        <w:trPr>
          <w:trHeight w:val="404"/>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(a)</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any full or part time employees, contractors or service</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providers of the Company or any associated body corporate of</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the Company; or</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(b)</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any other person who may participate without requiring</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compliance with Chapters 6D.2, 6D.3 (except section 736) and</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7.9 of the Corporations Act,</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but excludes any Director.</w:t>
            </w:r>
          </w:p>
        </w:tc>
      </w:tr>
      <w:tr>
        <w:trPr>
          <w:trHeight w:val="44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an employee of a member of the Group.</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Exercise Date</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the date after which an Eligible Participant may exercise an</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Option as set out in the Offer.</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Exercise Period</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the period from the Exercise Date to the Expiry Date.</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Exercise Price</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the price payable on exercise of an Option to acquire the</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underlying Share, as set out in rule 4.2.</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Expiry Date</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the date on or by which a Participant must exercise an Option</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before that Option expires as set out in the Offer.</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Group</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the Company and its Related Bodies Corporate.</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Listing Rules</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the Listing Rules of ASX and any other rules of ASX which are</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604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applicable while the Company is admitted to the Official List of ASX,</w:t>
            </w:r>
          </w:p>
        </w:tc>
      </w:tr>
      <w:tr>
        <w:trPr>
          <w:trHeight w:val="203"/>
        </w:trPr>
        <w:tc>
          <w:tcPr>
            <w:tcW w:w="5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604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each as amended or replaced from time to time, except to the extent</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of any express written waiver by ASX.</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Notice of Exercise</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a completed and signed notice substantially in the form</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attached to the Offer, or another form approved by the Board.</w:t>
            </w:r>
          </w:p>
        </w:tc>
      </w:tr>
      <w:tr>
        <w:trPr>
          <w:trHeight w:val="405"/>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Offer</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a written offer to participate in the Plan.</w:t>
            </w:r>
          </w:p>
        </w:tc>
      </w:tr>
      <w:tr>
        <w:trPr>
          <w:trHeight w:val="391"/>
        </w:trPr>
        <w:tc>
          <w:tcPr>
            <w:tcW w:w="58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Option</w:t>
            </w: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means an option granted under the Plan to subscribe for and be</w:t>
            </w:r>
          </w:p>
        </w:tc>
      </w:tr>
      <w:tr>
        <w:trPr>
          <w:trHeight w:val="217"/>
        </w:trPr>
        <w:tc>
          <w:tcPr>
            <w:tcW w:w="5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6040" w:type="dxa"/>
            <w:vAlign w:val="bottom"/>
            <w:gridSpan w:val="3"/>
          </w:tcPr>
          <w:p>
            <w:pPr>
              <w:ind w:left="420"/>
              <w:spacing w:after="0"/>
              <w:rPr>
                <w:sz w:val="20"/>
                <w:szCs w:val="20"/>
                <w:color w:val="auto"/>
              </w:rPr>
            </w:pPr>
            <w:r>
              <w:rPr>
                <w:rFonts w:ascii="Arial" w:cs="Arial" w:eastAsia="Arial" w:hAnsi="Arial"/>
                <w:sz w:val="18"/>
                <w:szCs w:val="18"/>
                <w:color w:val="auto"/>
              </w:rPr>
              <w:t>allotted the number of Shares set out in an Offer.</w:t>
            </w:r>
          </w:p>
        </w:tc>
      </w:tr>
      <w:tr>
        <w:trPr>
          <w:trHeight w:val="418"/>
        </w:trPr>
        <w:tc>
          <w:tcPr>
            <w:tcW w:w="580" w:type="dxa"/>
            <w:vAlign w:val="bottom"/>
          </w:tcPr>
          <w:p>
            <w:pPr>
              <w:spacing w:after="0"/>
              <w:rPr>
                <w:sz w:val="24"/>
                <w:szCs w:val="24"/>
                <w:color w:val="auto"/>
              </w:rPr>
            </w:pPr>
          </w:p>
        </w:tc>
        <w:tc>
          <w:tcPr>
            <w:tcW w:w="4640" w:type="dxa"/>
            <w:vAlign w:val="bottom"/>
          </w:tcPr>
          <w:p>
            <w:pPr>
              <w:ind w:left="560"/>
              <w:spacing w:after="0"/>
              <w:rPr>
                <w:sz w:val="20"/>
                <w:szCs w:val="20"/>
                <w:color w:val="auto"/>
              </w:rPr>
            </w:pPr>
            <w:r>
              <w:rPr>
                <w:rFonts w:ascii="Arial" w:cs="Arial" w:eastAsia="Arial" w:hAnsi="Arial"/>
                <w:sz w:val="18"/>
                <w:szCs w:val="18"/>
                <w:color w:val="auto"/>
              </w:rPr>
              <w:t>|   Executive option plan - NOVONIX Limited</w:t>
            </w:r>
          </w:p>
        </w:tc>
        <w:tc>
          <w:tcPr>
            <w:tcW w:w="800" w:type="dxa"/>
            <w:vAlign w:val="bottom"/>
          </w:tcPr>
          <w:p>
            <w:pPr>
              <w:spacing w:after="0"/>
              <w:rPr>
                <w:sz w:val="24"/>
                <w:szCs w:val="24"/>
                <w:color w:val="auto"/>
              </w:rPr>
            </w:pPr>
          </w:p>
        </w:tc>
        <w:tc>
          <w:tcPr>
            <w:tcW w:w="5240" w:type="dxa"/>
            <w:vAlign w:val="bottom"/>
            <w:gridSpan w:val="2"/>
          </w:tcPr>
          <w:p>
            <w:pPr>
              <w:ind w:left="5120"/>
              <w:spacing w:after="0"/>
              <w:rPr>
                <w:sz w:val="20"/>
                <w:szCs w:val="20"/>
                <w:color w:val="auto"/>
              </w:rPr>
            </w:pPr>
            <w:r>
              <w:rPr>
                <w:rFonts w:ascii="Arial" w:cs="Arial" w:eastAsia="Arial" w:hAnsi="Arial"/>
                <w:sz w:val="18"/>
                <w:szCs w:val="18"/>
                <w:color w:val="auto"/>
                <w:w w:val="99"/>
              </w:rPr>
              <w:t>2</w:t>
            </w:r>
          </w:p>
        </w:tc>
      </w:tr>
      <w:tr>
        <w:trPr>
          <w:trHeight w:val="480"/>
        </w:trPr>
        <w:tc>
          <w:tcPr>
            <w:tcW w:w="5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712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Definition</w:t>
            </w:r>
          </w:p>
        </w:tc>
      </w:tr>
      <w:tr>
        <w:trPr>
          <w:trHeight w:val="195"/>
        </w:trPr>
        <w:tc>
          <w:tcPr>
            <w:tcW w:w="580" w:type="dxa"/>
            <w:vAlign w:val="bottom"/>
          </w:tcPr>
          <w:p>
            <w:pPr>
              <w:spacing w:after="0"/>
              <w:rPr>
                <w:sz w:val="16"/>
                <w:szCs w:val="16"/>
                <w:color w:val="auto"/>
              </w:rPr>
            </w:pPr>
          </w:p>
        </w:tc>
        <w:tc>
          <w:tcPr>
            <w:tcW w:w="3540" w:type="dxa"/>
            <w:vAlign w:val="bottom"/>
          </w:tcPr>
          <w:p>
            <w:pPr>
              <w:spacing w:after="0" w:line="195" w:lineRule="exact"/>
              <w:rPr>
                <w:sz w:val="20"/>
                <w:szCs w:val="20"/>
                <w:color w:val="auto"/>
              </w:rPr>
            </w:pPr>
            <w:r>
              <w:rPr>
                <w:rFonts w:ascii="Arial" w:cs="Arial" w:eastAsia="Arial" w:hAnsi="Arial"/>
                <w:sz w:val="18"/>
                <w:szCs w:val="18"/>
                <w:b w:val="1"/>
                <w:bCs w:val="1"/>
                <w:color w:val="auto"/>
              </w:rPr>
              <w:t>Participant</w:t>
            </w:r>
          </w:p>
        </w:tc>
        <w:tc>
          <w:tcPr>
            <w:tcW w:w="7120" w:type="dxa"/>
            <w:vAlign w:val="bottom"/>
          </w:tcPr>
          <w:p>
            <w:pPr>
              <w:ind w:left="1500"/>
              <w:spacing w:after="0" w:line="195" w:lineRule="exact"/>
              <w:rPr>
                <w:sz w:val="20"/>
                <w:szCs w:val="20"/>
                <w:color w:val="auto"/>
              </w:rPr>
            </w:pPr>
            <w:r>
              <w:rPr>
                <w:rFonts w:ascii="Arial" w:cs="Arial" w:eastAsia="Arial" w:hAnsi="Arial"/>
                <w:sz w:val="18"/>
                <w:szCs w:val="18"/>
                <w:color w:val="auto"/>
              </w:rPr>
              <w:t>means an Eligible Participant or its Permitted Nominee (as the case</w:t>
            </w:r>
          </w:p>
        </w:tc>
      </w:tr>
      <w:tr>
        <w:trPr>
          <w:trHeight w:val="217"/>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requires).</w:t>
            </w:r>
          </w:p>
        </w:tc>
      </w:tr>
      <w:tr>
        <w:trPr>
          <w:trHeight w:val="391"/>
        </w:trPr>
        <w:tc>
          <w:tcPr>
            <w:tcW w:w="5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Permitted Nominee</w:t>
            </w:r>
          </w:p>
        </w:tc>
        <w:tc>
          <w:tcPr>
            <w:tcW w:w="7120" w:type="dxa"/>
            <w:vAlign w:val="bottom"/>
          </w:tcPr>
          <w:p>
            <w:pPr>
              <w:ind w:left="1500"/>
              <w:spacing w:after="0"/>
              <w:rPr>
                <w:sz w:val="20"/>
                <w:szCs w:val="20"/>
                <w:color w:val="auto"/>
              </w:rPr>
            </w:pPr>
            <w:r>
              <w:rPr>
                <w:rFonts w:ascii="Arial" w:cs="Arial" w:eastAsia="Arial" w:hAnsi="Arial"/>
                <w:sz w:val="18"/>
                <w:szCs w:val="18"/>
                <w:color w:val="auto"/>
              </w:rPr>
              <w:t>means a body corporate Controlled by an Eligible Participant, or any</w:t>
            </w:r>
          </w:p>
        </w:tc>
      </w:tr>
      <w:tr>
        <w:trPr>
          <w:trHeight w:val="217"/>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other entity as the Board may determine.</w:t>
            </w:r>
          </w:p>
        </w:tc>
      </w:tr>
      <w:tr>
        <w:trPr>
          <w:trHeight w:val="405"/>
        </w:trPr>
        <w:tc>
          <w:tcPr>
            <w:tcW w:w="5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Plan</w:t>
            </w:r>
          </w:p>
        </w:tc>
        <w:tc>
          <w:tcPr>
            <w:tcW w:w="7120" w:type="dxa"/>
            <w:vAlign w:val="bottom"/>
          </w:tcPr>
          <w:p>
            <w:pPr>
              <w:ind w:left="1500"/>
              <w:spacing w:after="0"/>
              <w:rPr>
                <w:sz w:val="20"/>
                <w:szCs w:val="20"/>
                <w:color w:val="auto"/>
              </w:rPr>
            </w:pPr>
            <w:r>
              <w:rPr>
                <w:rFonts w:ascii="Arial" w:cs="Arial" w:eastAsia="Arial" w:hAnsi="Arial"/>
                <w:sz w:val="18"/>
                <w:szCs w:val="18"/>
                <w:color w:val="auto"/>
              </w:rPr>
              <w:t>means this share option plan as amended from time to time.</w:t>
            </w:r>
          </w:p>
        </w:tc>
      </w:tr>
      <w:tr>
        <w:trPr>
          <w:trHeight w:val="405"/>
        </w:trPr>
        <w:tc>
          <w:tcPr>
            <w:tcW w:w="5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Related Body Corporate</w:t>
            </w:r>
          </w:p>
        </w:tc>
        <w:tc>
          <w:tcPr>
            <w:tcW w:w="7120" w:type="dxa"/>
            <w:vAlign w:val="bottom"/>
          </w:tcPr>
          <w:p>
            <w:pPr>
              <w:ind w:left="1500"/>
              <w:spacing w:after="0"/>
              <w:rPr>
                <w:sz w:val="20"/>
                <w:szCs w:val="20"/>
                <w:color w:val="auto"/>
              </w:rPr>
            </w:pPr>
            <w:r>
              <w:rPr>
                <w:rFonts w:ascii="Arial" w:cs="Arial" w:eastAsia="Arial" w:hAnsi="Arial"/>
                <w:sz w:val="18"/>
                <w:szCs w:val="18"/>
                <w:color w:val="auto"/>
              </w:rPr>
              <w:t>has the meaning given to the term in the Corporations Act.</w:t>
            </w:r>
          </w:p>
        </w:tc>
      </w:tr>
      <w:tr>
        <w:trPr>
          <w:trHeight w:val="391"/>
        </w:trPr>
        <w:tc>
          <w:tcPr>
            <w:tcW w:w="5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Security Interest</w:t>
            </w:r>
          </w:p>
        </w:tc>
        <w:tc>
          <w:tcPr>
            <w:tcW w:w="7120" w:type="dxa"/>
            <w:vAlign w:val="bottom"/>
          </w:tcPr>
          <w:p>
            <w:pPr>
              <w:ind w:left="1500"/>
              <w:spacing w:after="0"/>
              <w:rPr>
                <w:sz w:val="20"/>
                <w:szCs w:val="20"/>
                <w:color w:val="auto"/>
              </w:rPr>
            </w:pPr>
            <w:r>
              <w:rPr>
                <w:rFonts w:ascii="Arial" w:cs="Arial" w:eastAsia="Arial" w:hAnsi="Arial"/>
                <w:sz w:val="18"/>
                <w:szCs w:val="18"/>
                <w:color w:val="auto"/>
              </w:rPr>
              <w:t>means any interest, right or power that in substance secures payment</w:t>
            </w:r>
          </w:p>
        </w:tc>
      </w:tr>
      <w:tr>
        <w:trPr>
          <w:trHeight w:val="184"/>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7120" w:type="dxa"/>
            <w:vAlign w:val="bottom"/>
          </w:tcPr>
          <w:p>
            <w:pPr>
              <w:ind w:left="1500"/>
              <w:spacing w:after="0" w:line="184" w:lineRule="exact"/>
              <w:rPr>
                <w:sz w:val="20"/>
                <w:szCs w:val="20"/>
                <w:color w:val="auto"/>
              </w:rPr>
            </w:pPr>
            <w:r>
              <w:rPr>
                <w:rFonts w:ascii="Arial" w:cs="Arial" w:eastAsia="Arial" w:hAnsi="Arial"/>
                <w:sz w:val="18"/>
                <w:szCs w:val="18"/>
                <w:color w:val="auto"/>
              </w:rPr>
              <w:t>or performance of any obligation, for example a mortgage, a charge,</w:t>
            </w:r>
          </w:p>
        </w:tc>
      </w:tr>
      <w:tr>
        <w:trPr>
          <w:trHeight w:val="221"/>
        </w:trPr>
        <w:tc>
          <w:tcPr>
            <w:tcW w:w="5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 xml:space="preserve">or a security interest under the </w:t>
            </w:r>
            <w:r>
              <w:rPr>
                <w:rFonts w:ascii="Arial" w:cs="Arial" w:eastAsia="Arial" w:hAnsi="Arial"/>
                <w:sz w:val="18"/>
                <w:szCs w:val="18"/>
                <w:i w:val="1"/>
                <w:iCs w:val="1"/>
                <w:color w:val="auto"/>
              </w:rPr>
              <w:t>Personal Property Securities Act 2009</w:t>
            </w:r>
          </w:p>
        </w:tc>
      </w:tr>
      <w:tr>
        <w:trPr>
          <w:trHeight w:val="217"/>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(Cth).</w:t>
            </w:r>
          </w:p>
        </w:tc>
      </w:tr>
      <w:tr>
        <w:trPr>
          <w:trHeight w:val="405"/>
        </w:trPr>
        <w:tc>
          <w:tcPr>
            <w:tcW w:w="5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Share</w:t>
            </w:r>
          </w:p>
        </w:tc>
        <w:tc>
          <w:tcPr>
            <w:tcW w:w="7120" w:type="dxa"/>
            <w:vAlign w:val="bottom"/>
          </w:tcPr>
          <w:p>
            <w:pPr>
              <w:ind w:left="1500"/>
              <w:spacing w:after="0"/>
              <w:rPr>
                <w:sz w:val="20"/>
                <w:szCs w:val="20"/>
                <w:color w:val="auto"/>
              </w:rPr>
            </w:pPr>
            <w:r>
              <w:rPr>
                <w:rFonts w:ascii="Arial" w:cs="Arial" w:eastAsia="Arial" w:hAnsi="Arial"/>
                <w:sz w:val="18"/>
                <w:szCs w:val="18"/>
                <w:color w:val="auto"/>
              </w:rPr>
              <w:t>means a fully paid ordinary share in the Company.</w:t>
            </w:r>
          </w:p>
        </w:tc>
      </w:tr>
      <w:tr>
        <w:trPr>
          <w:trHeight w:val="391"/>
        </w:trPr>
        <w:tc>
          <w:tcPr>
            <w:tcW w:w="5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Termination Date</w:t>
            </w:r>
          </w:p>
        </w:tc>
        <w:tc>
          <w:tcPr>
            <w:tcW w:w="7120" w:type="dxa"/>
            <w:vAlign w:val="bottom"/>
          </w:tcPr>
          <w:p>
            <w:pPr>
              <w:ind w:left="1500"/>
              <w:spacing w:after="0"/>
              <w:rPr>
                <w:sz w:val="20"/>
                <w:szCs w:val="20"/>
                <w:color w:val="auto"/>
              </w:rPr>
            </w:pPr>
            <w:r>
              <w:rPr>
                <w:rFonts w:ascii="Arial" w:cs="Arial" w:eastAsia="Arial" w:hAnsi="Arial"/>
                <w:sz w:val="18"/>
                <w:szCs w:val="18"/>
                <w:color w:val="auto"/>
              </w:rPr>
              <w:t>means the date the termination of directorship, employment or the</w:t>
            </w:r>
          </w:p>
        </w:tc>
      </w:tr>
      <w:tr>
        <w:trPr>
          <w:trHeight w:val="203"/>
        </w:trPr>
        <w:tc>
          <w:tcPr>
            <w:tcW w:w="5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120" w:type="dxa"/>
            <w:vAlign w:val="bottom"/>
          </w:tcPr>
          <w:p>
            <w:pPr>
              <w:ind w:left="1500"/>
              <w:spacing w:after="0" w:line="202" w:lineRule="exact"/>
              <w:rPr>
                <w:sz w:val="20"/>
                <w:szCs w:val="20"/>
                <w:color w:val="auto"/>
              </w:rPr>
            </w:pPr>
            <w:r>
              <w:rPr>
                <w:rFonts w:ascii="Arial" w:cs="Arial" w:eastAsia="Arial" w:hAnsi="Arial"/>
                <w:sz w:val="18"/>
                <w:szCs w:val="18"/>
                <w:color w:val="auto"/>
              </w:rPr>
              <w:t>consultancy arrangement of an Eligible Participant takes effect, under</w:t>
            </w:r>
          </w:p>
        </w:tc>
      </w:tr>
      <w:tr>
        <w:trPr>
          <w:trHeight w:val="203"/>
        </w:trPr>
        <w:tc>
          <w:tcPr>
            <w:tcW w:w="5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120" w:type="dxa"/>
            <w:vAlign w:val="bottom"/>
          </w:tcPr>
          <w:p>
            <w:pPr>
              <w:ind w:left="1500"/>
              <w:spacing w:after="0" w:line="202" w:lineRule="exact"/>
              <w:rPr>
                <w:sz w:val="20"/>
                <w:szCs w:val="20"/>
                <w:color w:val="auto"/>
              </w:rPr>
            </w:pPr>
            <w:r>
              <w:rPr>
                <w:rFonts w:ascii="Arial" w:cs="Arial" w:eastAsia="Arial" w:hAnsi="Arial"/>
                <w:sz w:val="18"/>
                <w:szCs w:val="18"/>
                <w:color w:val="auto"/>
              </w:rPr>
              <w:t>the Eligible Participant’s written employment agreement or</w:t>
            </w:r>
          </w:p>
        </w:tc>
      </w:tr>
      <w:tr>
        <w:trPr>
          <w:trHeight w:val="217"/>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consultancy agreement or otherwise.</w:t>
            </w:r>
          </w:p>
        </w:tc>
      </w:tr>
      <w:tr>
        <w:trPr>
          <w:trHeight w:val="391"/>
        </w:trPr>
        <w:tc>
          <w:tcPr>
            <w:tcW w:w="5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Vesting Conditions</w:t>
            </w:r>
          </w:p>
        </w:tc>
        <w:tc>
          <w:tcPr>
            <w:tcW w:w="7120" w:type="dxa"/>
            <w:vAlign w:val="bottom"/>
          </w:tcPr>
          <w:p>
            <w:pPr>
              <w:ind w:left="1500"/>
              <w:spacing w:after="0"/>
              <w:rPr>
                <w:sz w:val="20"/>
                <w:szCs w:val="20"/>
                <w:color w:val="auto"/>
              </w:rPr>
            </w:pPr>
            <w:r>
              <w:rPr>
                <w:rFonts w:ascii="Arial" w:cs="Arial" w:eastAsia="Arial" w:hAnsi="Arial"/>
                <w:sz w:val="18"/>
                <w:szCs w:val="18"/>
                <w:color w:val="auto"/>
              </w:rPr>
              <w:t>means the vesting conditions specified in an Offer, which must be</w:t>
            </w:r>
          </w:p>
        </w:tc>
      </w:tr>
      <w:tr>
        <w:trPr>
          <w:trHeight w:val="217"/>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tcPr>
          <w:p>
            <w:pPr>
              <w:ind w:left="1500"/>
              <w:spacing w:after="0"/>
              <w:rPr>
                <w:sz w:val="20"/>
                <w:szCs w:val="20"/>
                <w:color w:val="auto"/>
              </w:rPr>
            </w:pPr>
            <w:r>
              <w:rPr>
                <w:rFonts w:ascii="Arial" w:cs="Arial" w:eastAsia="Arial" w:hAnsi="Arial"/>
                <w:sz w:val="18"/>
                <w:szCs w:val="18"/>
                <w:color w:val="auto"/>
              </w:rPr>
              <w:t>satisfied before an Option can be exercised.</w:t>
            </w:r>
          </w:p>
        </w:tc>
      </w:tr>
      <w:tr>
        <w:trPr>
          <w:trHeight w:val="445"/>
        </w:trPr>
        <w:tc>
          <w:tcPr>
            <w:tcW w:w="5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1.2</w:t>
            </w:r>
          </w:p>
        </w:tc>
        <w:tc>
          <w:tcPr>
            <w:tcW w:w="3540" w:type="dxa"/>
            <w:vAlign w:val="bottom"/>
          </w:tcPr>
          <w:p>
            <w:pPr>
              <w:ind w:left="80"/>
              <w:spacing w:after="0"/>
              <w:rPr>
                <w:sz w:val="20"/>
                <w:szCs w:val="20"/>
                <w:color w:val="auto"/>
              </w:rPr>
            </w:pPr>
            <w:r>
              <w:rPr>
                <w:rFonts w:ascii="Arial" w:cs="Arial" w:eastAsia="Arial" w:hAnsi="Arial"/>
                <w:sz w:val="18"/>
                <w:szCs w:val="18"/>
                <w:b w:val="1"/>
                <w:bCs w:val="1"/>
                <w:color w:val="auto"/>
              </w:rPr>
              <w:t>Interpretation</w:t>
            </w:r>
          </w:p>
        </w:tc>
        <w:tc>
          <w:tcPr>
            <w:tcW w:w="712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auto"/>
              </w:rPr>
              <w:t>In this document:</w:t>
            </w:r>
          </w:p>
        </w:tc>
        <w:tc>
          <w:tcPr>
            <w:tcW w:w="7120" w:type="dxa"/>
            <w:vAlign w:val="bottom"/>
          </w:tcPr>
          <w:p>
            <w:pPr>
              <w:spacing w:after="0"/>
              <w:rPr>
                <w:sz w:val="24"/>
                <w:szCs w:val="24"/>
                <w:color w:val="auto"/>
              </w:rPr>
            </w:pPr>
          </w:p>
        </w:tc>
      </w:tr>
    </w:tbl>
    <w:p>
      <w:pPr>
        <w:spacing w:after="0" w:line="188" w:lineRule="exact"/>
        <w:rPr>
          <w:sz w:val="20"/>
          <w:szCs w:val="20"/>
          <w:color w:val="auto"/>
        </w:rPr>
      </w:pPr>
    </w:p>
    <w:p>
      <w:pPr>
        <w:ind w:left="1300" w:hanging="644"/>
        <w:spacing w:after="0" w:line="246" w:lineRule="auto"/>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reference to a clause, schedule, annexure or party is a reference to a clause of, and a schedule, annexure or party to, this document and references to this document include any schedules or annexures;</w:t>
      </w:r>
    </w:p>
    <w:p>
      <w:pPr>
        <w:spacing w:after="0" w:line="223" w:lineRule="exact"/>
        <w:rPr>
          <w:rFonts w:ascii="Arial" w:cs="Arial" w:eastAsia="Arial" w:hAnsi="Arial"/>
          <w:sz w:val="18"/>
          <w:szCs w:val="18"/>
          <w:color w:val="auto"/>
        </w:rPr>
      </w:pPr>
    </w:p>
    <w:p>
      <w:pPr>
        <w:ind w:left="1300" w:right="500" w:hanging="644"/>
        <w:spacing w:after="0" w:line="246" w:lineRule="auto"/>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reference to a party to this document or any other document or agreement includes the party’s successors, permitted substitutes and permitted assigns;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198" w:lineRule="exact"/>
        <w:rPr>
          <w:rFonts w:ascii="Arial" w:cs="Arial" w:eastAsia="Arial" w:hAnsi="Arial"/>
          <w:sz w:val="18"/>
          <w:szCs w:val="18"/>
          <w:color w:val="auto"/>
        </w:rPr>
      </w:pPr>
    </w:p>
    <w:p>
      <w:pPr>
        <w:ind w:left="1300" w:right="580" w:hanging="644"/>
        <w:spacing w:after="0" w:line="246" w:lineRule="auto"/>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reference to a document or agreement (including a reference to this document) is to that document or agreement as amended, supplemented, varied or replaced;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reference to this document includes the agreement recorded by this document;</w:t>
      </w:r>
    </w:p>
    <w:p>
      <w:pPr>
        <w:spacing w:after="0" w:line="198" w:lineRule="exact"/>
        <w:rPr>
          <w:rFonts w:ascii="Arial" w:cs="Arial" w:eastAsia="Arial" w:hAnsi="Arial"/>
          <w:sz w:val="18"/>
          <w:szCs w:val="18"/>
          <w:color w:val="auto"/>
        </w:rPr>
      </w:pPr>
    </w:p>
    <w:p>
      <w:pPr>
        <w:ind w:left="1300" w:right="200" w:hanging="644"/>
        <w:spacing w:after="0" w:line="246" w:lineRule="auto"/>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reference to legislation or to a provision of legislation (including subordinate legislation) is to that legislation as amended, re-enacted or replaced, and includes any subordinate legislation issued under it;</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any day on or by which a person must do something under this document is not a Business Day, then the person must do it on or by the next Business Day;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66"/>
        </w:trPr>
        <w:tc>
          <w:tcPr>
            <w:tcW w:w="79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207" w:name="page208"/>
    <w:bookmarkEnd w:id="207"/>
    <w:p>
      <w:pPr>
        <w:ind w:left="1300" w:hanging="644"/>
        <w:spacing w:after="0" w:line="246" w:lineRule="auto"/>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reference to a person includes a corporation, trust, partnership, unincorporated body, government and local authority or agency, or other entity whether or not it comprises a separate legal entity;</w:t>
      </w:r>
    </w:p>
    <w:p>
      <w:pPr>
        <w:spacing w:after="0" w:line="223" w:lineRule="exact"/>
        <w:rPr>
          <w:rFonts w:ascii="Arial" w:cs="Arial" w:eastAsia="Arial" w:hAnsi="Arial"/>
          <w:sz w:val="18"/>
          <w:szCs w:val="18"/>
          <w:color w:val="auto"/>
        </w:rPr>
      </w:pPr>
    </w:p>
    <w:p>
      <w:pPr>
        <w:ind w:left="1300" w:hanging="64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reference to ‘month’ means calendar month;</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words defined in the Corporations Act have the same meaning when used in this document;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headings are for convenience only and do not affect the interpretation.</w:t>
      </w:r>
    </w:p>
    <w:p>
      <w:pPr>
        <w:spacing w:after="0" w:line="176" w:lineRule="exact"/>
        <w:rPr>
          <w:sz w:val="20"/>
          <w:szCs w:val="20"/>
          <w:color w:val="auto"/>
        </w:rPr>
      </w:pPr>
    </w:p>
    <w:p>
      <w:pPr>
        <w:ind w:left="660" w:hanging="652"/>
        <w:spacing w:after="0"/>
        <w:tabs>
          <w:tab w:leader="none" w:pos="6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will administer the Plan in accordance with this document.</w:t>
      </w:r>
    </w:p>
    <w:p>
      <w:pPr>
        <w:spacing w:after="0" w:line="176" w:lineRule="exact"/>
        <w:rPr>
          <w:sz w:val="20"/>
          <w:szCs w:val="20"/>
          <w:color w:val="auto"/>
        </w:rPr>
      </w:pPr>
    </w:p>
    <w:p>
      <w:pPr>
        <w:ind w:left="660" w:hanging="652"/>
        <w:spacing w:after="0"/>
        <w:tabs>
          <w:tab w:leader="none" w:pos="6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Offer of Options</w:t>
      </w:r>
    </w:p>
    <w:p>
      <w:pPr>
        <w:spacing w:after="0" w:line="220" w:lineRule="exact"/>
        <w:rPr>
          <w:sz w:val="20"/>
          <w:szCs w:val="20"/>
          <w:color w:val="auto"/>
        </w:rPr>
      </w:pPr>
    </w:p>
    <w:p>
      <w:pPr>
        <w:ind w:left="1300" w:right="200" w:hanging="644"/>
        <w:spacing w:after="0" w:line="246" w:lineRule="auto"/>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Board may offer any number of Options to an Eligible Participant on the terms the Board decides by giving the Eligible Participant an Offer, subject to the Plan and any applicable law or Listing Rules.</w:t>
      </w:r>
    </w:p>
    <w:p>
      <w:pPr>
        <w:spacing w:after="0" w:line="183" w:lineRule="exact"/>
        <w:rPr>
          <w:rFonts w:ascii="Arial" w:cs="Arial" w:eastAsia="Arial" w:hAnsi="Arial"/>
          <w:sz w:val="18"/>
          <w:szCs w:val="18"/>
          <w:color w:val="auto"/>
        </w:rPr>
      </w:pPr>
    </w:p>
    <w:p>
      <w:pPr>
        <w:ind w:left="1300" w:right="220" w:hanging="644"/>
        <w:spacing w:after="0" w:line="246" w:lineRule="auto"/>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Subject to the terms of the Offer, each Option will entitle the Eligible Participant to receive one Share (ranking equally in all respects with the existing issued Shares in the Company) upon the exercise of the Option.</w:t>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Required details of Offer</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Offer must state:</w:t>
      </w:r>
    </w:p>
    <w:p>
      <w:pPr>
        <w:spacing w:after="0" w:line="198" w:lineRule="exact"/>
        <w:rPr>
          <w:sz w:val="20"/>
          <w:szCs w:val="20"/>
          <w:color w:val="auto"/>
        </w:rPr>
      </w:pPr>
    </w:p>
    <w:p>
      <w:pPr>
        <w:ind w:left="130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total number of Options for which the Eligible Participant may accept;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date of the Offer;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Exercise Period (including the Exercise Date and the Expiry Date);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Vesting Conditions;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Disposal Restrictions;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other terms of the Options;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matters required to be specified by the Corporations Act or Listing Rules.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Required documents for Offer</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will send the Offer to an Eligible Participant together with:</w:t>
      </w:r>
    </w:p>
    <w:p>
      <w:pPr>
        <w:spacing w:after="0" w:line="198" w:lineRule="exact"/>
        <w:rPr>
          <w:sz w:val="20"/>
          <w:szCs w:val="20"/>
          <w:color w:val="auto"/>
        </w:rPr>
      </w:pPr>
    </w:p>
    <w:p>
      <w:pPr>
        <w:ind w:left="1300" w:hanging="644"/>
        <w:spacing w:after="0"/>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Acceptance Form;</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Notice of Exercise;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66"/>
        </w:trPr>
        <w:tc>
          <w:tcPr>
            <w:tcW w:w="79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5" w:right="339" w:bottom="1440" w:gutter="0" w:footer="0" w:header="0"/>
        </w:sectPr>
      </w:pPr>
    </w:p>
    <w:bookmarkStart w:id="208" w:name="page209"/>
    <w:bookmarkEnd w:id="208"/>
    <w:p>
      <w:pPr>
        <w:ind w:left="1300" w:hanging="644"/>
        <w:spacing w:after="0"/>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copy of this Plan or a summary of this Plan (in which case this Plan will be made available on request, free of charge);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other explanatory material which the Company wishes to distribute;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other documents and information required by the Corporations Act or Listing Rules.</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Acceptance of offer</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accept an Offer, an Eligible Participant must complete, sign and return the Acceptance Form in accordance with the Offer.</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Permitted Nominees</w:t>
      </w:r>
    </w:p>
    <w:p>
      <w:pPr>
        <w:spacing w:after="0" w:line="220" w:lineRule="exact"/>
        <w:rPr>
          <w:sz w:val="20"/>
          <w:szCs w:val="20"/>
          <w:color w:val="auto"/>
        </w:rPr>
      </w:pPr>
    </w:p>
    <w:p>
      <w:pPr>
        <w:ind w:left="1300" w:right="4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 Eligible Participant that receives an Offer may nominate a Permitted Nominee to hold the Options on their behalf by providing details of the Permitted Nominee on the Acceptance Form and having the Permitted Nominee sign the Acceptance Form.</w:t>
      </w:r>
    </w:p>
    <w:p>
      <w:pPr>
        <w:spacing w:after="0" w:line="229" w:lineRule="exact"/>
        <w:rPr>
          <w:rFonts w:ascii="Arial" w:cs="Arial" w:eastAsia="Arial" w:hAnsi="Arial"/>
          <w:sz w:val="18"/>
          <w:szCs w:val="18"/>
          <w:color w:val="auto"/>
        </w:rPr>
      </w:pPr>
    </w:p>
    <w:p>
      <w:pPr>
        <w:ind w:left="1300" w:right="300" w:hanging="644"/>
        <w:spacing w:after="0" w:line="246"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Board can, in its absolute discretion and without providing an explanation, decide whether or not to grant a Permitted Nominee (nominated by an Eligible Participant) Options.</w:t>
      </w:r>
    </w:p>
    <w:p>
      <w:pPr>
        <w:spacing w:after="0" w:line="183" w:lineRule="exact"/>
        <w:rPr>
          <w:rFonts w:ascii="Arial" w:cs="Arial" w:eastAsia="Arial" w:hAnsi="Arial"/>
          <w:sz w:val="18"/>
          <w:szCs w:val="18"/>
          <w:color w:val="auto"/>
        </w:rPr>
      </w:pPr>
    </w:p>
    <w:p>
      <w:pPr>
        <w:ind w:left="1300" w:right="600" w:hanging="644"/>
        <w:spacing w:after="0" w:line="246"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Where the Board decides not to grant Options to a Permitted Nominee, the Board will grant the Options to the Eligible Participant instead and the Eligible Participant is taken to have accepted the Offer personally.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 Eligible Participant must immediately notify the Company in writing as soon as they become aware:</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that they cease to Control their Permitted Nominee;</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of any transaction which may result in them ceasing to Control their Permitted Nominee; or</w:t>
      </w:r>
    </w:p>
    <w:p>
      <w:pPr>
        <w:spacing w:after="0" w:line="198" w:lineRule="exact"/>
        <w:rPr>
          <w:rFonts w:ascii="Arial" w:cs="Arial" w:eastAsia="Arial" w:hAnsi="Arial"/>
          <w:sz w:val="18"/>
          <w:szCs w:val="18"/>
          <w:color w:val="auto"/>
        </w:rPr>
      </w:pPr>
    </w:p>
    <w:p>
      <w:pPr>
        <w:ind w:left="1960" w:right="600" w:hanging="656"/>
        <w:spacing w:after="0" w:line="246" w:lineRule="auto"/>
        <w:tabs>
          <w:tab w:leader="none" w:pos="19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that they cease to have an entitlement (whether or not that entitlement requires an exercise of discretion) to a majority of the distributions of their Permitted Nominee.</w:t>
      </w:r>
    </w:p>
    <w:p>
      <w:pPr>
        <w:spacing w:after="0" w:line="183" w:lineRule="exact"/>
        <w:rPr>
          <w:rFonts w:ascii="Arial" w:cs="Arial" w:eastAsia="Arial" w:hAnsi="Arial"/>
          <w:sz w:val="18"/>
          <w:szCs w:val="18"/>
          <w:color w:val="auto"/>
        </w:rPr>
      </w:pPr>
    </w:p>
    <w:p>
      <w:pPr>
        <w:ind w:left="1300" w:right="200" w:hanging="644"/>
        <w:spacing w:after="0" w:line="246"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an Eligible Participant ceases to Control their Permitted Nominee at any time, the Board may determine that any Options granted to the Permitted Nominee be transferred to the Eligible Participant.</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No payment for grant of Options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Participant is not required to pay for the grant of an Option.</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b w:val="1"/>
          <w:bCs w:val="1"/>
          <w:color w:val="auto"/>
        </w:rPr>
        <w:t>Option statement or certificate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will, within ten Business Days after the Participant is granted the Options, deliver to each Participant:</w:t>
      </w:r>
    </w:p>
    <w:p>
      <w:pPr>
        <w:spacing w:after="0" w:line="198" w:lineRule="exact"/>
        <w:rPr>
          <w:sz w:val="20"/>
          <w:szCs w:val="20"/>
          <w:color w:val="auto"/>
        </w:rPr>
      </w:pPr>
    </w:p>
    <w:p>
      <w:pPr>
        <w:ind w:left="1300" w:hanging="644"/>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statement in the form the Board decides evidencing the grant of the Options; or</w:t>
      </w:r>
    </w:p>
    <w:p>
      <w:pPr>
        <w:spacing w:after="0" w:line="238" w:lineRule="exact"/>
        <w:rPr>
          <w:rFonts w:ascii="Arial" w:cs="Arial" w:eastAsia="Arial" w:hAnsi="Arial"/>
          <w:sz w:val="18"/>
          <w:szCs w:val="18"/>
          <w:color w:val="auto"/>
        </w:rPr>
      </w:pPr>
    </w:p>
    <w:p>
      <w:pPr>
        <w:ind w:left="1300" w:right="320" w:hanging="644"/>
        <w:spacing w:after="0" w:line="246" w:lineRule="auto"/>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required by the Constitution or otherwise by law, a certificate evidencing the grant of the Options in accordance with the Constitution or law.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66"/>
        </w:trPr>
        <w:tc>
          <w:tcPr>
            <w:tcW w:w="79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65" w:right="339" w:bottom="1440" w:gutter="0" w:footer="0" w:header="0"/>
        </w:sectPr>
      </w:pPr>
    </w:p>
    <w:bookmarkStart w:id="209" w:name="page210"/>
    <w:bookmarkEnd w:id="209"/>
    <w:p>
      <w:pPr>
        <w:spacing w:after="0"/>
        <w:tabs>
          <w:tab w:leader="none" w:pos="6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b w:val="1"/>
          <w:bCs w:val="1"/>
          <w:color w:val="auto"/>
        </w:rPr>
        <w:t>Register of Options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must maintain a register of the Options.</w:t>
      </w:r>
    </w:p>
    <w:p>
      <w:pPr>
        <w:spacing w:after="0" w:line="176" w:lineRule="exact"/>
        <w:rPr>
          <w:sz w:val="20"/>
          <w:szCs w:val="20"/>
          <w:color w:val="auto"/>
        </w:rPr>
      </w:pPr>
    </w:p>
    <w:p>
      <w:pPr>
        <w:ind w:left="660" w:hanging="652"/>
        <w:spacing w:after="0"/>
        <w:tabs>
          <w:tab w:leader="none" w:pos="6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Rights to acquire Shares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Option entitles a Participant to acquire one Share:</w:t>
      </w:r>
    </w:p>
    <w:p>
      <w:pPr>
        <w:spacing w:after="0" w:line="198" w:lineRule="exact"/>
        <w:rPr>
          <w:sz w:val="20"/>
          <w:szCs w:val="20"/>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provided any acquisition of Shares does not breach the Corporations Act or the Listing Rules;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provided any Vesting Conditions have been satisfied;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during the Exercise Period;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for payment of the Exercise Price; and</w:t>
      </w:r>
    </w:p>
    <w:p>
      <w:pPr>
        <w:spacing w:after="0" w:line="198" w:lineRule="exact"/>
        <w:rPr>
          <w:rFonts w:ascii="Arial" w:cs="Arial" w:eastAsia="Arial" w:hAnsi="Arial"/>
          <w:sz w:val="18"/>
          <w:szCs w:val="18"/>
          <w:color w:val="auto"/>
        </w:rPr>
      </w:pPr>
    </w:p>
    <w:p>
      <w:pPr>
        <w:ind w:left="1300" w:right="380" w:hanging="644"/>
        <w:spacing w:after="0" w:line="246" w:lineRule="auto"/>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otherwise in the manner required by the Board and specified in writing to the Eligible Participant at the time the Option is granted.</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Exercise price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Exercise Price is the amount set out in the Offer.</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Right to exercise and lapse</w:t>
      </w:r>
    </w:p>
    <w:p>
      <w:pPr>
        <w:spacing w:after="0" w:line="220" w:lineRule="exact"/>
        <w:rPr>
          <w:sz w:val="20"/>
          <w:szCs w:val="20"/>
          <w:color w:val="auto"/>
        </w:rPr>
      </w:pPr>
    </w:p>
    <w:p>
      <w:pPr>
        <w:ind w:left="1300" w:hanging="644"/>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Subject to rule 4.1, a Participant may exercise an Option at any time in the Exercise Period by:</w:t>
      </w:r>
    </w:p>
    <w:p>
      <w:pPr>
        <w:spacing w:after="0" w:line="238" w:lineRule="exact"/>
        <w:rPr>
          <w:rFonts w:ascii="Arial" w:cs="Arial" w:eastAsia="Arial" w:hAnsi="Arial"/>
          <w:sz w:val="18"/>
          <w:szCs w:val="18"/>
          <w:color w:val="auto"/>
        </w:rPr>
      </w:pPr>
    </w:p>
    <w:p>
      <w:pPr>
        <w:ind w:left="1960" w:hanging="656"/>
        <w:spacing w:after="0"/>
        <w:tabs>
          <w:tab w:leader="none" w:pos="19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delivering a Notice of Exercise; and</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paying the Exercise Price, to the Company.</w:t>
      </w:r>
    </w:p>
    <w:p>
      <w:pPr>
        <w:spacing w:after="0" w:line="198" w:lineRule="exact"/>
        <w:rPr>
          <w:rFonts w:ascii="Arial" w:cs="Arial" w:eastAsia="Arial" w:hAnsi="Arial"/>
          <w:sz w:val="18"/>
          <w:szCs w:val="18"/>
          <w:color w:val="auto"/>
        </w:rPr>
      </w:pPr>
    </w:p>
    <w:p>
      <w:pPr>
        <w:ind w:left="1300" w:right="120" w:hanging="644"/>
        <w:spacing w:after="0" w:line="246" w:lineRule="auto"/>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Unless the Board decides otherwise, an Option that has not been exercised on or before the Expiry Date, lapses on the day after the Expiry Date.</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Lapse of Options</w:t>
      </w:r>
    </w:p>
    <w:p>
      <w:pPr>
        <w:spacing w:after="0" w:line="220" w:lineRule="exact"/>
        <w:rPr>
          <w:sz w:val="20"/>
          <w:szCs w:val="20"/>
          <w:color w:val="auto"/>
        </w:rPr>
      </w:pPr>
    </w:p>
    <w:p>
      <w:pPr>
        <w:ind w:left="640" w:right="80"/>
        <w:spacing w:after="0" w:line="246" w:lineRule="auto"/>
        <w:rPr>
          <w:sz w:val="20"/>
          <w:szCs w:val="20"/>
          <w:color w:val="auto"/>
        </w:rPr>
      </w:pPr>
      <w:r>
        <w:rPr>
          <w:rFonts w:ascii="Arial" w:cs="Arial" w:eastAsia="Arial" w:hAnsi="Arial"/>
          <w:sz w:val="18"/>
          <w:szCs w:val="18"/>
          <w:color w:val="auto"/>
        </w:rPr>
        <w:t>Subject to rule 4.1 and unless the Board decides otherwise, if an event in the table below occurs in respect of an Eligible Participant, the Eligible Participant’s Options are treated in accordance with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79"/>
        </w:trPr>
        <w:tc>
          <w:tcPr>
            <w:tcW w:w="79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0" w:right="339" w:bottom="1440" w:gutter="0" w:footer="0" w:header="0"/>
        </w:sectPr>
      </w:pPr>
    </w:p>
    <w:bookmarkStart w:id="210" w:name="page211"/>
    <w:bookmarkEnd w:id="2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20" w:type="dxa"/>
            <w:vAlign w:val="bottom"/>
            <w:tcBorders>
              <w:right w:val="single" w:sz="8" w:color="auto"/>
            </w:tcBorders>
          </w:tcPr>
          <w:p>
            <w:pPr>
              <w:spacing w:after="0"/>
              <w:rPr>
                <w:sz w:val="21"/>
                <w:szCs w:val="21"/>
                <w:color w:val="auto"/>
              </w:rPr>
            </w:pPr>
          </w:p>
        </w:tc>
        <w:tc>
          <w:tcPr>
            <w:tcW w:w="3600" w:type="dxa"/>
            <w:vAlign w:val="bottom"/>
            <w:tcBorders>
              <w:top w:val="single" w:sz="8" w:color="auto"/>
              <w:bottom w:val="single" w:sz="8" w:color="auto"/>
              <w:right w:val="single" w:sz="8" w:color="auto"/>
            </w:tcBorders>
            <w:shd w:val="clear" w:color="auto" w:fill="DCDCDC"/>
          </w:tcPr>
          <w:p>
            <w:pPr>
              <w:ind w:left="120"/>
              <w:spacing w:after="0"/>
              <w:rPr>
                <w:sz w:val="20"/>
                <w:szCs w:val="20"/>
                <w:color w:val="auto"/>
              </w:rPr>
            </w:pPr>
            <w:r>
              <w:rPr>
                <w:rFonts w:ascii="Arial" w:cs="Arial" w:eastAsia="Arial" w:hAnsi="Arial"/>
                <w:sz w:val="18"/>
                <w:szCs w:val="18"/>
                <w:b w:val="1"/>
                <w:bCs w:val="1"/>
                <w:color w:val="auto"/>
              </w:rPr>
              <w:t>Event</w:t>
            </w:r>
          </w:p>
        </w:tc>
        <w:tc>
          <w:tcPr>
            <w:tcW w:w="3460" w:type="dxa"/>
            <w:vAlign w:val="bottom"/>
            <w:tcBorders>
              <w:top w:val="single" w:sz="8" w:color="auto"/>
              <w:bottom w:val="single" w:sz="8" w:color="auto"/>
              <w:right w:val="single" w:sz="8" w:color="auto"/>
            </w:tcBorders>
            <w:shd w:val="clear" w:color="auto" w:fill="DCDCDC"/>
          </w:tcPr>
          <w:p>
            <w:pPr>
              <w:ind w:left="60"/>
              <w:spacing w:after="0"/>
              <w:rPr>
                <w:sz w:val="20"/>
                <w:szCs w:val="20"/>
                <w:color w:val="auto"/>
              </w:rPr>
            </w:pPr>
            <w:r>
              <w:rPr>
                <w:rFonts w:ascii="Arial" w:cs="Arial" w:eastAsia="Arial" w:hAnsi="Arial"/>
                <w:sz w:val="18"/>
                <w:szCs w:val="18"/>
                <w:b w:val="1"/>
                <w:bCs w:val="1"/>
                <w:color w:val="auto"/>
              </w:rPr>
              <w:t>On or before Exercise Date</w:t>
            </w:r>
          </w:p>
        </w:tc>
        <w:tc>
          <w:tcPr>
            <w:tcW w:w="3600" w:type="dxa"/>
            <w:vAlign w:val="bottom"/>
            <w:tcBorders>
              <w:top w:val="single" w:sz="8" w:color="auto"/>
              <w:bottom w:val="single" w:sz="8" w:color="auto"/>
              <w:right w:val="single" w:sz="8" w:color="auto"/>
            </w:tcBorders>
            <w:shd w:val="clear" w:color="auto" w:fill="DCDCDC"/>
          </w:tcPr>
          <w:p>
            <w:pPr>
              <w:ind w:left="100"/>
              <w:spacing w:after="0"/>
              <w:rPr>
                <w:sz w:val="20"/>
                <w:szCs w:val="20"/>
                <w:color w:val="auto"/>
              </w:rPr>
            </w:pPr>
            <w:r>
              <w:rPr>
                <w:rFonts w:ascii="Arial" w:cs="Arial" w:eastAsia="Arial" w:hAnsi="Arial"/>
                <w:sz w:val="18"/>
                <w:szCs w:val="18"/>
                <w:b w:val="1"/>
                <w:bCs w:val="1"/>
                <w:color w:val="auto"/>
              </w:rPr>
              <w:t>During the Exercise Period</w:t>
            </w:r>
          </w:p>
        </w:tc>
      </w:tr>
      <w:tr>
        <w:trPr>
          <w:trHeight w:val="178"/>
        </w:trPr>
        <w:tc>
          <w:tcPr>
            <w:tcW w:w="42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Eligible Participant’s lawful termination</w:t>
            </w:r>
          </w:p>
        </w:tc>
        <w:tc>
          <w:tcPr>
            <w:tcW w:w="346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8"/>
                <w:szCs w:val="18"/>
                <w:color w:val="auto"/>
              </w:rPr>
              <w:t>Options lapse</w:t>
            </w:r>
          </w:p>
        </w:tc>
        <w:tc>
          <w:tcPr>
            <w:tcW w:w="3600" w:type="dxa"/>
            <w:vAlign w:val="bottom"/>
            <w:tcBorders>
              <w:right w:val="single" w:sz="8" w:color="auto"/>
            </w:tcBorders>
          </w:tcPr>
          <w:p>
            <w:pPr>
              <w:ind w:left="100"/>
              <w:spacing w:after="0" w:line="178" w:lineRule="exact"/>
              <w:rPr>
                <w:sz w:val="20"/>
                <w:szCs w:val="20"/>
                <w:color w:val="auto"/>
              </w:rPr>
            </w:pPr>
            <w:r>
              <w:rPr>
                <w:rFonts w:ascii="Arial" w:cs="Arial" w:eastAsia="Arial" w:hAnsi="Arial"/>
                <w:sz w:val="18"/>
                <w:szCs w:val="18"/>
                <w:color w:val="auto"/>
              </w:rPr>
              <w:t>The Expiry Date is the Termination Date or</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from employment with the Group or</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 later date decided by the Board</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consultancy arrangement with the Group,</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but not for serious breach of the</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employment contract or consultancy</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agreement</w:t>
            </w:r>
          </w:p>
        </w:tc>
        <w:tc>
          <w:tcPr>
            <w:tcW w:w="346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r>
      <w:tr>
        <w:trPr>
          <w:trHeight w:val="195"/>
        </w:trPr>
        <w:tc>
          <w:tcPr>
            <w:tcW w:w="42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Eligible Participant’s lawful termination</w:t>
            </w:r>
          </w:p>
        </w:tc>
        <w:tc>
          <w:tcPr>
            <w:tcW w:w="34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Options lapse</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 Expiry Date is the Termination Date or</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from employment with the Group or</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 later date decided by the Board</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consultancy arrangement with the Group,</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for serious breach of the employment</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contract or consultancy agreement</w:t>
            </w:r>
          </w:p>
        </w:tc>
        <w:tc>
          <w:tcPr>
            <w:tcW w:w="346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r>
      <w:tr>
        <w:trPr>
          <w:trHeight w:val="195"/>
        </w:trPr>
        <w:tc>
          <w:tcPr>
            <w:tcW w:w="42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Eligible Participant’s resignation or</w:t>
            </w:r>
          </w:p>
        </w:tc>
        <w:tc>
          <w:tcPr>
            <w:tcW w:w="34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Options lapse</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 Expiry Date is date of the resignation,</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vacation from the Board, employment or</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a later date decided by the Board</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consultancy with the Group.</w:t>
            </w:r>
          </w:p>
        </w:tc>
        <w:tc>
          <w:tcPr>
            <w:tcW w:w="346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r>
      <w:tr>
        <w:trPr>
          <w:trHeight w:val="195"/>
        </w:trPr>
        <w:tc>
          <w:tcPr>
            <w:tcW w:w="42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Eligible Participant being made redundant</w:t>
            </w:r>
          </w:p>
        </w:tc>
        <w:tc>
          <w:tcPr>
            <w:tcW w:w="34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Options lapse</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 Expiry Date is the date of the</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redundancy, or later date is decided by the</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Board</w:t>
            </w:r>
          </w:p>
        </w:tc>
      </w:tr>
      <w:tr>
        <w:trPr>
          <w:trHeight w:val="195"/>
        </w:trPr>
        <w:tc>
          <w:tcPr>
            <w:tcW w:w="42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Death or disability (so that unable to</w:t>
            </w:r>
          </w:p>
        </w:tc>
        <w:tc>
          <w:tcPr>
            <w:tcW w:w="34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Options lapse 90 days after the date of</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There is no adjustment and the</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perform normal duties - in the opinion of a</w:t>
            </w:r>
          </w:p>
        </w:tc>
        <w:tc>
          <w:tcPr>
            <w:tcW w:w="3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death or disability</w:t>
            </w:r>
          </w:p>
        </w:tc>
        <w:tc>
          <w:tcPr>
            <w:tcW w:w="3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representative of the Eligible Participant’s</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medical practitioner nominated by the</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estate may exercise the Options before the</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board) of the Eligible Participant</w:t>
            </w:r>
          </w:p>
        </w:tc>
        <w:tc>
          <w:tcPr>
            <w:tcW w:w="346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Expiry Date</w:t>
            </w:r>
          </w:p>
        </w:tc>
      </w:tr>
      <w:tr>
        <w:trPr>
          <w:trHeight w:val="195"/>
        </w:trPr>
        <w:tc>
          <w:tcPr>
            <w:tcW w:w="420" w:type="dxa"/>
            <w:vAlign w:val="bottom"/>
            <w:tcBorders>
              <w:right w:val="single" w:sz="8" w:color="auto"/>
            </w:tcBorders>
          </w:tcPr>
          <w:p>
            <w:pPr>
              <w:spacing w:after="0"/>
              <w:rPr>
                <w:sz w:val="16"/>
                <w:szCs w:val="16"/>
                <w:color w:val="auto"/>
              </w:rPr>
            </w:pPr>
          </w:p>
        </w:tc>
        <w:tc>
          <w:tcPr>
            <w:tcW w:w="36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Eligible Participant loses Control of their</w:t>
            </w:r>
          </w:p>
        </w:tc>
        <w:tc>
          <w:tcPr>
            <w:tcW w:w="34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Options lapse</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Options lapse</w:t>
            </w: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Permitted Nominee and the Options are</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not transferred to the Eligible Participant</w:t>
            </w:r>
          </w:p>
        </w:tc>
        <w:tc>
          <w:tcPr>
            <w:tcW w:w="346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color w:val="auto"/>
              </w:rPr>
              <w:t>under rule 3.5(e)</w:t>
            </w:r>
          </w:p>
        </w:tc>
        <w:tc>
          <w:tcPr>
            <w:tcW w:w="346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Vesting Condition is unable to be met</w:t>
            </w:r>
          </w:p>
        </w:tc>
        <w:tc>
          <w:tcPr>
            <w:tcW w:w="3460" w:type="dxa"/>
            <w:vAlign w:val="bottom"/>
            <w:tcBorders>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Options lapse</w:t>
            </w:r>
          </w:p>
        </w:tc>
        <w:tc>
          <w:tcPr>
            <w:tcW w:w="360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Options lapse</w:t>
            </w:r>
          </w:p>
        </w:tc>
      </w:tr>
      <w:tr>
        <w:trPr>
          <w:trHeight w:val="412"/>
        </w:trPr>
        <w:tc>
          <w:tcPr>
            <w:tcW w:w="4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4.5</w:t>
            </w:r>
          </w:p>
        </w:tc>
        <w:tc>
          <w:tcPr>
            <w:tcW w:w="3600" w:type="dxa"/>
            <w:vAlign w:val="bottom"/>
          </w:tcPr>
          <w:p>
            <w:pPr>
              <w:ind w:left="200"/>
              <w:spacing w:after="0"/>
              <w:rPr>
                <w:sz w:val="20"/>
                <w:szCs w:val="20"/>
                <w:color w:val="auto"/>
              </w:rPr>
            </w:pPr>
            <w:r>
              <w:rPr>
                <w:rFonts w:ascii="Arial" w:cs="Arial" w:eastAsia="Arial" w:hAnsi="Arial"/>
                <w:sz w:val="18"/>
                <w:szCs w:val="18"/>
                <w:b w:val="1"/>
                <w:bCs w:val="1"/>
                <w:color w:val="auto"/>
              </w:rPr>
              <w:t>General restriction on exercise</w:t>
            </w:r>
          </w:p>
        </w:tc>
        <w:tc>
          <w:tcPr>
            <w:tcW w:w="346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88" w:lineRule="exact"/>
        <w:rPr>
          <w:sz w:val="20"/>
          <w:szCs w:val="20"/>
          <w:color w:val="auto"/>
        </w:rPr>
      </w:pPr>
    </w:p>
    <w:p>
      <w:pPr>
        <w:ind w:left="640" w:right="720"/>
        <w:spacing w:after="0" w:line="246" w:lineRule="auto"/>
        <w:rPr>
          <w:sz w:val="20"/>
          <w:szCs w:val="20"/>
          <w:color w:val="auto"/>
        </w:rPr>
      </w:pPr>
      <w:r>
        <w:rPr>
          <w:rFonts w:ascii="Arial" w:cs="Arial" w:eastAsia="Arial" w:hAnsi="Arial"/>
          <w:sz w:val="18"/>
          <w:szCs w:val="18"/>
          <w:color w:val="auto"/>
        </w:rPr>
        <w:t>A Participant may not exercise an Option if, at the time the Participant proposes to exercise the Option, the Participant (or its associated Eligible Participant) is:</w:t>
      </w:r>
    </w:p>
    <w:p>
      <w:pPr>
        <w:spacing w:after="0" w:line="183" w:lineRule="exact"/>
        <w:rPr>
          <w:sz w:val="20"/>
          <w:szCs w:val="20"/>
          <w:color w:val="auto"/>
        </w:rPr>
      </w:pPr>
    </w:p>
    <w:p>
      <w:pPr>
        <w:ind w:left="1280" w:hanging="665"/>
        <w:spacing w:after="0"/>
        <w:tabs>
          <w:tab w:leader="none" w:pos="12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restricted from trading in the Shares or other securities under the Company’s securities trading policy; or</w:t>
      </w:r>
    </w:p>
    <w:p>
      <w:pPr>
        <w:spacing w:after="0" w:line="198" w:lineRule="exact"/>
        <w:rPr>
          <w:rFonts w:ascii="Arial" w:cs="Arial" w:eastAsia="Arial" w:hAnsi="Arial"/>
          <w:sz w:val="18"/>
          <w:szCs w:val="18"/>
          <w:color w:val="auto"/>
        </w:rPr>
      </w:pPr>
    </w:p>
    <w:p>
      <w:pPr>
        <w:ind w:left="1280" w:hanging="665"/>
        <w:spacing w:after="0"/>
        <w:tabs>
          <w:tab w:leader="none" w:pos="12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possession of price sensitive information about the Group which is not generally available to the public.</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66"/>
        </w:trPr>
        <w:tc>
          <w:tcPr>
            <w:tcW w:w="79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0" w:right="339" w:bottom="1440" w:gutter="0" w:footer="0" w:header="0"/>
        </w:sectPr>
      </w:pPr>
    </w:p>
    <w:bookmarkStart w:id="211" w:name="page212"/>
    <w:bookmarkEnd w:id="211"/>
    <w:p>
      <w:pPr>
        <w:ind w:left="600" w:hanging="592"/>
        <w:spacing w:after="0"/>
        <w:tabs>
          <w:tab w:leader="none" w:pos="6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Rights attaching to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Adjustment for reconstruction</w:t>
      </w:r>
    </w:p>
    <w:p>
      <w:pPr>
        <w:spacing w:after="0" w:line="220" w:lineRule="exact"/>
        <w:rPr>
          <w:sz w:val="20"/>
          <w:szCs w:val="20"/>
          <w:color w:val="auto"/>
        </w:rPr>
      </w:pPr>
    </w:p>
    <w:p>
      <w:pPr>
        <w:ind w:left="640" w:right="620"/>
        <w:spacing w:after="0" w:line="246" w:lineRule="auto"/>
        <w:rPr>
          <w:sz w:val="20"/>
          <w:szCs w:val="20"/>
          <w:color w:val="auto"/>
        </w:rPr>
      </w:pPr>
      <w:r>
        <w:rPr>
          <w:rFonts w:ascii="Arial" w:cs="Arial" w:eastAsia="Arial" w:hAnsi="Arial"/>
          <w:sz w:val="18"/>
          <w:szCs w:val="18"/>
          <w:color w:val="auto"/>
        </w:rPr>
        <w:t>If there is a reconstruction of the issued capital of the Company (including consolidation, sub-division, reduction or return), the number of Shares to be issued on exercise of an Option, the Exercise Price or both, will be adjusted:</w:t>
      </w:r>
    </w:p>
    <w:p>
      <w:pPr>
        <w:spacing w:after="0" w:line="183" w:lineRule="exact"/>
        <w:rPr>
          <w:sz w:val="20"/>
          <w:szCs w:val="20"/>
          <w:color w:val="auto"/>
        </w:rPr>
      </w:pPr>
    </w:p>
    <w:p>
      <w:pPr>
        <w:ind w:left="1280" w:hanging="651"/>
        <w:spacing w:after="0"/>
        <w:tabs>
          <w:tab w:leader="none" w:pos="12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the extent necessary to comply with the Listing Rules applying to a reorganisation of capital; or alternatively</w:t>
      </w:r>
    </w:p>
    <w:p>
      <w:pPr>
        <w:spacing w:after="0" w:line="198" w:lineRule="exact"/>
        <w:rPr>
          <w:rFonts w:ascii="Arial" w:cs="Arial" w:eastAsia="Arial" w:hAnsi="Arial"/>
          <w:sz w:val="18"/>
          <w:szCs w:val="18"/>
          <w:color w:val="auto"/>
        </w:rPr>
      </w:pPr>
    </w:p>
    <w:p>
      <w:pPr>
        <w:ind w:left="1280" w:hanging="651"/>
        <w:spacing w:after="0"/>
        <w:tabs>
          <w:tab w:leader="none" w:pos="12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determined by the Board (acting reasonably).</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Dividends</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Participant does not have the right to participate in dividends on Shares until Shares are issued on the exercise of an Option.</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Voting rights</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Participant does not have the right to vote in respect of an Option.</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Participation in further issues</w:t>
      </w:r>
    </w:p>
    <w:p>
      <w:pPr>
        <w:spacing w:after="0" w:line="220" w:lineRule="exact"/>
        <w:rPr>
          <w:sz w:val="20"/>
          <w:szCs w:val="20"/>
          <w:color w:val="auto"/>
        </w:rPr>
      </w:pPr>
    </w:p>
    <w:p>
      <w:pPr>
        <w:ind w:left="1280" w:right="380" w:hanging="651"/>
        <w:spacing w:after="0" w:line="246" w:lineRule="auto"/>
        <w:tabs>
          <w:tab w:leader="none" w:pos="12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Participant cannot participate in a new issue of Shares without exercising their Options, but for the avoidance of doubt, may be entitled to participate in respect of Shares already held by that Participant.</w:t>
      </w:r>
    </w:p>
    <w:p>
      <w:pPr>
        <w:spacing w:after="0" w:line="183" w:lineRule="exact"/>
        <w:rPr>
          <w:rFonts w:ascii="Arial" w:cs="Arial" w:eastAsia="Arial" w:hAnsi="Arial"/>
          <w:sz w:val="18"/>
          <w:szCs w:val="18"/>
          <w:color w:val="auto"/>
        </w:rPr>
      </w:pPr>
    </w:p>
    <w:p>
      <w:pPr>
        <w:ind w:left="1280" w:right="80" w:hanging="651"/>
        <w:spacing w:after="0"/>
        <w:tabs>
          <w:tab w:leader="none" w:pos="12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there is a pro rata issue (except a bonus issue) to the holders of Shares (other than an issue in lieu or in satisfaction of dividends or by way of dividend reinvestment), the Board may reduce the Exercise Price of an Option in accordance with the formula specified in Listing Rule 6.22.2.</w:t>
      </w:r>
    </w:p>
    <w:p>
      <w:pPr>
        <w:spacing w:after="0" w:line="189" w:lineRule="exact"/>
        <w:rPr>
          <w:rFonts w:ascii="Arial" w:cs="Arial" w:eastAsia="Arial" w:hAnsi="Arial"/>
          <w:sz w:val="18"/>
          <w:szCs w:val="18"/>
          <w:color w:val="auto"/>
        </w:rPr>
      </w:pPr>
    </w:p>
    <w:p>
      <w:pPr>
        <w:ind w:left="1280" w:right="60" w:hanging="651"/>
        <w:spacing w:after="0" w:line="238" w:lineRule="auto"/>
        <w:tabs>
          <w:tab w:leader="none" w:pos="12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the event of a bonus issue of Shares being made pro rata to Shareholders, (other than an issue in lieu of dividends), the number of Shares issued on exercise of each Option will include the number of bonus Shares that would have been issued if the Option had been exercised prior to the record date for the bonus issue. No adjustment will be made to the exercise price per Share of the Option.</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7"/>
          <w:szCs w:val="17"/>
          <w:b w:val="1"/>
          <w:bCs w:val="1"/>
          <w:color w:val="auto"/>
        </w:rPr>
        <w:t>Transfer</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rule 5.6, Participants must not Dispose or deal with Options, or any interest in Options.</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7"/>
          <w:szCs w:val="17"/>
          <w:b w:val="1"/>
          <w:bCs w:val="1"/>
          <w:color w:val="auto"/>
        </w:rPr>
        <w:t>Transmission</w:t>
      </w:r>
    </w:p>
    <w:p>
      <w:pPr>
        <w:spacing w:after="0" w:line="220" w:lineRule="exact"/>
        <w:rPr>
          <w:sz w:val="20"/>
          <w:szCs w:val="20"/>
          <w:color w:val="auto"/>
        </w:rPr>
      </w:pPr>
    </w:p>
    <w:p>
      <w:pPr>
        <w:ind w:left="640" w:right="460"/>
        <w:spacing w:after="0" w:line="246" w:lineRule="auto"/>
        <w:rPr>
          <w:sz w:val="20"/>
          <w:szCs w:val="20"/>
          <w:color w:val="auto"/>
        </w:rPr>
      </w:pPr>
      <w:r>
        <w:rPr>
          <w:rFonts w:ascii="Arial" w:cs="Arial" w:eastAsia="Arial" w:hAnsi="Arial"/>
          <w:sz w:val="18"/>
          <w:szCs w:val="18"/>
          <w:color w:val="auto"/>
        </w:rPr>
        <w:t>The transmission of Options to a legal personal representative of an Eligible Participant following an Eligible Participant’s death, may be made without the prior written consent of the Board.</w:t>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8"/>
          <w:szCs w:val="18"/>
          <w:b w:val="1"/>
          <w:bCs w:val="1"/>
          <w:color w:val="auto"/>
        </w:rPr>
        <w:t>Quotation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will not apply to ASX for official quotation of any of the Options.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79"/>
        </w:trPr>
        <w:tc>
          <w:tcPr>
            <w:tcW w:w="79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3" w:right="339" w:bottom="1440" w:gutter="0" w:footer="0" w:header="0"/>
        </w:sectPr>
      </w:pPr>
    </w:p>
    <w:bookmarkStart w:id="212" w:name="page213"/>
    <w:bookmarkEnd w:id="212"/>
    <w:p>
      <w:pPr>
        <w:ind w:left="660" w:hanging="652"/>
        <w:spacing w:after="0"/>
        <w:tabs>
          <w:tab w:leader="none" w:pos="6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No interest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660" w:right="860"/>
        <w:spacing w:after="0" w:line="246" w:lineRule="auto"/>
        <w:rPr>
          <w:sz w:val="20"/>
          <w:szCs w:val="20"/>
          <w:color w:val="auto"/>
        </w:rPr>
      </w:pPr>
      <w:r>
        <w:rPr>
          <w:rFonts w:ascii="Arial" w:cs="Arial" w:eastAsia="Arial" w:hAnsi="Arial"/>
          <w:sz w:val="18"/>
          <w:szCs w:val="18"/>
          <w:color w:val="auto"/>
        </w:rPr>
        <w:t>A Participant has no interest in Shares the subject of Options until the Options are exercised and Shares are issued to that Participant.</w:t>
      </w:r>
    </w:p>
    <w:p>
      <w:pPr>
        <w:spacing w:after="0" w:line="161" w:lineRule="exact"/>
        <w:rPr>
          <w:sz w:val="20"/>
          <w:szCs w:val="20"/>
          <w:color w:val="auto"/>
        </w:rPr>
      </w:pPr>
    </w:p>
    <w:p>
      <w:pPr>
        <w:ind w:left="660" w:hanging="652"/>
        <w:spacing w:after="0"/>
        <w:tabs>
          <w:tab w:leader="none" w:pos="6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Board to notify Participant of Change of Control Trigger Event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must, as soon as reasonably practicable, give written notice to each Participant of a Change of Control Trigger Event.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Options exercisable on Change of Control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Board decides otherwise, if a Change of Control Trigger Event occurs, all Options vest immediately and may be exercised by a Participant (regardless of whether any Vesting Conditions have been satisfied) by delivering a Notice of Exercise, and payment of the Exercise Price, to the Company.</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Action available to the Board for unexercised Options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Change of Control Trigger Event occurs, the Company may:</w:t>
      </w:r>
    </w:p>
    <w:p>
      <w:pPr>
        <w:spacing w:after="0" w:line="198" w:lineRule="exact"/>
        <w:rPr>
          <w:sz w:val="20"/>
          <w:szCs w:val="20"/>
          <w:color w:val="auto"/>
        </w:rPr>
      </w:pPr>
    </w:p>
    <w:p>
      <w:pPr>
        <w:ind w:left="1280" w:hanging="624"/>
        <w:spacing w:after="0"/>
        <w:tabs>
          <w:tab w:leader="none" w:pos="1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buy-back Options held by a Participant for:</w:t>
      </w:r>
    </w:p>
    <w:p>
      <w:pPr>
        <w:spacing w:after="0" w:line="198" w:lineRule="exact"/>
        <w:rPr>
          <w:rFonts w:ascii="Arial" w:cs="Arial" w:eastAsia="Arial" w:hAnsi="Arial"/>
          <w:sz w:val="18"/>
          <w:szCs w:val="18"/>
          <w:color w:val="auto"/>
        </w:rPr>
      </w:pPr>
    </w:p>
    <w:p>
      <w:pPr>
        <w:ind w:left="1900" w:hanging="623"/>
        <w:spacing w:after="0"/>
        <w:tabs>
          <w:tab w:leader="none" w:pos="19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 amount agreed with the Participant; or</w:t>
      </w:r>
    </w:p>
    <w:p>
      <w:pPr>
        <w:spacing w:after="0" w:line="198" w:lineRule="exact"/>
        <w:rPr>
          <w:rFonts w:ascii="Arial" w:cs="Arial" w:eastAsia="Arial" w:hAnsi="Arial"/>
          <w:sz w:val="18"/>
          <w:szCs w:val="18"/>
          <w:color w:val="auto"/>
        </w:rPr>
      </w:pPr>
    </w:p>
    <w:p>
      <w:pPr>
        <w:ind w:left="1900" w:right="20" w:hanging="623"/>
        <w:spacing w:after="0"/>
        <w:tabs>
          <w:tab w:leader="none" w:pos="19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fair value of the Options, being the value of the Options decided by the Board and calculated in accordance with the Black-Scholes valuation model (as set out in the Annexure), using a volatility factor calculated using the closing price of Shares on ASX for the 12 months before the date of the calculation, without the agreement of the Participant;</w:t>
      </w:r>
    </w:p>
    <w:p>
      <w:pPr>
        <w:spacing w:after="0" w:line="189" w:lineRule="exact"/>
        <w:rPr>
          <w:rFonts w:ascii="Arial" w:cs="Arial" w:eastAsia="Arial" w:hAnsi="Arial"/>
          <w:sz w:val="18"/>
          <w:szCs w:val="18"/>
          <w:color w:val="auto"/>
        </w:rPr>
      </w:pPr>
    </w:p>
    <w:p>
      <w:pPr>
        <w:ind w:left="1280" w:right="60" w:hanging="624"/>
        <w:spacing w:after="0" w:line="238" w:lineRule="auto"/>
        <w:tabs>
          <w:tab w:leader="none" w:pos="1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arrange for options to acquire shares in the Bidder to be granted to the Participants on substantially the same terms as the Options, but with any appropriate and reasonable adjustments decided by the Board to the number of shares in the Bidder to be issued on exercise of those options or the exercise price of those options, to ensure the Participants are not materially financially disadvantaged;</w:t>
      </w:r>
    </w:p>
    <w:p>
      <w:pPr>
        <w:spacing w:after="0" w:line="191" w:lineRule="exact"/>
        <w:rPr>
          <w:rFonts w:ascii="Arial" w:cs="Arial" w:eastAsia="Arial" w:hAnsi="Arial"/>
          <w:sz w:val="18"/>
          <w:szCs w:val="18"/>
          <w:color w:val="auto"/>
        </w:rPr>
      </w:pPr>
    </w:p>
    <w:p>
      <w:pPr>
        <w:ind w:left="1280" w:hanging="624"/>
        <w:spacing w:after="0"/>
        <w:tabs>
          <w:tab w:leader="none" w:pos="1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allow the Options to continue in accordance with their terms; or</w:t>
      </w:r>
    </w:p>
    <w:p>
      <w:pPr>
        <w:spacing w:after="0" w:line="198" w:lineRule="exact"/>
        <w:rPr>
          <w:rFonts w:ascii="Arial" w:cs="Arial" w:eastAsia="Arial" w:hAnsi="Arial"/>
          <w:sz w:val="18"/>
          <w:szCs w:val="18"/>
          <w:color w:val="auto"/>
        </w:rPr>
      </w:pPr>
    </w:p>
    <w:p>
      <w:pPr>
        <w:ind w:left="1280" w:hanging="624"/>
        <w:spacing w:after="0"/>
        <w:tabs>
          <w:tab w:leader="none" w:pos="1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proceed with a combination of any of the alternatives in rules 7.3(a), 7.3(b) or 7.3(c).</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Participants to cooperate and attorney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Participant:</w:t>
      </w:r>
    </w:p>
    <w:p>
      <w:pPr>
        <w:spacing w:after="0" w:line="198" w:lineRule="exact"/>
        <w:rPr>
          <w:sz w:val="20"/>
          <w:szCs w:val="20"/>
          <w:color w:val="auto"/>
        </w:rPr>
      </w:pPr>
    </w:p>
    <w:p>
      <w:pPr>
        <w:ind w:left="1280" w:right="480" w:hanging="624"/>
        <w:spacing w:after="0" w:line="246" w:lineRule="auto"/>
        <w:tabs>
          <w:tab w:leader="none" w:pos="1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must do all acts, matters or things which are necessary or desirable to give effect to a buy-back or exchange of Options under rule 7.3; and</w:t>
      </w:r>
    </w:p>
    <w:p>
      <w:pPr>
        <w:spacing w:after="0" w:line="183" w:lineRule="exact"/>
        <w:rPr>
          <w:rFonts w:ascii="Arial" w:cs="Arial" w:eastAsia="Arial" w:hAnsi="Arial"/>
          <w:sz w:val="18"/>
          <w:szCs w:val="18"/>
          <w:color w:val="auto"/>
        </w:rPr>
      </w:pPr>
    </w:p>
    <w:p>
      <w:pPr>
        <w:ind w:left="1280" w:hanging="624"/>
        <w:spacing w:after="0"/>
        <w:tabs>
          <w:tab w:leader="none" w:pos="12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irrevocably appoints any two Directors as its attorney for the purpose of performing any act required of it under rule 7.4.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66"/>
        </w:trPr>
        <w:tc>
          <w:tcPr>
            <w:tcW w:w="79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7" w:right="339" w:bottom="1440" w:gutter="0" w:footer="0" w:header="0"/>
        </w:sectPr>
      </w:pPr>
    </w:p>
    <w:bookmarkStart w:id="213" w:name="page214"/>
    <w:bookmarkEnd w:id="213"/>
    <w:p>
      <w:pPr>
        <w:ind w:right="8200" w:firstLine="8"/>
        <w:spacing w:after="0" w:line="498" w:lineRule="auto"/>
        <w:tabs>
          <w:tab w:leader="none" w:pos="648"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 on Exercise 8.1 Issue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right="620"/>
        <w:spacing w:after="0" w:line="246" w:lineRule="auto"/>
        <w:rPr>
          <w:sz w:val="20"/>
          <w:szCs w:val="20"/>
          <w:color w:val="auto"/>
        </w:rPr>
      </w:pPr>
      <w:r>
        <w:rPr>
          <w:rFonts w:ascii="Arial" w:cs="Arial" w:eastAsia="Arial" w:hAnsi="Arial"/>
          <w:sz w:val="18"/>
          <w:szCs w:val="18"/>
          <w:color w:val="auto"/>
        </w:rPr>
        <w:t>The Company will issue Shares to a Participant at the next Board meeting, or within 20 Business Days, whichever first occurs after receiving a valid Notice of Exercise and the Exercise Price.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Application for quotation</w:t>
      </w:r>
    </w:p>
    <w:p>
      <w:pPr>
        <w:spacing w:after="0" w:line="220" w:lineRule="exact"/>
        <w:rPr>
          <w:sz w:val="20"/>
          <w:szCs w:val="20"/>
          <w:color w:val="auto"/>
        </w:rPr>
      </w:pPr>
    </w:p>
    <w:p>
      <w:pPr>
        <w:ind w:left="660" w:right="360"/>
        <w:spacing w:after="0"/>
        <w:rPr>
          <w:sz w:val="20"/>
          <w:szCs w:val="20"/>
          <w:color w:val="auto"/>
        </w:rPr>
      </w:pPr>
      <w:r>
        <w:rPr>
          <w:rFonts w:ascii="Arial" w:cs="Arial" w:eastAsia="Arial" w:hAnsi="Arial"/>
          <w:sz w:val="18"/>
          <w:szCs w:val="18"/>
          <w:color w:val="auto"/>
        </w:rPr>
        <w:t>If the Shares are officially quoted by ASX, the Company will apply to ASX for official quotation of any Shares issued to a Participant after exercise of Options within the time prescribed by the Listing Rules but, in any event, within ten Business Days of the issue of those Shares.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Ranking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Share issued on the exercise of any Option ranks equally with all existing Shares of that class from the date of allotment.</w:t>
      </w:r>
    </w:p>
    <w:p>
      <w:pPr>
        <w:spacing w:after="0" w:line="176" w:lineRule="exact"/>
        <w:rPr>
          <w:sz w:val="20"/>
          <w:szCs w:val="20"/>
          <w:color w:val="auto"/>
        </w:rPr>
      </w:pPr>
    </w:p>
    <w:p>
      <w:pPr>
        <w:ind w:left="660" w:hanging="652"/>
        <w:spacing w:after="0"/>
        <w:tabs>
          <w:tab w:leader="none" w:pos="6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Disposal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No disposal of Shares for a specified period</w:t>
      </w:r>
    </w:p>
    <w:p>
      <w:pPr>
        <w:spacing w:after="0" w:line="220" w:lineRule="exact"/>
        <w:rPr>
          <w:sz w:val="20"/>
          <w:szCs w:val="20"/>
          <w:color w:val="auto"/>
        </w:rPr>
      </w:pPr>
    </w:p>
    <w:p>
      <w:pPr>
        <w:ind w:left="660" w:right="780"/>
        <w:spacing w:after="0" w:line="246" w:lineRule="auto"/>
        <w:rPr>
          <w:sz w:val="20"/>
          <w:szCs w:val="20"/>
          <w:color w:val="auto"/>
        </w:rPr>
      </w:pPr>
      <w:r>
        <w:rPr>
          <w:rFonts w:ascii="Arial" w:cs="Arial" w:eastAsia="Arial" w:hAnsi="Arial"/>
          <w:sz w:val="18"/>
          <w:szCs w:val="18"/>
          <w:color w:val="auto"/>
        </w:rPr>
        <w:t>If an Offer contains a Disposal Restriction, the Participant must comply with the Disposal Restriction in relation to all Shares issued on exercise of the Options for the period specified in the Offer.</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Holding locks or other procedures</w:t>
      </w:r>
    </w:p>
    <w:p>
      <w:pPr>
        <w:spacing w:after="0" w:line="220" w:lineRule="exact"/>
        <w:rPr>
          <w:sz w:val="20"/>
          <w:szCs w:val="20"/>
          <w:color w:val="auto"/>
        </w:rPr>
      </w:pPr>
    </w:p>
    <w:p>
      <w:pPr>
        <w:ind w:left="660" w:right="660"/>
        <w:spacing w:after="0"/>
        <w:rPr>
          <w:sz w:val="20"/>
          <w:szCs w:val="20"/>
          <w:color w:val="auto"/>
        </w:rPr>
      </w:pPr>
      <w:r>
        <w:rPr>
          <w:rFonts w:ascii="Arial" w:cs="Arial" w:eastAsia="Arial" w:hAnsi="Arial"/>
          <w:sz w:val="18"/>
          <w:szCs w:val="18"/>
          <w:color w:val="auto"/>
        </w:rPr>
        <w:t>If the Shares issued on the exercise of Options are subject to a Disposal Restriction, the Company may implement any procedure (including a holding lock) it considers appropriate to ensure the Disposal Restriction is complied with for the period specified in the Offer.</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color w:val="auto"/>
        </w:rPr>
        <w:t>Restrictions cease on Change of Control Trigger Event</w:t>
      </w:r>
    </w:p>
    <w:p>
      <w:pPr>
        <w:spacing w:after="0" w:line="220" w:lineRule="exact"/>
        <w:rPr>
          <w:sz w:val="20"/>
          <w:szCs w:val="20"/>
          <w:color w:val="auto"/>
        </w:rPr>
      </w:pPr>
    </w:p>
    <w:p>
      <w:pPr>
        <w:ind w:left="660" w:right="340"/>
        <w:spacing w:after="0"/>
        <w:rPr>
          <w:sz w:val="20"/>
          <w:szCs w:val="20"/>
          <w:color w:val="auto"/>
        </w:rPr>
      </w:pPr>
      <w:r>
        <w:rPr>
          <w:rFonts w:ascii="Arial" w:cs="Arial" w:eastAsia="Arial" w:hAnsi="Arial"/>
          <w:sz w:val="18"/>
          <w:szCs w:val="18"/>
          <w:color w:val="auto"/>
        </w:rPr>
        <w:t>A Disposal Restriction ceases to apply immediately upon a Change of Control Trigger Event occurring. As soon as reasonably practicable after the Change of Control Trigger Event occurs, the Company must release the Shares from any procedure in place under rule 9.2.</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Method of giving notice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notice, consent or communication under this document is only effective if it is:</w:t>
      </w:r>
    </w:p>
    <w:p>
      <w:pPr>
        <w:spacing w:after="0" w:line="198" w:lineRule="exact"/>
        <w:rPr>
          <w:sz w:val="20"/>
          <w:szCs w:val="20"/>
          <w:color w:val="auto"/>
        </w:rPr>
      </w:pPr>
    </w:p>
    <w:p>
      <w:pPr>
        <w:ind w:left="1220" w:hanging="564"/>
        <w:spacing w:after="0"/>
        <w:tabs>
          <w:tab w:leader="none" w:pos="12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writing;</w:t>
      </w:r>
    </w:p>
    <w:p>
      <w:pPr>
        <w:spacing w:after="0" w:line="198" w:lineRule="exact"/>
        <w:rPr>
          <w:rFonts w:ascii="Arial" w:cs="Arial" w:eastAsia="Arial" w:hAnsi="Arial"/>
          <w:sz w:val="18"/>
          <w:szCs w:val="18"/>
          <w:color w:val="auto"/>
        </w:rPr>
      </w:pPr>
    </w:p>
    <w:p>
      <w:pPr>
        <w:ind w:left="1220" w:hanging="564"/>
        <w:spacing w:after="0"/>
        <w:tabs>
          <w:tab w:leader="none" w:pos="12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addressed to the person to whom it is to be given; and</w:t>
      </w:r>
    </w:p>
    <w:p>
      <w:pPr>
        <w:spacing w:after="0" w:line="198" w:lineRule="exact"/>
        <w:rPr>
          <w:rFonts w:ascii="Arial" w:cs="Arial" w:eastAsia="Arial" w:hAnsi="Arial"/>
          <w:sz w:val="18"/>
          <w:szCs w:val="18"/>
          <w:color w:val="auto"/>
        </w:rPr>
      </w:pPr>
    </w:p>
    <w:p>
      <w:pPr>
        <w:ind w:left="1220" w:hanging="564"/>
        <w:spacing w:after="0"/>
        <w:tabs>
          <w:tab w:leader="none" w:pos="12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given as follows:</w:t>
      </w:r>
    </w:p>
    <w:p>
      <w:pPr>
        <w:spacing w:after="0" w:line="198" w:lineRule="exact"/>
        <w:rPr>
          <w:rFonts w:ascii="Arial" w:cs="Arial" w:eastAsia="Arial" w:hAnsi="Arial"/>
          <w:sz w:val="18"/>
          <w:szCs w:val="18"/>
          <w:color w:val="auto"/>
        </w:rPr>
      </w:pPr>
    </w:p>
    <w:p>
      <w:pPr>
        <w:ind w:left="1760" w:hanging="550"/>
        <w:spacing w:after="0"/>
        <w:tabs>
          <w:tab w:leader="none" w:pos="17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delivered by hand to that person’s address;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66"/>
        </w:trPr>
        <w:tc>
          <w:tcPr>
            <w:tcW w:w="7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3" w:right="339" w:bottom="1440" w:gutter="0" w:footer="0" w:header="0"/>
        </w:sectPr>
      </w:pPr>
    </w:p>
    <w:bookmarkStart w:id="214" w:name="page215"/>
    <w:bookmarkEnd w:id="214"/>
    <w:p>
      <w:pPr>
        <w:ind w:left="1920" w:hanging="657"/>
        <w:spacing w:after="0"/>
        <w:tabs>
          <w:tab w:leader="none" w:pos="19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sent to that person’s address by prepaid mail or by prepaid airmail, if the address is overseas;</w:t>
      </w:r>
    </w:p>
    <w:p>
      <w:pPr>
        <w:spacing w:after="0" w:line="198" w:lineRule="exact"/>
        <w:rPr>
          <w:rFonts w:ascii="Arial" w:cs="Arial" w:eastAsia="Arial" w:hAnsi="Arial"/>
          <w:sz w:val="18"/>
          <w:szCs w:val="18"/>
          <w:color w:val="auto"/>
        </w:rPr>
      </w:pPr>
    </w:p>
    <w:p>
      <w:pPr>
        <w:ind w:left="1920" w:right="260" w:hanging="657"/>
        <w:spacing w:after="0"/>
        <w:tabs>
          <w:tab w:leader="none" w:pos="19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sent by fax to that person’s fax number where the sender receives a transmission confirmation report from the despatching machine indicating the transmission has been made without error and showing the relevant number of pages and the correct destination fax number or name of recipient; or</w:t>
      </w:r>
    </w:p>
    <w:p>
      <w:pPr>
        <w:spacing w:after="0" w:line="189" w:lineRule="exact"/>
        <w:rPr>
          <w:rFonts w:ascii="Arial" w:cs="Arial" w:eastAsia="Arial" w:hAnsi="Arial"/>
          <w:sz w:val="18"/>
          <w:szCs w:val="18"/>
          <w:color w:val="auto"/>
        </w:rPr>
      </w:pPr>
    </w:p>
    <w:p>
      <w:pPr>
        <w:ind w:left="1920" w:right="120" w:hanging="657"/>
        <w:spacing w:after="0" w:line="274" w:lineRule="auto"/>
        <w:tabs>
          <w:tab w:leader="none" w:pos="19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sent by email to that person’s email address where the sender receives an email receipt or other written confirmation from the recipient to the sender which indicates that the email was received at the email address of the recipient.</w:t>
      </w:r>
    </w:p>
    <w:p>
      <w:pPr>
        <w:spacing w:after="0" w:line="1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When is notice given</w:t>
      </w:r>
    </w:p>
    <w:p>
      <w:pPr>
        <w:spacing w:after="0" w:line="220" w:lineRule="exact"/>
        <w:rPr>
          <w:sz w:val="20"/>
          <w:szCs w:val="20"/>
          <w:color w:val="auto"/>
        </w:rPr>
      </w:pPr>
    </w:p>
    <w:p>
      <w:pPr>
        <w:ind w:left="640" w:right="720"/>
        <w:spacing w:after="0" w:line="246" w:lineRule="auto"/>
        <w:rPr>
          <w:sz w:val="20"/>
          <w:szCs w:val="20"/>
          <w:color w:val="auto"/>
        </w:rPr>
      </w:pPr>
      <w:r>
        <w:rPr>
          <w:rFonts w:ascii="Arial" w:cs="Arial" w:eastAsia="Arial" w:hAnsi="Arial"/>
          <w:sz w:val="18"/>
          <w:szCs w:val="18"/>
          <w:color w:val="auto"/>
        </w:rPr>
        <w:t>A notice, consent or communication given under rule 10.1 is given and received on the corresponding day set out in the table below. The time expressed in the table is the local time in the place of receipt.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0" w:type="dxa"/>
            <w:vAlign w:val="bottom"/>
            <w:tcBorders>
              <w:right w:val="single" w:sz="8" w:color="auto"/>
            </w:tcBorders>
          </w:tcPr>
          <w:p>
            <w:pPr>
              <w:spacing w:after="0"/>
              <w:rPr>
                <w:sz w:val="21"/>
                <w:szCs w:val="21"/>
                <w:color w:val="auto"/>
              </w:rPr>
            </w:pPr>
          </w:p>
        </w:tc>
        <w:tc>
          <w:tcPr>
            <w:tcW w:w="3200" w:type="dxa"/>
            <w:vAlign w:val="bottom"/>
            <w:tcBorders>
              <w:top w:val="single" w:sz="8" w:color="auto"/>
              <w:bottom w:val="single" w:sz="8" w:color="auto"/>
              <w:right w:val="single" w:sz="8" w:color="auto"/>
            </w:tcBorders>
            <w:shd w:val="clear" w:color="auto" w:fill="DCDCDC"/>
          </w:tcPr>
          <w:p>
            <w:pPr>
              <w:ind w:left="100"/>
              <w:spacing w:after="0"/>
              <w:rPr>
                <w:sz w:val="20"/>
                <w:szCs w:val="20"/>
                <w:color w:val="auto"/>
              </w:rPr>
            </w:pPr>
            <w:r>
              <w:rPr>
                <w:rFonts w:ascii="Arial" w:cs="Arial" w:eastAsia="Arial" w:hAnsi="Arial"/>
                <w:sz w:val="18"/>
                <w:szCs w:val="18"/>
                <w:b w:val="1"/>
                <w:bCs w:val="1"/>
                <w:color w:val="auto"/>
              </w:rPr>
              <w:t>If a notice is</w:t>
            </w:r>
          </w:p>
        </w:tc>
        <w:tc>
          <w:tcPr>
            <w:tcW w:w="7460" w:type="dxa"/>
            <w:vAlign w:val="bottom"/>
            <w:tcBorders>
              <w:top w:val="single" w:sz="8" w:color="auto"/>
              <w:bottom w:val="single" w:sz="8" w:color="auto"/>
              <w:right w:val="single" w:sz="8" w:color="auto"/>
            </w:tcBorders>
            <w:gridSpan w:val="2"/>
            <w:shd w:val="clear" w:color="auto" w:fill="DCDCDC"/>
          </w:tcPr>
          <w:p>
            <w:pPr>
              <w:ind w:left="80"/>
              <w:spacing w:after="0"/>
              <w:rPr>
                <w:sz w:val="20"/>
                <w:szCs w:val="20"/>
                <w:color w:val="auto"/>
              </w:rPr>
            </w:pPr>
            <w:r>
              <w:rPr>
                <w:rFonts w:ascii="Arial" w:cs="Arial" w:eastAsia="Arial" w:hAnsi="Arial"/>
                <w:sz w:val="18"/>
                <w:szCs w:val="18"/>
                <w:b w:val="1"/>
                <w:bCs w:val="1"/>
                <w:color w:val="auto"/>
              </w:rPr>
              <w:t>It is given and received on</w:t>
            </w:r>
          </w:p>
        </w:tc>
      </w:tr>
      <w:tr>
        <w:trPr>
          <w:trHeight w:val="178"/>
        </w:trPr>
        <w:tc>
          <w:tcPr>
            <w:tcW w:w="66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tcPr>
          <w:p>
            <w:pPr>
              <w:ind w:left="100"/>
              <w:spacing w:after="0" w:line="178" w:lineRule="exact"/>
              <w:rPr>
                <w:sz w:val="20"/>
                <w:szCs w:val="20"/>
                <w:color w:val="auto"/>
              </w:rPr>
            </w:pPr>
            <w:r>
              <w:rPr>
                <w:rFonts w:ascii="Arial" w:cs="Arial" w:eastAsia="Arial" w:hAnsi="Arial"/>
                <w:sz w:val="18"/>
                <w:szCs w:val="18"/>
                <w:color w:val="auto"/>
              </w:rPr>
              <w:t>Delivered by hand or sent by fax or</w:t>
            </w:r>
          </w:p>
        </w:tc>
        <w:tc>
          <w:tcPr>
            <w:tcW w:w="480" w:type="dxa"/>
            <w:vAlign w:val="bottom"/>
          </w:tcPr>
          <w:p>
            <w:pPr>
              <w:ind w:left="80"/>
              <w:spacing w:after="0" w:line="178" w:lineRule="exact"/>
              <w:rPr>
                <w:sz w:val="20"/>
                <w:szCs w:val="20"/>
                <w:color w:val="auto"/>
              </w:rPr>
            </w:pPr>
            <w:r>
              <w:rPr>
                <w:rFonts w:ascii="Arial" w:cs="Arial" w:eastAsia="Arial" w:hAnsi="Arial"/>
                <w:sz w:val="18"/>
                <w:szCs w:val="18"/>
                <w:color w:val="auto"/>
              </w:rPr>
              <w:t>(a)</w:t>
            </w:r>
          </w:p>
        </w:tc>
        <w:tc>
          <w:tcPr>
            <w:tcW w:w="6980" w:type="dxa"/>
            <w:vAlign w:val="bottom"/>
            <w:tcBorders>
              <w:right w:val="single" w:sz="8" w:color="auto"/>
            </w:tcBorders>
          </w:tcPr>
          <w:p>
            <w:pPr>
              <w:ind w:left="180"/>
              <w:spacing w:after="0" w:line="178" w:lineRule="exact"/>
              <w:rPr>
                <w:sz w:val="20"/>
                <w:szCs w:val="20"/>
                <w:color w:val="auto"/>
              </w:rPr>
            </w:pPr>
            <w:r>
              <w:rPr>
                <w:rFonts w:ascii="Arial" w:cs="Arial" w:eastAsia="Arial" w:hAnsi="Arial"/>
                <w:sz w:val="18"/>
                <w:szCs w:val="18"/>
                <w:color w:val="auto"/>
              </w:rPr>
              <w:t>that day, if delivered by 5.00pm on a Business Day; or</w:t>
            </w:r>
          </w:p>
        </w:tc>
      </w:tr>
      <w:tr>
        <w:trPr>
          <w:trHeight w:val="203"/>
        </w:trPr>
        <w:tc>
          <w:tcPr>
            <w:tcW w:w="660" w:type="dxa"/>
            <w:vAlign w:val="bottom"/>
            <w:tcBorders>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email</w:t>
            </w:r>
          </w:p>
        </w:tc>
        <w:tc>
          <w:tcPr>
            <w:tcW w:w="48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(b)</w:t>
            </w:r>
          </w:p>
        </w:tc>
        <w:tc>
          <w:tcPr>
            <w:tcW w:w="6980" w:type="dxa"/>
            <w:vAlign w:val="bottom"/>
            <w:tcBorders>
              <w:bottom w:val="single" w:sz="8" w:color="auto"/>
              <w:right w:val="single" w:sz="8" w:color="auto"/>
            </w:tcBorders>
          </w:tcPr>
          <w:p>
            <w:pPr>
              <w:ind w:left="180"/>
              <w:spacing w:after="0" w:line="203" w:lineRule="exact"/>
              <w:rPr>
                <w:sz w:val="20"/>
                <w:szCs w:val="20"/>
                <w:color w:val="auto"/>
              </w:rPr>
            </w:pPr>
            <w:r>
              <w:rPr>
                <w:rFonts w:ascii="Arial" w:cs="Arial" w:eastAsia="Arial" w:hAnsi="Arial"/>
                <w:sz w:val="18"/>
                <w:szCs w:val="18"/>
                <w:color w:val="auto"/>
              </w:rPr>
              <w:t>the next Business Day, in any other case.</w:t>
            </w:r>
          </w:p>
        </w:tc>
      </w:tr>
      <w:tr>
        <w:trPr>
          <w:trHeight w:val="195"/>
        </w:trPr>
        <w:tc>
          <w:tcPr>
            <w:tcW w:w="66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Sent by post</w:t>
            </w:r>
          </w:p>
        </w:tc>
        <w:tc>
          <w:tcPr>
            <w:tcW w:w="480" w:type="dxa"/>
            <w:vAlign w:val="bottom"/>
          </w:tcPr>
          <w:p>
            <w:pPr>
              <w:ind w:left="80"/>
              <w:spacing w:after="0" w:line="195" w:lineRule="exact"/>
              <w:rPr>
                <w:sz w:val="20"/>
                <w:szCs w:val="20"/>
                <w:color w:val="auto"/>
              </w:rPr>
            </w:pPr>
            <w:r>
              <w:rPr>
                <w:rFonts w:ascii="Arial" w:cs="Arial" w:eastAsia="Arial" w:hAnsi="Arial"/>
                <w:sz w:val="18"/>
                <w:szCs w:val="18"/>
                <w:color w:val="auto"/>
              </w:rPr>
              <w:t>(a)</w:t>
            </w:r>
          </w:p>
        </w:tc>
        <w:tc>
          <w:tcPr>
            <w:tcW w:w="69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three Business Days after posting, if sent within Australia; or</w:t>
            </w:r>
          </w:p>
        </w:tc>
      </w:tr>
      <w:tr>
        <w:trPr>
          <w:trHeight w:val="203"/>
        </w:trPr>
        <w:tc>
          <w:tcPr>
            <w:tcW w:w="660" w:type="dxa"/>
            <w:vAlign w:val="bottom"/>
            <w:tcBorders>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(b)</w:t>
            </w:r>
          </w:p>
        </w:tc>
        <w:tc>
          <w:tcPr>
            <w:tcW w:w="6980" w:type="dxa"/>
            <w:vAlign w:val="bottom"/>
            <w:tcBorders>
              <w:bottom w:val="single" w:sz="8" w:color="auto"/>
              <w:right w:val="single" w:sz="8" w:color="auto"/>
            </w:tcBorders>
          </w:tcPr>
          <w:p>
            <w:pPr>
              <w:ind w:left="180"/>
              <w:spacing w:after="0" w:line="203" w:lineRule="exact"/>
              <w:rPr>
                <w:sz w:val="20"/>
                <w:szCs w:val="20"/>
                <w:color w:val="auto"/>
              </w:rPr>
            </w:pPr>
            <w:r>
              <w:rPr>
                <w:rFonts w:ascii="Arial" w:cs="Arial" w:eastAsia="Arial" w:hAnsi="Arial"/>
                <w:sz w:val="18"/>
                <w:szCs w:val="18"/>
                <w:color w:val="auto"/>
              </w:rPr>
              <w:t>seven Business Days after posting, if sent to or from a place outside Australia.</w:t>
            </w:r>
          </w:p>
        </w:tc>
      </w:tr>
      <w:tr>
        <w:trPr>
          <w:trHeight w:val="412"/>
        </w:trPr>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10.3</w:t>
            </w:r>
          </w:p>
        </w:tc>
        <w:tc>
          <w:tcPr>
            <w:tcW w:w="3200" w:type="dxa"/>
            <w:vAlign w:val="bottom"/>
          </w:tcPr>
          <w:p>
            <w:pPr>
              <w:spacing w:after="0"/>
              <w:rPr>
                <w:sz w:val="20"/>
                <w:szCs w:val="20"/>
                <w:color w:val="auto"/>
              </w:rPr>
            </w:pPr>
            <w:r>
              <w:rPr>
                <w:rFonts w:ascii="Arial" w:cs="Arial" w:eastAsia="Arial" w:hAnsi="Arial"/>
                <w:sz w:val="18"/>
                <w:szCs w:val="18"/>
                <w:b w:val="1"/>
                <w:bCs w:val="1"/>
                <w:color w:val="auto"/>
              </w:rPr>
              <w:t>Participant’s address for notices</w:t>
            </w:r>
          </w:p>
        </w:tc>
        <w:tc>
          <w:tcPr>
            <w:tcW w:w="480" w:type="dxa"/>
            <w:vAlign w:val="bottom"/>
          </w:tcPr>
          <w:p>
            <w:pPr>
              <w:spacing w:after="0"/>
              <w:rPr>
                <w:sz w:val="24"/>
                <w:szCs w:val="24"/>
                <w:color w:val="auto"/>
              </w:rPr>
            </w:pPr>
          </w:p>
        </w:tc>
        <w:tc>
          <w:tcPr>
            <w:tcW w:w="6980" w:type="dxa"/>
            <w:vAlign w:val="bottom"/>
          </w:tcPr>
          <w:p>
            <w:pPr>
              <w:spacing w:after="0"/>
              <w:rPr>
                <w:sz w:val="24"/>
                <w:szCs w:val="24"/>
                <w:color w:val="auto"/>
              </w:rPr>
            </w:pPr>
          </w:p>
        </w:tc>
      </w:tr>
    </w:tbl>
    <w:p>
      <w:pPr>
        <w:spacing w:after="0" w:line="188" w:lineRule="exact"/>
        <w:rPr>
          <w:sz w:val="20"/>
          <w:szCs w:val="20"/>
          <w:color w:val="auto"/>
        </w:rPr>
      </w:pPr>
    </w:p>
    <w:p>
      <w:pPr>
        <w:ind w:left="640" w:right="660"/>
        <w:spacing w:after="0" w:line="246" w:lineRule="auto"/>
        <w:rPr>
          <w:sz w:val="20"/>
          <w:szCs w:val="20"/>
          <w:color w:val="auto"/>
        </w:rPr>
      </w:pPr>
      <w:r>
        <w:rPr>
          <w:rFonts w:ascii="Arial" w:cs="Arial" w:eastAsia="Arial" w:hAnsi="Arial"/>
          <w:sz w:val="18"/>
          <w:szCs w:val="18"/>
          <w:color w:val="auto"/>
        </w:rPr>
        <w:t>A Participant’s address, fax number and email address are as shown in the Company’s records or as otherwise notified by the Participant to the Company.</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b w:val="1"/>
          <w:bCs w:val="1"/>
          <w:color w:val="auto"/>
        </w:rPr>
        <w:t>Company’s address for notices</w:t>
      </w:r>
    </w:p>
    <w:p>
      <w:pPr>
        <w:spacing w:after="0" w:line="220" w:lineRule="exact"/>
        <w:rPr>
          <w:sz w:val="20"/>
          <w:szCs w:val="20"/>
          <w:color w:val="auto"/>
        </w:rPr>
      </w:pPr>
    </w:p>
    <w:p>
      <w:pPr>
        <w:ind w:left="640" w:right="460"/>
        <w:spacing w:after="0" w:line="246" w:lineRule="auto"/>
        <w:rPr>
          <w:sz w:val="20"/>
          <w:szCs w:val="20"/>
          <w:color w:val="auto"/>
        </w:rPr>
      </w:pPr>
      <w:r>
        <w:rPr>
          <w:rFonts w:ascii="Arial" w:cs="Arial" w:eastAsia="Arial" w:hAnsi="Arial"/>
          <w:sz w:val="18"/>
          <w:szCs w:val="18"/>
          <w:color w:val="auto"/>
        </w:rPr>
        <w:t>The Company’s address for notices, including the Acceptance and Notice of Exercise is set out below or as otherwise notified by the Company to the Participant: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NOVONIX Limited</w:t>
      </w:r>
    </w:p>
    <w:p>
      <w:pPr>
        <w:ind w:left="640"/>
        <w:spacing w:after="0" w:line="234" w:lineRule="auto"/>
        <w:rPr>
          <w:sz w:val="20"/>
          <w:szCs w:val="20"/>
          <w:color w:val="auto"/>
        </w:rPr>
      </w:pPr>
      <w:r>
        <w:rPr>
          <w:rFonts w:ascii="Arial" w:cs="Arial" w:eastAsia="Arial" w:hAnsi="Arial"/>
          <w:sz w:val="18"/>
          <w:szCs w:val="18"/>
          <w:color w:val="auto"/>
        </w:rPr>
        <w:t>PO Box 10348</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Brisbane Qld 4000</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color w:val="auto"/>
        </w:rPr>
        <w:t>Notices to Permitted Nominees</w:t>
      </w:r>
    </w:p>
    <w:p>
      <w:pPr>
        <w:spacing w:after="0" w:line="220" w:lineRule="exact"/>
        <w:rPr>
          <w:sz w:val="20"/>
          <w:szCs w:val="20"/>
          <w:color w:val="auto"/>
        </w:rPr>
      </w:pPr>
    </w:p>
    <w:p>
      <w:pPr>
        <w:ind w:left="640" w:right="760"/>
        <w:spacing w:after="0" w:line="246" w:lineRule="auto"/>
        <w:rPr>
          <w:sz w:val="20"/>
          <w:szCs w:val="20"/>
          <w:color w:val="auto"/>
        </w:rPr>
      </w:pPr>
      <w:r>
        <w:rPr>
          <w:rFonts w:ascii="Arial" w:cs="Arial" w:eastAsia="Arial" w:hAnsi="Arial"/>
          <w:sz w:val="18"/>
          <w:szCs w:val="18"/>
          <w:color w:val="auto"/>
        </w:rPr>
        <w:t>Any notice or direction given under this Plan to a Permitted Nominee is validly given if it is provided to the associated Eligible Participant under rule 10.1.</w:t>
      </w:r>
    </w:p>
    <w:p>
      <w:pPr>
        <w:spacing w:after="0" w:line="161" w:lineRule="exact"/>
        <w:rPr>
          <w:sz w:val="20"/>
          <w:szCs w:val="20"/>
          <w:color w:val="auto"/>
        </w:rPr>
      </w:pPr>
    </w:p>
    <w:p>
      <w:pPr>
        <w:ind w:right="8640" w:firstLine="8"/>
        <w:spacing w:after="0" w:line="498" w:lineRule="auto"/>
        <w:tabs>
          <w:tab w:leader="none" w:pos="65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11.1 Amendment</w:t>
      </w: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Subject to rule 11.2, the Board may amend the Plan in any manner it decides.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79"/>
        </w:trPr>
        <w:tc>
          <w:tcPr>
            <w:tcW w:w="7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20" w:top="1165" w:right="279" w:bottom="1440" w:gutter="0" w:footer="0" w:header="0"/>
        </w:sectPr>
      </w:pPr>
    </w:p>
    <w:bookmarkStart w:id="215" w:name="page216"/>
    <w:bookmarkEnd w:id="215"/>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Restrictions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must not make any amendment to the Plan which would:</w:t>
      </w:r>
    </w:p>
    <w:p>
      <w:pPr>
        <w:spacing w:after="0" w:line="198" w:lineRule="exact"/>
        <w:rPr>
          <w:sz w:val="20"/>
          <w:szCs w:val="20"/>
          <w:color w:val="auto"/>
        </w:rPr>
      </w:pPr>
    </w:p>
    <w:p>
      <w:pPr>
        <w:ind w:left="1280" w:right="560" w:hanging="651"/>
        <w:spacing w:after="0" w:line="246" w:lineRule="auto"/>
        <w:tabs>
          <w:tab w:leader="none" w:pos="12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have the effect of materially adversely affecting or prejudicing the rights of any Participant holding Options at that time, except for amendments:</w:t>
      </w:r>
    </w:p>
    <w:p>
      <w:pPr>
        <w:spacing w:after="0" w:line="183" w:lineRule="exact"/>
        <w:rPr>
          <w:rFonts w:ascii="Arial" w:cs="Arial" w:eastAsia="Arial" w:hAnsi="Arial"/>
          <w:sz w:val="18"/>
          <w:szCs w:val="18"/>
          <w:color w:val="auto"/>
        </w:rPr>
      </w:pPr>
    </w:p>
    <w:p>
      <w:pPr>
        <w:ind w:left="1900" w:right="680" w:hanging="623"/>
        <w:spacing w:after="0" w:line="246" w:lineRule="auto"/>
        <w:tabs>
          <w:tab w:leader="none" w:pos="190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to comply with the Constitution, Corporations Act, Listing Rules or any other law affecting the maintenance or operation of the Plan;</w:t>
      </w:r>
    </w:p>
    <w:p>
      <w:pPr>
        <w:spacing w:after="0" w:line="183" w:lineRule="exact"/>
        <w:rPr>
          <w:rFonts w:ascii="Arial" w:cs="Arial" w:eastAsia="Arial" w:hAnsi="Arial"/>
          <w:sz w:val="18"/>
          <w:szCs w:val="18"/>
          <w:color w:val="auto"/>
        </w:rPr>
      </w:pPr>
    </w:p>
    <w:p>
      <w:pPr>
        <w:ind w:left="1900" w:hanging="623"/>
        <w:spacing w:after="0"/>
        <w:tabs>
          <w:tab w:leader="none" w:pos="190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to correct a manifest error; or</w:t>
      </w:r>
    </w:p>
    <w:p>
      <w:pPr>
        <w:spacing w:after="0" w:line="198" w:lineRule="exact"/>
        <w:rPr>
          <w:rFonts w:ascii="Arial" w:cs="Arial" w:eastAsia="Arial" w:hAnsi="Arial"/>
          <w:sz w:val="18"/>
          <w:szCs w:val="18"/>
          <w:color w:val="auto"/>
        </w:rPr>
      </w:pPr>
    </w:p>
    <w:p>
      <w:pPr>
        <w:ind w:left="1900" w:right="20" w:hanging="623"/>
        <w:spacing w:after="0"/>
        <w:tabs>
          <w:tab w:leader="none" w:pos="190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to address potential adverse tax implications affecting the Plan arising from changes to laws relating to taxation, the interpretation of laws relating to taxation by the relevant governmental authorities (including the release of any ruling), courts or tribunals; or</w:t>
      </w:r>
    </w:p>
    <w:p>
      <w:pPr>
        <w:spacing w:after="0" w:line="189" w:lineRule="exact"/>
        <w:rPr>
          <w:rFonts w:ascii="Arial" w:cs="Arial" w:eastAsia="Arial" w:hAnsi="Arial"/>
          <w:sz w:val="18"/>
          <w:szCs w:val="18"/>
          <w:color w:val="auto"/>
        </w:rPr>
      </w:pPr>
    </w:p>
    <w:p>
      <w:pPr>
        <w:ind w:left="1280" w:right="280" w:hanging="651"/>
        <w:spacing w:after="0" w:line="246" w:lineRule="auto"/>
        <w:tabs>
          <w:tab w:leader="none" w:pos="12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effect a change to the number of Shares to which a Participant is entitled on exercise of the Options, the Exercise Price or the Exercise Period unless permitted by the Corporations Act and the Listing Rules.</w:t>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640" w:right="280"/>
        <w:spacing w:after="0" w:line="246" w:lineRule="auto"/>
        <w:rPr>
          <w:sz w:val="20"/>
          <w:szCs w:val="20"/>
          <w:color w:val="auto"/>
        </w:rPr>
      </w:pPr>
      <w:r>
        <w:rPr>
          <w:rFonts w:ascii="Arial" w:cs="Arial" w:eastAsia="Arial" w:hAnsi="Arial"/>
          <w:sz w:val="18"/>
          <w:szCs w:val="18"/>
          <w:color w:val="auto"/>
        </w:rPr>
        <w:t>The Plan may be terminated or suspended at any time by the Board and that termination or suspension will not have any effect on or prejudice the rights of any Participant holding Options at that time.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Authority to form policy and delegation</w:t>
      </w:r>
    </w:p>
    <w:p>
      <w:pPr>
        <w:spacing w:after="0" w:line="220" w:lineRule="exact"/>
        <w:rPr>
          <w:sz w:val="20"/>
          <w:szCs w:val="20"/>
          <w:color w:val="auto"/>
        </w:rPr>
      </w:pPr>
    </w:p>
    <w:p>
      <w:pPr>
        <w:ind w:left="1280" w:right="460" w:hanging="651"/>
        <w:spacing w:after="0"/>
        <w:tabs>
          <w:tab w:leader="none" w:pos="12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Board may make policy and regulations for the operation of the Plan which are consistent with the Plan and may delegate necessary functions to an appropriate service provider or employee capable of performing those functions and implementing those policies.</w:t>
      </w:r>
    </w:p>
    <w:p>
      <w:pPr>
        <w:spacing w:after="0" w:line="189" w:lineRule="exact"/>
        <w:rPr>
          <w:rFonts w:ascii="Arial" w:cs="Arial" w:eastAsia="Arial" w:hAnsi="Arial"/>
          <w:sz w:val="18"/>
          <w:szCs w:val="18"/>
          <w:color w:val="auto"/>
        </w:rPr>
      </w:pPr>
    </w:p>
    <w:p>
      <w:pPr>
        <w:ind w:left="1280" w:right="180" w:hanging="651"/>
        <w:spacing w:after="0"/>
        <w:tabs>
          <w:tab w:leader="none" w:pos="12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Board may delegate functions and powers under this Plan as it considers appropriate, for the efficient administration of the Plan, to a committee made up of a person or persons capable of performing those functions and exercising those powers.</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Obligations of Board</w:t>
      </w:r>
    </w:p>
    <w:p>
      <w:pPr>
        <w:spacing w:after="0" w:line="220" w:lineRule="exact"/>
        <w:rPr>
          <w:sz w:val="20"/>
          <w:szCs w:val="20"/>
          <w:color w:val="auto"/>
        </w:rPr>
      </w:pPr>
    </w:p>
    <w:p>
      <w:pPr>
        <w:ind w:left="640" w:right="460"/>
        <w:spacing w:after="0" w:line="246" w:lineRule="auto"/>
        <w:rPr>
          <w:sz w:val="20"/>
          <w:szCs w:val="20"/>
          <w:color w:val="auto"/>
        </w:rPr>
      </w:pPr>
      <w:r>
        <w:rPr>
          <w:rFonts w:ascii="Arial" w:cs="Arial" w:eastAsia="Arial" w:hAnsi="Arial"/>
          <w:sz w:val="18"/>
          <w:szCs w:val="18"/>
          <w:color w:val="auto"/>
        </w:rPr>
        <w:t>The Board in exercising a power or discretion conferred on it by this Plan is not under a fiduciary or other obligation to any other person.</w:t>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Board decisions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decision of the Board as to the interpretation, effect or application of this Plan is final.</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7"/>
          <w:szCs w:val="17"/>
          <w:b w:val="1"/>
          <w:bCs w:val="1"/>
          <w:color w:val="auto"/>
        </w:rPr>
        <w:t>Board, Company and delegates may act in its absolute discretion</w:t>
      </w:r>
    </w:p>
    <w:p>
      <w:pPr>
        <w:spacing w:after="0" w:line="220" w:lineRule="exact"/>
        <w:rPr>
          <w:sz w:val="20"/>
          <w:szCs w:val="20"/>
          <w:color w:val="auto"/>
        </w:rPr>
      </w:pPr>
    </w:p>
    <w:p>
      <w:pPr>
        <w:ind w:left="640" w:right="140"/>
        <w:spacing w:after="0"/>
        <w:rPr>
          <w:sz w:val="20"/>
          <w:szCs w:val="20"/>
          <w:color w:val="auto"/>
        </w:rPr>
      </w:pPr>
      <w:r>
        <w:rPr>
          <w:rFonts w:ascii="Arial" w:cs="Arial" w:eastAsia="Arial" w:hAnsi="Arial"/>
          <w:sz w:val="18"/>
          <w:szCs w:val="18"/>
          <w:color w:val="auto"/>
        </w:rPr>
        <w:t>Where the Board, the Company or their delegates may exercise any right or discretion or make any decision under this document, it may do so in its absolute discretion, conditionally or unconditionally, and without being required to give reasons or act reasonably. Rule 13.4 applies unless this document expressly requires otherwise.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66"/>
        </w:trPr>
        <w:tc>
          <w:tcPr>
            <w:tcW w:w="7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216" w:name="page217"/>
    <w:bookmarkEnd w:id="216"/>
    <w:p>
      <w:pPr>
        <w:spacing w:after="0"/>
        <w:tabs>
          <w:tab w:leader="none" w:pos="580" w:val="left"/>
        </w:tabs>
        <w:rPr>
          <w:sz w:val="20"/>
          <w:szCs w:val="20"/>
          <w:color w:val="auto"/>
        </w:rPr>
      </w:pPr>
      <w:r>
        <w:rPr>
          <w:rFonts w:ascii="Arial" w:cs="Arial" w:eastAsia="Arial" w:hAnsi="Arial"/>
          <w:sz w:val="18"/>
          <w:szCs w:val="18"/>
          <w:b w:val="1"/>
          <w:bCs w:val="1"/>
          <w:color w:val="auto"/>
        </w:rPr>
        <w:t>13.5</w:t>
        <w:tab/>
        <w:t>Independent advice by Board</w:t>
      </w:r>
    </w:p>
    <w:p>
      <w:pPr>
        <w:spacing w:after="0" w:line="220" w:lineRule="exact"/>
        <w:rPr>
          <w:sz w:val="20"/>
          <w:szCs w:val="20"/>
          <w:color w:val="auto"/>
        </w:rPr>
      </w:pPr>
    </w:p>
    <w:p>
      <w:pPr>
        <w:ind w:left="640" w:right="800"/>
        <w:spacing w:after="0" w:line="246" w:lineRule="auto"/>
        <w:rPr>
          <w:sz w:val="20"/>
          <w:szCs w:val="20"/>
          <w:color w:val="auto"/>
        </w:rPr>
      </w:pPr>
      <w:r>
        <w:rPr>
          <w:rFonts w:ascii="Arial" w:cs="Arial" w:eastAsia="Arial" w:hAnsi="Arial"/>
          <w:sz w:val="18"/>
          <w:szCs w:val="18"/>
          <w:color w:val="auto"/>
        </w:rPr>
        <w:t>The Board or a committee may take and rely upon independent professional or expert advice on the exercise of any of their powers or discretions under this Plan.</w:t>
      </w:r>
    </w:p>
    <w:p>
      <w:pPr>
        <w:spacing w:after="0" w:line="161" w:lineRule="exact"/>
        <w:rPr>
          <w:sz w:val="20"/>
          <w:szCs w:val="20"/>
          <w:color w:val="auto"/>
        </w:rPr>
      </w:pPr>
    </w:p>
    <w:p>
      <w:pPr>
        <w:ind w:left="660" w:right="6640" w:hanging="652"/>
        <w:spacing w:after="0" w:line="498" w:lineRule="auto"/>
        <w:tabs>
          <w:tab w:leader="none" w:pos="612"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Eligible Participants and Participants </w:t>
      </w:r>
      <w:r>
        <w:rPr>
          <w:rFonts w:ascii="Arial" w:cs="Arial" w:eastAsia="Arial" w:hAnsi="Arial"/>
          <w:sz w:val="18"/>
          <w:szCs w:val="18"/>
          <w:color w:val="auto"/>
        </w:rPr>
        <w:t>Nothing in this Plan:</w:t>
      </w:r>
    </w:p>
    <w:p>
      <w:pPr>
        <w:ind w:left="1280" w:hanging="624"/>
        <w:spacing w:after="0"/>
        <w:tabs>
          <w:tab w:leader="none" w:pos="128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confers on any Eligible Participant the right to continue as a Director, an Employee or a Consultant;</w:t>
      </w:r>
    </w:p>
    <w:p>
      <w:pPr>
        <w:spacing w:after="0" w:line="198" w:lineRule="exact"/>
        <w:rPr>
          <w:rFonts w:ascii="Arial" w:cs="Arial" w:eastAsia="Arial" w:hAnsi="Arial"/>
          <w:sz w:val="18"/>
          <w:szCs w:val="18"/>
          <w:color w:val="auto"/>
        </w:rPr>
      </w:pPr>
    </w:p>
    <w:p>
      <w:pPr>
        <w:ind w:left="1280" w:right="160" w:hanging="624"/>
        <w:spacing w:after="0" w:line="246" w:lineRule="auto"/>
        <w:tabs>
          <w:tab w:leader="none" w:pos="128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affects any rights a member of the Group may have to terminate the employment of any Employee or any agreement with a Director or Consultant; or</w:t>
      </w:r>
    </w:p>
    <w:p>
      <w:pPr>
        <w:spacing w:after="0" w:line="183" w:lineRule="exact"/>
        <w:rPr>
          <w:rFonts w:ascii="Arial" w:cs="Arial" w:eastAsia="Arial" w:hAnsi="Arial"/>
          <w:sz w:val="18"/>
          <w:szCs w:val="18"/>
          <w:color w:val="auto"/>
        </w:rPr>
      </w:pPr>
    </w:p>
    <w:p>
      <w:pPr>
        <w:ind w:left="1280" w:right="60" w:hanging="624"/>
        <w:spacing w:after="0" w:line="246" w:lineRule="auto"/>
        <w:tabs>
          <w:tab w:leader="none" w:pos="128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may be used to increase damages in any action brought against the Company or any Related Body Corporate, other than an action arising solely out of a Participant’s rights under the Plan.</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-1548130</wp:posOffset>
            </wp:positionV>
            <wp:extent cx="713232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Listing Rules and Constitution</w:t>
      </w:r>
    </w:p>
    <w:p>
      <w:pPr>
        <w:spacing w:after="0" w:line="220" w:lineRule="exact"/>
        <w:rPr>
          <w:sz w:val="20"/>
          <w:szCs w:val="20"/>
          <w:color w:val="auto"/>
        </w:rPr>
      </w:pPr>
    </w:p>
    <w:p>
      <w:pPr>
        <w:ind w:left="1280" w:right="960" w:hanging="624"/>
        <w:spacing w:after="0" w:line="246" w:lineRule="auto"/>
        <w:tabs>
          <w:tab w:leader="none" w:pos="12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This Plan, the entitlements of Participants, and any obligations of the Company, under this Plan are subject to the Constitution, the Listing Rules, the Corporations Act and any other applicable law.</w:t>
      </w:r>
    </w:p>
    <w:p>
      <w:pPr>
        <w:spacing w:after="0" w:line="183" w:lineRule="exact"/>
        <w:rPr>
          <w:rFonts w:ascii="Arial" w:cs="Arial" w:eastAsia="Arial" w:hAnsi="Arial"/>
          <w:sz w:val="18"/>
          <w:szCs w:val="18"/>
          <w:color w:val="auto"/>
        </w:rPr>
      </w:pPr>
    </w:p>
    <w:p>
      <w:pPr>
        <w:ind w:left="1280" w:right="140" w:hanging="624"/>
        <w:spacing w:after="0" w:line="246" w:lineRule="auto"/>
        <w:tabs>
          <w:tab w:leader="none" w:pos="12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Option may be granted nor will any Option be capable of exercise if it would, or in the opinion of the Board, having taken appropriate legal advice, is likely to, contravene the Corporations Act, the Listing Rules or any other applicable laws.</w:t>
      </w:r>
    </w:p>
    <w:p>
      <w:pPr>
        <w:spacing w:after="0" w:line="183" w:lineRule="exact"/>
        <w:rPr>
          <w:rFonts w:ascii="Arial" w:cs="Arial" w:eastAsia="Arial" w:hAnsi="Arial"/>
          <w:sz w:val="18"/>
          <w:szCs w:val="18"/>
          <w:color w:val="auto"/>
        </w:rPr>
      </w:pPr>
    </w:p>
    <w:p>
      <w:pPr>
        <w:ind w:left="1280" w:right="200" w:hanging="624"/>
        <w:spacing w:after="0" w:line="238" w:lineRule="auto"/>
        <w:tabs>
          <w:tab w:leader="none" w:pos="12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Despite any other rule of this Plan, every covenant or other provision set out in an exemption from, or modification to, the provisions of the Corporations Act granted from time to time by ASIC in respect of the Plan, and required to be included in this Plan in order for the exemption or modification to have effect, is deemed to be contained in this Plan. To the extent that any covenant, or other provision deemed to be contained in this Plan is inconsistent with any other rule of this Plan, the deemed covenant or other provision will prevail.</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Board, Company and delegates may act in its absolute discretion</w:t>
      </w:r>
    </w:p>
    <w:p>
      <w:pPr>
        <w:spacing w:after="0" w:line="220" w:lineRule="exact"/>
        <w:rPr>
          <w:sz w:val="20"/>
          <w:szCs w:val="20"/>
          <w:color w:val="auto"/>
        </w:rPr>
      </w:pPr>
    </w:p>
    <w:p>
      <w:pPr>
        <w:ind w:left="640" w:right="540"/>
        <w:spacing w:after="0"/>
        <w:rPr>
          <w:sz w:val="20"/>
          <w:szCs w:val="20"/>
          <w:color w:val="auto"/>
        </w:rPr>
      </w:pPr>
      <w:r>
        <w:rPr>
          <w:rFonts w:ascii="Arial" w:cs="Arial" w:eastAsia="Arial" w:hAnsi="Arial"/>
          <w:sz w:val="18"/>
          <w:szCs w:val="18"/>
          <w:color w:val="auto"/>
        </w:rPr>
        <w:t>Where the Board, the Company or their delegates may exercise any right or discretion or make any decision under this document, it may do so in its absolute discretion, conditionally or unconditionally, and without being required to give reasons or act reasonably. Clause 15.2 applies unless this document expressly provides otherwise.</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b w:val="1"/>
          <w:bCs w:val="1"/>
          <w:color w:val="auto"/>
        </w:rPr>
        <w:t>Costs</w:t>
      </w:r>
    </w:p>
    <w:p>
      <w:pPr>
        <w:spacing w:after="0" w:line="220" w:lineRule="exact"/>
        <w:rPr>
          <w:sz w:val="20"/>
          <w:szCs w:val="20"/>
          <w:color w:val="auto"/>
        </w:rPr>
      </w:pPr>
    </w:p>
    <w:p>
      <w:pPr>
        <w:ind w:left="1280" w:hanging="624"/>
        <w:spacing w:after="0"/>
        <w:tabs>
          <w:tab w:leader="none" w:pos="12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Company must pay all the expenses, costs and charges incurred in operating the Plan.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66"/>
        </w:trPr>
        <w:tc>
          <w:tcPr>
            <w:tcW w:w="7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217" w:name="page218"/>
    <w:bookmarkEnd w:id="217"/>
    <w:p>
      <w:pPr>
        <w:ind w:left="1260" w:right="160" w:hanging="631"/>
        <w:spacing w:after="0"/>
        <w:tabs>
          <w:tab w:leader="none" w:pos="12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Company is not responsible for any duties or taxes which may become payable in connection with the grant of Options, the issue and allotment of Shares on exercise of Options or any other dealing with Options or Shares (including, but not limited to, as a result of a transaction contemplated by rules 3.5(e) or 7.3).</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15.4</w:t>
        <w:tab/>
        <w:t>Advice</w:t>
      </w:r>
    </w:p>
    <w:p>
      <w:pPr>
        <w:spacing w:after="0" w:line="220" w:lineRule="exact"/>
        <w:rPr>
          <w:sz w:val="20"/>
          <w:szCs w:val="20"/>
          <w:color w:val="auto"/>
        </w:rPr>
      </w:pPr>
    </w:p>
    <w:p>
      <w:pPr>
        <w:ind w:left="640" w:right="1640"/>
        <w:spacing w:after="0" w:line="246" w:lineRule="auto"/>
        <w:rPr>
          <w:sz w:val="20"/>
          <w:szCs w:val="20"/>
          <w:color w:val="auto"/>
        </w:rPr>
      </w:pPr>
      <w:r>
        <w:rPr>
          <w:rFonts w:ascii="Arial" w:cs="Arial" w:eastAsia="Arial" w:hAnsi="Arial"/>
          <w:sz w:val="18"/>
          <w:szCs w:val="18"/>
          <w:color w:val="auto"/>
        </w:rPr>
        <w:t>Participants should obtain their own independent advice at their own expense on the financial, taxation and other consequences to them of, or relating to, participating in the Plan.</w:t>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15.5</w:t>
        <w:tab/>
        <w:t>Governing law and jurisdiction</w:t>
      </w:r>
    </w:p>
    <w:p>
      <w:pPr>
        <w:spacing w:after="0" w:line="220" w:lineRule="exact"/>
        <w:rPr>
          <w:sz w:val="20"/>
          <w:szCs w:val="20"/>
          <w:color w:val="auto"/>
        </w:rPr>
      </w:pPr>
    </w:p>
    <w:p>
      <w:pPr>
        <w:ind w:left="1260" w:hanging="631"/>
        <w:spacing w:after="0"/>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Queensland law governs this document and the rights of Participants under the Plan.</w:t>
      </w:r>
    </w:p>
    <w:p>
      <w:pPr>
        <w:spacing w:after="0" w:line="198" w:lineRule="exact"/>
        <w:rPr>
          <w:rFonts w:ascii="Arial" w:cs="Arial" w:eastAsia="Arial" w:hAnsi="Arial"/>
          <w:sz w:val="18"/>
          <w:szCs w:val="18"/>
          <w:color w:val="auto"/>
        </w:rPr>
      </w:pPr>
    </w:p>
    <w:p>
      <w:pPr>
        <w:ind w:left="1260" w:right="280" w:hanging="631"/>
        <w:spacing w:after="0" w:line="246" w:lineRule="auto"/>
        <w:tabs>
          <w:tab w:leader="none" w:pos="1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Participant, the Company and the Board (and their delegates) irrevocably submits to the non-exclusive jurisdiction of the Queensland courts and courts competent to hear appeals from those courts.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ind w:left="1140"/>
              <w:spacing w:after="0"/>
              <w:rPr>
                <w:sz w:val="20"/>
                <w:szCs w:val="20"/>
                <w:color w:val="auto"/>
              </w:rPr>
            </w:pPr>
            <w:r>
              <w:rPr>
                <w:rFonts w:ascii="Arial" w:cs="Arial" w:eastAsia="Arial" w:hAnsi="Arial"/>
                <w:sz w:val="18"/>
                <w:szCs w:val="18"/>
                <w:color w:val="auto"/>
              </w:rPr>
              <w:t>|   Executive option plan - NOVONIX Limited</w:t>
            </w:r>
          </w:p>
        </w:tc>
        <w:tc>
          <w:tcPr>
            <w:tcW w:w="3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45"/>
        </w:trPr>
        <w:tc>
          <w:tcPr>
            <w:tcW w:w="7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65" w:right="339" w:bottom="1440" w:gutter="0" w:footer="0" w:header="0"/>
        </w:sectPr>
      </w:pPr>
    </w:p>
    <w:bookmarkStart w:id="218" w:name="page219"/>
    <w:bookmarkEnd w:id="218"/>
    <w:p>
      <w:pPr>
        <w:ind w:left="103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1193165</wp:posOffset>
            </wp:positionV>
            <wp:extent cx="7132320" cy="260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147320</wp:posOffset>
            </wp:positionV>
            <wp:extent cx="2588895" cy="8826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58889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Performance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60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Graphitecorp Limited ACN 157 690 830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60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Level 11 Central Plaza Two 66 Eagle Street Brisbane QLD 4000 </w:t>
      </w:r>
      <w:r>
        <w:rPr>
          <w:rFonts w:ascii="Arial" w:cs="Arial" w:eastAsia="Arial" w:hAnsi="Arial"/>
          <w:sz w:val="18"/>
          <w:szCs w:val="18"/>
          <w:color w:val="8C9642"/>
        </w:rPr>
        <w:t>|</w:t>
      </w:r>
      <w:r>
        <w:rPr>
          <w:rFonts w:ascii="Arial" w:cs="Arial" w:eastAsia="Arial" w:hAnsi="Arial"/>
          <w:sz w:val="18"/>
          <w:szCs w:val="18"/>
          <w:color w:val="auto"/>
        </w:rPr>
        <w:t xml:space="preserve"> GPO Box 1855 Brisbane QLD 4001 Australia </w:t>
      </w:r>
      <w:r>
        <w:rPr>
          <w:rFonts w:ascii="Arial" w:cs="Arial" w:eastAsia="Arial" w:hAnsi="Arial"/>
          <w:sz w:val="18"/>
          <w:szCs w:val="18"/>
          <w:b w:val="1"/>
          <w:bCs w:val="1"/>
          <w:color w:val="8C9642"/>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ABN</w:t>
      </w:r>
      <w:r>
        <w:rPr>
          <w:rFonts w:ascii="Arial" w:cs="Arial" w:eastAsia="Arial" w:hAnsi="Arial"/>
          <w:sz w:val="18"/>
          <w:szCs w:val="18"/>
          <w:color w:val="auto"/>
        </w:rPr>
        <w:t xml:space="preserve"> 42 721 345 951 </w:t>
      </w:r>
      <w:r>
        <w:rPr>
          <w:rFonts w:ascii="Arial" w:cs="Arial" w:eastAsia="Arial" w:hAnsi="Arial"/>
          <w:sz w:val="18"/>
          <w:szCs w:val="18"/>
          <w:b w:val="1"/>
          <w:bCs w:val="1"/>
          <w:color w:val="auto"/>
        </w:rPr>
        <w:t xml:space="preserve">Telephone </w:t>
      </w:r>
      <w:r>
        <w:rPr>
          <w:rFonts w:ascii="Arial" w:cs="Arial" w:eastAsia="Arial" w:hAnsi="Arial"/>
          <w:sz w:val="18"/>
          <w:szCs w:val="18"/>
          <w:color w:val="auto"/>
        </w:rPr>
        <w:t>07 3233 8888</w:t>
      </w:r>
      <w:r>
        <w:rPr>
          <w:rFonts w:ascii="Arial" w:cs="Arial" w:eastAsia="Arial" w:hAnsi="Arial"/>
          <w:sz w:val="18"/>
          <w:szCs w:val="18"/>
          <w:b w:val="1"/>
          <w:bCs w:val="1"/>
          <w:color w:val="auto"/>
        </w:rPr>
        <w:t xml:space="preserve"> </w:t>
      </w:r>
      <w:r>
        <w:rPr>
          <w:rFonts w:ascii="Arial" w:cs="Arial" w:eastAsia="Arial" w:hAnsi="Arial"/>
          <w:sz w:val="18"/>
          <w:szCs w:val="18"/>
          <w:color w:val="8C9642"/>
        </w:rPr>
        <w:t>|</w:t>
      </w:r>
      <w:r>
        <w:rPr>
          <w:rFonts w:ascii="Arial" w:cs="Arial" w:eastAsia="Arial" w:hAnsi="Arial"/>
          <w:sz w:val="18"/>
          <w:szCs w:val="18"/>
          <w:b w:val="1"/>
          <w:bCs w:val="1"/>
          <w:color w:val="auto"/>
        </w:rPr>
        <w:t xml:space="preserve"> Fax </w:t>
      </w:r>
      <w:r>
        <w:rPr>
          <w:rFonts w:ascii="Arial" w:cs="Arial" w:eastAsia="Arial" w:hAnsi="Arial"/>
          <w:sz w:val="18"/>
          <w:szCs w:val="18"/>
          <w:color w:val="auto"/>
        </w:rPr>
        <w:t>07 3229 9949</w:t>
      </w:r>
      <w:r>
        <w:rPr>
          <w:rFonts w:ascii="Arial" w:cs="Arial" w:eastAsia="Arial" w:hAnsi="Arial"/>
          <w:sz w:val="18"/>
          <w:szCs w:val="18"/>
          <w:b w:val="1"/>
          <w:bCs w:val="1"/>
          <w:color w:val="auto"/>
        </w:rPr>
        <w:t xml:space="preserve"> </w:t>
      </w:r>
      <w:r>
        <w:rPr>
          <w:rFonts w:ascii="Arial" w:cs="Arial" w:eastAsia="Arial" w:hAnsi="Arial"/>
          <w:sz w:val="18"/>
          <w:szCs w:val="18"/>
          <w:color w:val="8C9642"/>
        </w:rPr>
        <w:t>|</w:t>
      </w:r>
      <w:r>
        <w:rPr>
          <w:rFonts w:ascii="Arial" w:cs="Arial" w:eastAsia="Arial" w:hAnsi="Arial"/>
          <w:sz w:val="18"/>
          <w:szCs w:val="18"/>
          <w:b w:val="1"/>
          <w:bCs w:val="1"/>
          <w:color w:val="auto"/>
        </w:rPr>
        <w:t xml:space="preserve"> Web </w:t>
      </w:r>
      <w:r>
        <w:rPr>
          <w:rFonts w:ascii="Arial" w:cs="Arial" w:eastAsia="Arial" w:hAnsi="Arial"/>
          <w:sz w:val="18"/>
          <w:szCs w:val="18"/>
          <w:color w:val="auto"/>
        </w:rPr>
        <w:t>www.mccullough.com.au</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offices in Brisbane, Newcastle and Sydney.</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8C964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6191885</wp:posOffset>
            </wp:positionH>
            <wp:positionV relativeFrom="page">
              <wp:posOffset>217805</wp:posOffset>
            </wp:positionV>
            <wp:extent cx="1148715" cy="3771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1</w:t>
            </w:r>
          </w:p>
        </w:tc>
        <w:tc>
          <w:tcPr>
            <w:tcW w:w="9320" w:type="dxa"/>
            <w:vAlign w:val="bottom"/>
            <w:gridSpan w:val="2"/>
          </w:tcPr>
          <w:p>
            <w:pPr>
              <w:ind w:left="400"/>
              <w:spacing w:after="0"/>
              <w:rPr>
                <w:sz w:val="20"/>
                <w:szCs w:val="20"/>
                <w:color w:val="auto"/>
              </w:rPr>
            </w:pPr>
            <w:r>
              <w:rPr>
                <w:rFonts w:ascii="Arial" w:cs="Arial" w:eastAsia="Arial" w:hAnsi="Arial"/>
                <w:sz w:val="18"/>
                <w:szCs w:val="18"/>
                <w:b w:val="1"/>
                <w:bCs w:val="1"/>
                <w:color w:val="auto"/>
              </w:rPr>
              <w:t>Definitions and interpretation</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1.1</w:t>
            </w:r>
          </w:p>
        </w:tc>
        <w:tc>
          <w:tcPr>
            <w:tcW w:w="828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1.2</w:t>
            </w:r>
          </w:p>
        </w:tc>
        <w:tc>
          <w:tcPr>
            <w:tcW w:w="8280" w:type="dxa"/>
            <w:vAlign w:val="bottom"/>
          </w:tcPr>
          <w:p>
            <w:pPr>
              <w:ind w:left="140"/>
              <w:spacing w:after="0"/>
              <w:rPr>
                <w:sz w:val="20"/>
                <w:szCs w:val="20"/>
                <w:color w:val="auto"/>
              </w:rPr>
            </w:pPr>
            <w:r>
              <w:rPr>
                <w:rFonts w:ascii="Arial" w:cs="Arial" w:eastAsia="Arial" w:hAnsi="Arial"/>
                <w:sz w:val="18"/>
                <w:szCs w:val="18"/>
                <w:color w:val="auto"/>
              </w:rPr>
              <w:t>Interpretation</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5"/>
        </w:trPr>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2</w:t>
            </w:r>
          </w:p>
        </w:tc>
        <w:tc>
          <w:tcPr>
            <w:tcW w:w="9320" w:type="dxa"/>
            <w:vAlign w:val="bottom"/>
            <w:gridSpan w:val="2"/>
          </w:tcPr>
          <w:p>
            <w:pPr>
              <w:ind w:left="400"/>
              <w:spacing w:after="0"/>
              <w:rPr>
                <w:sz w:val="20"/>
                <w:szCs w:val="20"/>
                <w:color w:val="auto"/>
              </w:rPr>
            </w:pPr>
            <w:r>
              <w:rPr>
                <w:rFonts w:ascii="Arial" w:cs="Arial" w:eastAsia="Arial" w:hAnsi="Arial"/>
                <w:sz w:val="18"/>
                <w:szCs w:val="18"/>
                <w:b w:val="1"/>
                <w:bCs w:val="1"/>
                <w:color w:val="auto"/>
              </w:rPr>
              <w:t>Administration of the plan</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05"/>
        </w:trPr>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3</w:t>
            </w:r>
          </w:p>
        </w:tc>
        <w:tc>
          <w:tcPr>
            <w:tcW w:w="9320" w:type="dxa"/>
            <w:vAlign w:val="bottom"/>
            <w:gridSpan w:val="2"/>
          </w:tcPr>
          <w:p>
            <w:pPr>
              <w:ind w:left="400"/>
              <w:spacing w:after="0"/>
              <w:rPr>
                <w:sz w:val="20"/>
                <w:szCs w:val="20"/>
                <w:color w:val="auto"/>
              </w:rPr>
            </w:pPr>
            <w:r>
              <w:rPr>
                <w:rFonts w:ascii="Arial" w:cs="Arial" w:eastAsia="Arial" w:hAnsi="Arial"/>
                <w:sz w:val="18"/>
                <w:szCs w:val="18"/>
                <w:b w:val="1"/>
                <w:bCs w:val="1"/>
                <w:color w:val="auto"/>
              </w:rPr>
              <w:t>Eligible Participants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05"/>
        </w:trPr>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4</w:t>
            </w:r>
          </w:p>
        </w:tc>
        <w:tc>
          <w:tcPr>
            <w:tcW w:w="9320" w:type="dxa"/>
            <w:vAlign w:val="bottom"/>
            <w:gridSpan w:val="2"/>
          </w:tcPr>
          <w:p>
            <w:pPr>
              <w:ind w:left="400"/>
              <w:spacing w:after="0"/>
              <w:rPr>
                <w:sz w:val="20"/>
                <w:szCs w:val="20"/>
                <w:color w:val="auto"/>
              </w:rPr>
            </w:pPr>
            <w:r>
              <w:rPr>
                <w:rFonts w:ascii="Arial" w:cs="Arial" w:eastAsia="Arial" w:hAnsi="Arial"/>
                <w:sz w:val="18"/>
                <w:szCs w:val="18"/>
                <w:b w:val="1"/>
                <w:bCs w:val="1"/>
                <w:color w:val="auto"/>
              </w:rPr>
              <w:t>Grant of rights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4.1</w:t>
            </w:r>
          </w:p>
        </w:tc>
        <w:tc>
          <w:tcPr>
            <w:tcW w:w="8280" w:type="dxa"/>
            <w:vAlign w:val="bottom"/>
          </w:tcPr>
          <w:p>
            <w:pPr>
              <w:ind w:left="140"/>
              <w:spacing w:after="0"/>
              <w:rPr>
                <w:sz w:val="20"/>
                <w:szCs w:val="20"/>
                <w:color w:val="auto"/>
              </w:rPr>
            </w:pPr>
            <w:r>
              <w:rPr>
                <w:rFonts w:ascii="Arial" w:cs="Arial" w:eastAsia="Arial" w:hAnsi="Arial"/>
                <w:sz w:val="18"/>
                <w:szCs w:val="18"/>
                <w:color w:val="auto"/>
              </w:rPr>
              <w:t>Offer of Rights</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4.2</w:t>
            </w:r>
          </w:p>
        </w:tc>
        <w:tc>
          <w:tcPr>
            <w:tcW w:w="8280" w:type="dxa"/>
            <w:vAlign w:val="bottom"/>
          </w:tcPr>
          <w:p>
            <w:pPr>
              <w:ind w:left="140"/>
              <w:spacing w:after="0"/>
              <w:rPr>
                <w:sz w:val="20"/>
                <w:szCs w:val="20"/>
                <w:color w:val="auto"/>
              </w:rPr>
            </w:pPr>
            <w:r>
              <w:rPr>
                <w:rFonts w:ascii="Arial" w:cs="Arial" w:eastAsia="Arial" w:hAnsi="Arial"/>
                <w:sz w:val="18"/>
                <w:szCs w:val="18"/>
                <w:color w:val="auto"/>
              </w:rPr>
              <w:t>Required details of Offer</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4.3</w:t>
            </w:r>
          </w:p>
        </w:tc>
        <w:tc>
          <w:tcPr>
            <w:tcW w:w="8280" w:type="dxa"/>
            <w:vAlign w:val="bottom"/>
          </w:tcPr>
          <w:p>
            <w:pPr>
              <w:ind w:left="140"/>
              <w:spacing w:after="0"/>
              <w:rPr>
                <w:sz w:val="20"/>
                <w:szCs w:val="20"/>
                <w:color w:val="auto"/>
              </w:rPr>
            </w:pPr>
            <w:r>
              <w:rPr>
                <w:rFonts w:ascii="Arial" w:cs="Arial" w:eastAsia="Arial" w:hAnsi="Arial"/>
                <w:sz w:val="18"/>
                <w:szCs w:val="18"/>
                <w:color w:val="auto"/>
              </w:rPr>
              <w:t>Required documents for Offer</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4.4</w:t>
            </w:r>
          </w:p>
        </w:tc>
        <w:tc>
          <w:tcPr>
            <w:tcW w:w="8280" w:type="dxa"/>
            <w:vAlign w:val="bottom"/>
          </w:tcPr>
          <w:p>
            <w:pPr>
              <w:ind w:left="140"/>
              <w:spacing w:after="0"/>
              <w:rPr>
                <w:sz w:val="20"/>
                <w:szCs w:val="20"/>
                <w:color w:val="auto"/>
              </w:rPr>
            </w:pPr>
            <w:r>
              <w:rPr>
                <w:rFonts w:ascii="Arial" w:cs="Arial" w:eastAsia="Arial" w:hAnsi="Arial"/>
                <w:sz w:val="18"/>
                <w:szCs w:val="18"/>
                <w:color w:val="auto"/>
              </w:rPr>
              <w:t>Acceptance of offer</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4.5</w:t>
            </w:r>
          </w:p>
        </w:tc>
        <w:tc>
          <w:tcPr>
            <w:tcW w:w="8280" w:type="dxa"/>
            <w:vAlign w:val="bottom"/>
          </w:tcPr>
          <w:p>
            <w:pPr>
              <w:ind w:left="140"/>
              <w:spacing w:after="0"/>
              <w:rPr>
                <w:sz w:val="20"/>
                <w:szCs w:val="20"/>
                <w:color w:val="auto"/>
              </w:rPr>
            </w:pPr>
            <w:r>
              <w:rPr>
                <w:rFonts w:ascii="Arial" w:cs="Arial" w:eastAsia="Arial" w:hAnsi="Arial"/>
                <w:sz w:val="18"/>
                <w:szCs w:val="18"/>
                <w:color w:val="auto"/>
              </w:rPr>
              <w:t>Permitted Nominees</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4.6</w:t>
            </w:r>
          </w:p>
        </w:tc>
        <w:tc>
          <w:tcPr>
            <w:tcW w:w="8280" w:type="dxa"/>
            <w:vAlign w:val="bottom"/>
          </w:tcPr>
          <w:p>
            <w:pPr>
              <w:ind w:left="140"/>
              <w:spacing w:after="0"/>
              <w:rPr>
                <w:sz w:val="20"/>
                <w:szCs w:val="20"/>
                <w:color w:val="auto"/>
              </w:rPr>
            </w:pPr>
            <w:r>
              <w:rPr>
                <w:rFonts w:ascii="Arial" w:cs="Arial" w:eastAsia="Arial" w:hAnsi="Arial"/>
                <w:sz w:val="18"/>
                <w:szCs w:val="18"/>
                <w:color w:val="auto"/>
              </w:rPr>
              <w:t>Maximum Rights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4.7</w:t>
            </w:r>
          </w:p>
        </w:tc>
        <w:tc>
          <w:tcPr>
            <w:tcW w:w="8280" w:type="dxa"/>
            <w:vAlign w:val="bottom"/>
          </w:tcPr>
          <w:p>
            <w:pPr>
              <w:ind w:left="140"/>
              <w:spacing w:after="0"/>
              <w:rPr>
                <w:sz w:val="20"/>
                <w:szCs w:val="20"/>
                <w:color w:val="auto"/>
              </w:rPr>
            </w:pPr>
            <w:r>
              <w:rPr>
                <w:rFonts w:ascii="Arial" w:cs="Arial" w:eastAsia="Arial" w:hAnsi="Arial"/>
                <w:sz w:val="18"/>
                <w:szCs w:val="18"/>
                <w:color w:val="auto"/>
              </w:rPr>
              <w:t>No payment for grant of Rights or issue of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4.8</w:t>
            </w:r>
          </w:p>
        </w:tc>
        <w:tc>
          <w:tcPr>
            <w:tcW w:w="8280" w:type="dxa"/>
            <w:vAlign w:val="bottom"/>
          </w:tcPr>
          <w:p>
            <w:pPr>
              <w:ind w:left="140"/>
              <w:spacing w:after="0"/>
              <w:rPr>
                <w:sz w:val="20"/>
                <w:szCs w:val="20"/>
                <w:color w:val="auto"/>
              </w:rPr>
            </w:pPr>
            <w:r>
              <w:rPr>
                <w:rFonts w:ascii="Arial" w:cs="Arial" w:eastAsia="Arial" w:hAnsi="Arial"/>
                <w:sz w:val="18"/>
                <w:szCs w:val="18"/>
                <w:color w:val="auto"/>
              </w:rPr>
              <w:t>Statement</w:t>
            </w: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4.9</w:t>
            </w:r>
          </w:p>
        </w:tc>
        <w:tc>
          <w:tcPr>
            <w:tcW w:w="8280" w:type="dxa"/>
            <w:vAlign w:val="bottom"/>
          </w:tcPr>
          <w:p>
            <w:pPr>
              <w:ind w:left="140"/>
              <w:spacing w:after="0"/>
              <w:rPr>
                <w:sz w:val="20"/>
                <w:szCs w:val="20"/>
                <w:color w:val="auto"/>
              </w:rPr>
            </w:pPr>
            <w:r>
              <w:rPr>
                <w:rFonts w:ascii="Arial" w:cs="Arial" w:eastAsia="Arial" w:hAnsi="Arial"/>
                <w:sz w:val="18"/>
                <w:szCs w:val="18"/>
                <w:color w:val="auto"/>
              </w:rPr>
              <w:t>Register of holders</w:t>
            </w: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5</w:t>
            </w:r>
          </w:p>
        </w:tc>
        <w:tc>
          <w:tcPr>
            <w:tcW w:w="9320" w:type="dxa"/>
            <w:vAlign w:val="bottom"/>
            <w:gridSpan w:val="2"/>
          </w:tcPr>
          <w:p>
            <w:pPr>
              <w:ind w:left="400"/>
              <w:spacing w:after="0"/>
              <w:rPr>
                <w:sz w:val="20"/>
                <w:szCs w:val="20"/>
                <w:color w:val="auto"/>
              </w:rPr>
            </w:pPr>
            <w:r>
              <w:rPr>
                <w:rFonts w:ascii="Arial" w:cs="Arial" w:eastAsia="Arial" w:hAnsi="Arial"/>
                <w:sz w:val="18"/>
                <w:szCs w:val="18"/>
                <w:b w:val="1"/>
                <w:bCs w:val="1"/>
                <w:color w:val="auto"/>
              </w:rPr>
              <w:t>Vesting of Rights and issue of Shares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5.1</w:t>
            </w:r>
          </w:p>
        </w:tc>
        <w:tc>
          <w:tcPr>
            <w:tcW w:w="8280" w:type="dxa"/>
            <w:vAlign w:val="bottom"/>
          </w:tcPr>
          <w:p>
            <w:pPr>
              <w:ind w:left="140"/>
              <w:spacing w:after="0"/>
              <w:rPr>
                <w:sz w:val="20"/>
                <w:szCs w:val="20"/>
                <w:color w:val="auto"/>
              </w:rPr>
            </w:pPr>
            <w:r>
              <w:rPr>
                <w:rFonts w:ascii="Arial" w:cs="Arial" w:eastAsia="Arial" w:hAnsi="Arial"/>
                <w:sz w:val="18"/>
                <w:szCs w:val="18"/>
                <w:color w:val="auto"/>
              </w:rPr>
              <w:t>Number of Shares to be issued on Vesting of a Performance Right</w:t>
            </w: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5.2</w:t>
            </w:r>
          </w:p>
        </w:tc>
        <w:tc>
          <w:tcPr>
            <w:tcW w:w="8280" w:type="dxa"/>
            <w:vAlign w:val="bottom"/>
          </w:tcPr>
          <w:p>
            <w:pPr>
              <w:ind w:left="140"/>
              <w:spacing w:after="0"/>
              <w:rPr>
                <w:sz w:val="20"/>
                <w:szCs w:val="20"/>
                <w:color w:val="auto"/>
              </w:rPr>
            </w:pPr>
            <w:r>
              <w:rPr>
                <w:rFonts w:ascii="Arial" w:cs="Arial" w:eastAsia="Arial" w:hAnsi="Arial"/>
                <w:sz w:val="18"/>
                <w:szCs w:val="18"/>
                <w:color w:val="auto"/>
              </w:rPr>
              <w:t>Cash Settlement</w:t>
            </w: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5.3</w:t>
            </w:r>
          </w:p>
        </w:tc>
        <w:tc>
          <w:tcPr>
            <w:tcW w:w="8280" w:type="dxa"/>
            <w:vAlign w:val="bottom"/>
          </w:tcPr>
          <w:p>
            <w:pPr>
              <w:ind w:left="140"/>
              <w:spacing w:after="0"/>
              <w:rPr>
                <w:sz w:val="20"/>
                <w:szCs w:val="20"/>
                <w:color w:val="auto"/>
              </w:rPr>
            </w:pPr>
            <w:r>
              <w:rPr>
                <w:rFonts w:ascii="Arial" w:cs="Arial" w:eastAsia="Arial" w:hAnsi="Arial"/>
                <w:sz w:val="18"/>
                <w:szCs w:val="18"/>
                <w:color w:val="auto"/>
              </w:rPr>
              <w:t>Lapse of Rights between Grant Date and Vesting Date</w:t>
            </w: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5"/>
        </w:trPr>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6</w:t>
            </w:r>
          </w:p>
        </w:tc>
        <w:tc>
          <w:tcPr>
            <w:tcW w:w="9320" w:type="dxa"/>
            <w:vAlign w:val="bottom"/>
            <w:gridSpan w:val="2"/>
          </w:tcPr>
          <w:p>
            <w:pPr>
              <w:ind w:left="400"/>
              <w:spacing w:after="0"/>
              <w:rPr>
                <w:sz w:val="20"/>
                <w:szCs w:val="20"/>
                <w:color w:val="auto"/>
              </w:rPr>
            </w:pPr>
            <w:r>
              <w:rPr>
                <w:rFonts w:ascii="Arial" w:cs="Arial" w:eastAsia="Arial" w:hAnsi="Arial"/>
                <w:sz w:val="18"/>
                <w:szCs w:val="18"/>
                <w:b w:val="1"/>
                <w:bCs w:val="1"/>
                <w:color w:val="auto"/>
              </w:rPr>
              <w:t>Rights attaching to Rights granted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6.1</w:t>
            </w:r>
          </w:p>
        </w:tc>
        <w:tc>
          <w:tcPr>
            <w:tcW w:w="8280" w:type="dxa"/>
            <w:vAlign w:val="bottom"/>
          </w:tcPr>
          <w:p>
            <w:pPr>
              <w:ind w:left="140"/>
              <w:spacing w:after="0"/>
              <w:rPr>
                <w:sz w:val="20"/>
                <w:szCs w:val="20"/>
                <w:color w:val="auto"/>
              </w:rPr>
            </w:pPr>
            <w:r>
              <w:rPr>
                <w:rFonts w:ascii="Arial" w:cs="Arial" w:eastAsia="Arial" w:hAnsi="Arial"/>
                <w:sz w:val="18"/>
                <w:szCs w:val="18"/>
                <w:color w:val="auto"/>
              </w:rPr>
              <w:t>Adjustment for reconstruction</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6.2</w:t>
            </w:r>
          </w:p>
        </w:tc>
        <w:tc>
          <w:tcPr>
            <w:tcW w:w="828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6.3</w:t>
            </w:r>
          </w:p>
        </w:tc>
        <w:tc>
          <w:tcPr>
            <w:tcW w:w="8280" w:type="dxa"/>
            <w:vAlign w:val="bottom"/>
          </w:tcPr>
          <w:p>
            <w:pPr>
              <w:ind w:left="140"/>
              <w:spacing w:after="0"/>
              <w:rPr>
                <w:sz w:val="20"/>
                <w:szCs w:val="20"/>
                <w:color w:val="auto"/>
              </w:rPr>
            </w:pPr>
            <w:r>
              <w:rPr>
                <w:rFonts w:ascii="Arial" w:cs="Arial" w:eastAsia="Arial" w:hAnsi="Arial"/>
                <w:sz w:val="18"/>
                <w:szCs w:val="18"/>
                <w:color w:val="auto"/>
              </w:rPr>
              <w:t>Voting rights</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6.4</w:t>
            </w:r>
          </w:p>
        </w:tc>
        <w:tc>
          <w:tcPr>
            <w:tcW w:w="8280" w:type="dxa"/>
            <w:vAlign w:val="bottom"/>
          </w:tcPr>
          <w:p>
            <w:pPr>
              <w:ind w:left="140"/>
              <w:spacing w:after="0"/>
              <w:rPr>
                <w:sz w:val="20"/>
                <w:szCs w:val="20"/>
                <w:color w:val="auto"/>
              </w:rPr>
            </w:pPr>
            <w:r>
              <w:rPr>
                <w:rFonts w:ascii="Arial" w:cs="Arial" w:eastAsia="Arial" w:hAnsi="Arial"/>
                <w:sz w:val="18"/>
                <w:szCs w:val="18"/>
                <w:color w:val="auto"/>
              </w:rPr>
              <w:t>Participation in further issues</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6.5</w:t>
            </w:r>
          </w:p>
        </w:tc>
        <w:tc>
          <w:tcPr>
            <w:tcW w:w="8280" w:type="dxa"/>
            <w:vAlign w:val="bottom"/>
          </w:tcPr>
          <w:p>
            <w:pPr>
              <w:ind w:left="140"/>
              <w:spacing w:after="0"/>
              <w:rPr>
                <w:sz w:val="20"/>
                <w:szCs w:val="20"/>
                <w:color w:val="auto"/>
              </w:rPr>
            </w:pPr>
            <w:r>
              <w:rPr>
                <w:rFonts w:ascii="Arial" w:cs="Arial" w:eastAsia="Arial" w:hAnsi="Arial"/>
                <w:sz w:val="18"/>
                <w:szCs w:val="18"/>
                <w:color w:val="auto"/>
              </w:rPr>
              <w:t>Transfer of rights</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6.6</w:t>
            </w:r>
          </w:p>
        </w:tc>
        <w:tc>
          <w:tcPr>
            <w:tcW w:w="8280" w:type="dxa"/>
            <w:vAlign w:val="bottom"/>
          </w:tcPr>
          <w:p>
            <w:pPr>
              <w:ind w:left="140"/>
              <w:spacing w:after="0"/>
              <w:rPr>
                <w:sz w:val="20"/>
                <w:szCs w:val="20"/>
                <w:color w:val="auto"/>
              </w:rPr>
            </w:pPr>
            <w:r>
              <w:rPr>
                <w:rFonts w:ascii="Arial" w:cs="Arial" w:eastAsia="Arial" w:hAnsi="Arial"/>
                <w:sz w:val="18"/>
                <w:szCs w:val="18"/>
                <w:color w:val="auto"/>
              </w:rPr>
              <w:t>Transmission</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6.7</w:t>
            </w:r>
          </w:p>
        </w:tc>
        <w:tc>
          <w:tcPr>
            <w:tcW w:w="8280" w:type="dxa"/>
            <w:vAlign w:val="bottom"/>
          </w:tcPr>
          <w:p>
            <w:pPr>
              <w:ind w:left="140"/>
              <w:spacing w:after="0"/>
              <w:rPr>
                <w:sz w:val="20"/>
                <w:szCs w:val="20"/>
                <w:color w:val="auto"/>
              </w:rPr>
            </w:pPr>
            <w:r>
              <w:rPr>
                <w:rFonts w:ascii="Arial" w:cs="Arial" w:eastAsia="Arial" w:hAnsi="Arial"/>
                <w:sz w:val="18"/>
                <w:szCs w:val="18"/>
                <w:color w:val="auto"/>
              </w:rPr>
              <w:t>Quotation</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7</w:t>
            </w:r>
          </w:p>
        </w:tc>
        <w:tc>
          <w:tcPr>
            <w:tcW w:w="9320" w:type="dxa"/>
            <w:vAlign w:val="bottom"/>
            <w:gridSpan w:val="2"/>
          </w:tcPr>
          <w:p>
            <w:pPr>
              <w:ind w:left="400"/>
              <w:spacing w:after="0"/>
              <w:rPr>
                <w:sz w:val="20"/>
                <w:szCs w:val="20"/>
                <w:color w:val="auto"/>
              </w:rPr>
            </w:pPr>
            <w:r>
              <w:rPr>
                <w:rFonts w:ascii="Arial" w:cs="Arial" w:eastAsia="Arial" w:hAnsi="Arial"/>
                <w:sz w:val="18"/>
                <w:szCs w:val="18"/>
                <w:b w:val="1"/>
                <w:bCs w:val="1"/>
                <w:color w:val="auto"/>
              </w:rPr>
              <w:t>No interest in shares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05"/>
        </w:trPr>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8</w:t>
            </w:r>
          </w:p>
        </w:tc>
        <w:tc>
          <w:tcPr>
            <w:tcW w:w="9320" w:type="dxa"/>
            <w:vAlign w:val="bottom"/>
            <w:gridSpan w:val="2"/>
          </w:tcPr>
          <w:p>
            <w:pPr>
              <w:ind w:left="400"/>
              <w:spacing w:after="0"/>
              <w:rPr>
                <w:sz w:val="20"/>
                <w:szCs w:val="20"/>
                <w:color w:val="auto"/>
              </w:rPr>
            </w:pPr>
            <w:r>
              <w:rPr>
                <w:rFonts w:ascii="Arial" w:cs="Arial" w:eastAsia="Arial" w:hAnsi="Arial"/>
                <w:sz w:val="18"/>
                <w:szCs w:val="18"/>
                <w:b w:val="1"/>
                <w:bCs w:val="1"/>
                <w:color w:val="auto"/>
              </w:rPr>
              <w:t>Change of control</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8.1</w:t>
            </w:r>
          </w:p>
        </w:tc>
        <w:tc>
          <w:tcPr>
            <w:tcW w:w="8280" w:type="dxa"/>
            <w:vAlign w:val="bottom"/>
          </w:tcPr>
          <w:p>
            <w:pPr>
              <w:ind w:left="140"/>
              <w:spacing w:after="0"/>
              <w:rPr>
                <w:sz w:val="20"/>
                <w:szCs w:val="20"/>
                <w:color w:val="auto"/>
              </w:rPr>
            </w:pPr>
            <w:r>
              <w:rPr>
                <w:rFonts w:ascii="Arial" w:cs="Arial" w:eastAsia="Arial" w:hAnsi="Arial"/>
                <w:sz w:val="18"/>
                <w:szCs w:val="18"/>
                <w:color w:val="auto"/>
              </w:rPr>
              <w:t>Board to notify Participant of Change of Control Trigger Event</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8.2</w:t>
            </w:r>
          </w:p>
        </w:tc>
        <w:tc>
          <w:tcPr>
            <w:tcW w:w="8280" w:type="dxa"/>
            <w:vAlign w:val="bottom"/>
          </w:tcPr>
          <w:p>
            <w:pPr>
              <w:ind w:left="140"/>
              <w:spacing w:after="0"/>
              <w:rPr>
                <w:sz w:val="20"/>
                <w:szCs w:val="20"/>
                <w:color w:val="auto"/>
              </w:rPr>
            </w:pPr>
            <w:r>
              <w:rPr>
                <w:rFonts w:ascii="Arial" w:cs="Arial" w:eastAsia="Arial" w:hAnsi="Arial"/>
                <w:sz w:val="18"/>
                <w:szCs w:val="18"/>
                <w:color w:val="auto"/>
              </w:rPr>
              <w:t>Treatment of Rights on a Change of Control Trigger Event</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8.3</w:t>
            </w:r>
          </w:p>
        </w:tc>
        <w:tc>
          <w:tcPr>
            <w:tcW w:w="8280" w:type="dxa"/>
            <w:vAlign w:val="bottom"/>
          </w:tcPr>
          <w:p>
            <w:pPr>
              <w:ind w:left="140"/>
              <w:spacing w:after="0"/>
              <w:rPr>
                <w:sz w:val="20"/>
                <w:szCs w:val="20"/>
                <w:color w:val="auto"/>
              </w:rPr>
            </w:pPr>
            <w:r>
              <w:rPr>
                <w:rFonts w:ascii="Arial" w:cs="Arial" w:eastAsia="Arial" w:hAnsi="Arial"/>
                <w:sz w:val="18"/>
                <w:szCs w:val="18"/>
                <w:color w:val="auto"/>
              </w:rPr>
              <w:t>Board to decide whether Rights Vest</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8.4</w:t>
            </w:r>
          </w:p>
        </w:tc>
        <w:tc>
          <w:tcPr>
            <w:tcW w:w="8280" w:type="dxa"/>
            <w:vAlign w:val="bottom"/>
          </w:tcPr>
          <w:p>
            <w:pPr>
              <w:ind w:left="140"/>
              <w:spacing w:after="0"/>
              <w:rPr>
                <w:sz w:val="20"/>
                <w:szCs w:val="20"/>
                <w:color w:val="auto"/>
              </w:rPr>
            </w:pPr>
            <w:r>
              <w:rPr>
                <w:rFonts w:ascii="Arial" w:cs="Arial" w:eastAsia="Arial" w:hAnsi="Arial"/>
                <w:sz w:val="18"/>
                <w:szCs w:val="18"/>
                <w:color w:val="auto"/>
              </w:rPr>
              <w:t>Rights that the Board decides Vest following a Change of Control Trigger Event</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8.5</w:t>
            </w:r>
          </w:p>
        </w:tc>
        <w:tc>
          <w:tcPr>
            <w:tcW w:w="8280" w:type="dxa"/>
            <w:vAlign w:val="bottom"/>
          </w:tcPr>
          <w:p>
            <w:pPr>
              <w:ind w:left="140"/>
              <w:spacing w:after="0"/>
              <w:rPr>
                <w:sz w:val="20"/>
                <w:szCs w:val="20"/>
                <w:color w:val="auto"/>
              </w:rPr>
            </w:pPr>
            <w:r>
              <w:rPr>
                <w:rFonts w:ascii="Arial" w:cs="Arial" w:eastAsia="Arial" w:hAnsi="Arial"/>
                <w:sz w:val="18"/>
                <w:szCs w:val="18"/>
                <w:color w:val="auto"/>
              </w:rPr>
              <w:t>Rights that the Board decides do not Vest following a Change of Control Trigger Event</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520" w:type="dxa"/>
            <w:vAlign w:val="bottom"/>
          </w:tcPr>
          <w:p>
            <w:pPr>
              <w:spacing w:after="0"/>
              <w:rPr>
                <w:sz w:val="24"/>
                <w:szCs w:val="24"/>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8.6</w:t>
            </w:r>
          </w:p>
        </w:tc>
        <w:tc>
          <w:tcPr>
            <w:tcW w:w="8280" w:type="dxa"/>
            <w:vAlign w:val="bottom"/>
          </w:tcPr>
          <w:p>
            <w:pPr>
              <w:ind w:left="140"/>
              <w:spacing w:after="0"/>
              <w:rPr>
                <w:sz w:val="20"/>
                <w:szCs w:val="20"/>
                <w:color w:val="auto"/>
              </w:rPr>
            </w:pPr>
            <w:r>
              <w:rPr>
                <w:rFonts w:ascii="Arial" w:cs="Arial" w:eastAsia="Arial" w:hAnsi="Arial"/>
                <w:sz w:val="18"/>
                <w:szCs w:val="18"/>
                <w:color w:val="auto"/>
              </w:rPr>
              <w:t>Participants to cooperate and attorney</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520" w:type="dxa"/>
            <w:vAlign w:val="bottom"/>
          </w:tcPr>
          <w:p>
            <w:pPr>
              <w:spacing w:after="0"/>
              <w:rPr>
                <w:sz w:val="24"/>
                <w:szCs w:val="24"/>
                <w:color w:val="auto"/>
              </w:rPr>
            </w:pP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8280" w:type="dxa"/>
            <w:vAlign w:val="bottom"/>
          </w:tcPr>
          <w:p>
            <w:pPr>
              <w:ind w:left="360"/>
              <w:spacing w:after="0"/>
              <w:rPr>
                <w:sz w:val="20"/>
                <w:szCs w:val="20"/>
                <w:color w:val="auto"/>
              </w:rPr>
            </w:pPr>
            <w:r>
              <w:rPr>
                <w:rFonts w:ascii="Arial" w:cs="Arial" w:eastAsia="Arial" w:hAnsi="Arial"/>
                <w:sz w:val="18"/>
                <w:szCs w:val="18"/>
                <w:color w:val="auto"/>
              </w:rPr>
              <w:t>Performance rights plan</w:t>
            </w:r>
          </w:p>
        </w:tc>
        <w:tc>
          <w:tcPr>
            <w:tcW w:w="1400" w:type="dxa"/>
            <w:vAlign w:val="bottom"/>
          </w:tcPr>
          <w:p>
            <w:pPr>
              <w:spacing w:after="0"/>
              <w:rPr>
                <w:sz w:val="24"/>
                <w:szCs w:val="24"/>
                <w:color w:val="auto"/>
              </w:rPr>
            </w:pPr>
          </w:p>
        </w:tc>
      </w:tr>
    </w:tbl>
    <w:p>
      <w:pPr>
        <w:sectPr>
          <w:pgSz w:w="11900" w:h="16838" w:orient="portrait"/>
          <w:cols w:equalWidth="0" w:num="1">
            <w:col w:w="11240"/>
          </w:cols>
          <w:pgMar w:left="320" w:top="1116" w:right="339" w:bottom="123"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r>
              <w:rPr>
                <w:rFonts w:ascii="Arial" w:cs="Arial" w:eastAsia="Arial" w:hAnsi="Arial"/>
                <w:sz w:val="18"/>
                <w:szCs w:val="18"/>
                <w:b w:val="1"/>
                <w:bCs w:val="1"/>
                <w:color w:val="auto"/>
              </w:rPr>
              <w:t>9</w:t>
            </w:r>
          </w:p>
        </w:tc>
        <w:tc>
          <w:tcPr>
            <w:tcW w:w="8400" w:type="dxa"/>
            <w:vAlign w:val="bottom"/>
            <w:gridSpan w:val="2"/>
          </w:tcPr>
          <w:p>
            <w:pPr>
              <w:ind w:left="360"/>
              <w:spacing w:after="0"/>
              <w:rPr>
                <w:sz w:val="20"/>
                <w:szCs w:val="20"/>
                <w:color w:val="auto"/>
              </w:rPr>
            </w:pPr>
            <w:r>
              <w:rPr>
                <w:rFonts w:ascii="Arial" w:cs="Arial" w:eastAsia="Arial" w:hAnsi="Arial"/>
                <w:sz w:val="18"/>
                <w:szCs w:val="18"/>
                <w:b w:val="1"/>
                <w:bCs w:val="1"/>
                <w:color w:val="auto"/>
              </w:rPr>
              <w:t>Issue of Shares on Vesting</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9.1</w:t>
            </w:r>
          </w:p>
        </w:tc>
        <w:tc>
          <w:tcPr>
            <w:tcW w:w="7320" w:type="dxa"/>
            <w:vAlign w:val="bottom"/>
          </w:tcPr>
          <w:p>
            <w:pPr>
              <w:ind w:left="60"/>
              <w:spacing w:after="0"/>
              <w:rPr>
                <w:sz w:val="20"/>
                <w:szCs w:val="20"/>
                <w:color w:val="auto"/>
              </w:rPr>
            </w:pPr>
            <w:r>
              <w:rPr>
                <w:rFonts w:ascii="Arial" w:cs="Arial" w:eastAsia="Arial" w:hAnsi="Arial"/>
                <w:sz w:val="18"/>
                <w:szCs w:val="18"/>
                <w:color w:val="auto"/>
              </w:rPr>
              <w:t>Issue of Shares</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9.2</w:t>
            </w:r>
          </w:p>
        </w:tc>
        <w:tc>
          <w:tcPr>
            <w:tcW w:w="7320" w:type="dxa"/>
            <w:vAlign w:val="bottom"/>
          </w:tcPr>
          <w:p>
            <w:pPr>
              <w:ind w:left="60"/>
              <w:spacing w:after="0"/>
              <w:rPr>
                <w:sz w:val="20"/>
                <w:szCs w:val="20"/>
                <w:color w:val="auto"/>
              </w:rPr>
            </w:pPr>
            <w:r>
              <w:rPr>
                <w:rFonts w:ascii="Arial" w:cs="Arial" w:eastAsia="Arial" w:hAnsi="Arial"/>
                <w:sz w:val="18"/>
                <w:szCs w:val="18"/>
                <w:color w:val="auto"/>
              </w:rPr>
              <w:t>Application for quotation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9.3</w:t>
            </w:r>
          </w:p>
        </w:tc>
        <w:tc>
          <w:tcPr>
            <w:tcW w:w="7320" w:type="dxa"/>
            <w:vAlign w:val="bottom"/>
          </w:tcPr>
          <w:p>
            <w:pPr>
              <w:ind w:left="60"/>
              <w:spacing w:after="0"/>
              <w:rPr>
                <w:sz w:val="20"/>
                <w:szCs w:val="20"/>
                <w:color w:val="auto"/>
              </w:rPr>
            </w:pPr>
            <w:r>
              <w:rPr>
                <w:rFonts w:ascii="Arial" w:cs="Arial" w:eastAsia="Arial" w:hAnsi="Arial"/>
                <w:sz w:val="18"/>
                <w:szCs w:val="18"/>
                <w:color w:val="auto"/>
              </w:rPr>
              <w:t>Ranking of Shares issued after Vesting</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400" w:type="dxa"/>
            <w:vAlign w:val="bottom"/>
            <w:gridSpan w:val="2"/>
          </w:tcPr>
          <w:p>
            <w:pPr>
              <w:ind w:left="360"/>
              <w:spacing w:after="0"/>
              <w:rPr>
                <w:sz w:val="20"/>
                <w:szCs w:val="20"/>
                <w:color w:val="auto"/>
              </w:rPr>
            </w:pPr>
            <w:r>
              <w:rPr>
                <w:rFonts w:ascii="Arial" w:cs="Arial" w:eastAsia="Arial" w:hAnsi="Arial"/>
                <w:sz w:val="18"/>
                <w:szCs w:val="18"/>
                <w:b w:val="1"/>
                <w:bCs w:val="1"/>
                <w:color w:val="auto"/>
              </w:rPr>
              <w:t>Disposal restriction</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10.1</w:t>
            </w:r>
          </w:p>
        </w:tc>
        <w:tc>
          <w:tcPr>
            <w:tcW w:w="7320" w:type="dxa"/>
            <w:vAlign w:val="bottom"/>
          </w:tcPr>
          <w:p>
            <w:pPr>
              <w:ind w:left="60"/>
              <w:spacing w:after="0"/>
              <w:rPr>
                <w:sz w:val="20"/>
                <w:szCs w:val="20"/>
                <w:color w:val="auto"/>
              </w:rPr>
            </w:pPr>
            <w:r>
              <w:rPr>
                <w:rFonts w:ascii="Arial" w:cs="Arial" w:eastAsia="Arial" w:hAnsi="Arial"/>
                <w:sz w:val="18"/>
                <w:szCs w:val="18"/>
                <w:color w:val="auto"/>
              </w:rPr>
              <w:t>No disposal of Shares for a specified period</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10.2</w:t>
            </w:r>
          </w:p>
        </w:tc>
        <w:tc>
          <w:tcPr>
            <w:tcW w:w="7320" w:type="dxa"/>
            <w:vAlign w:val="bottom"/>
          </w:tcPr>
          <w:p>
            <w:pPr>
              <w:ind w:left="60"/>
              <w:spacing w:after="0"/>
              <w:rPr>
                <w:sz w:val="20"/>
                <w:szCs w:val="20"/>
                <w:color w:val="auto"/>
              </w:rPr>
            </w:pPr>
            <w:r>
              <w:rPr>
                <w:rFonts w:ascii="Arial" w:cs="Arial" w:eastAsia="Arial" w:hAnsi="Arial"/>
                <w:sz w:val="18"/>
                <w:szCs w:val="18"/>
                <w:color w:val="auto"/>
              </w:rPr>
              <w:t>Holding locks or other procedures</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10.3</w:t>
            </w:r>
          </w:p>
        </w:tc>
        <w:tc>
          <w:tcPr>
            <w:tcW w:w="7320" w:type="dxa"/>
            <w:vAlign w:val="bottom"/>
          </w:tcPr>
          <w:p>
            <w:pPr>
              <w:ind w:left="60"/>
              <w:spacing w:after="0"/>
              <w:rPr>
                <w:sz w:val="20"/>
                <w:szCs w:val="20"/>
                <w:color w:val="auto"/>
              </w:rPr>
            </w:pPr>
            <w:r>
              <w:rPr>
                <w:rFonts w:ascii="Arial" w:cs="Arial" w:eastAsia="Arial" w:hAnsi="Arial"/>
                <w:sz w:val="18"/>
                <w:szCs w:val="18"/>
                <w:color w:val="auto"/>
              </w:rPr>
              <w:t>Restrictions cease on Change of Control Trigger Event</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Notice</w:t>
            </w:r>
          </w:p>
        </w:tc>
        <w:tc>
          <w:tcPr>
            <w:tcW w:w="73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11.1</w:t>
            </w:r>
          </w:p>
        </w:tc>
        <w:tc>
          <w:tcPr>
            <w:tcW w:w="7320" w:type="dxa"/>
            <w:vAlign w:val="bottom"/>
          </w:tcPr>
          <w:p>
            <w:pPr>
              <w:ind w:left="60"/>
              <w:spacing w:after="0"/>
              <w:rPr>
                <w:sz w:val="20"/>
                <w:szCs w:val="20"/>
                <w:color w:val="auto"/>
              </w:rPr>
            </w:pPr>
            <w:r>
              <w:rPr>
                <w:rFonts w:ascii="Arial" w:cs="Arial" w:eastAsia="Arial" w:hAnsi="Arial"/>
                <w:sz w:val="18"/>
                <w:szCs w:val="18"/>
                <w:color w:val="auto"/>
              </w:rPr>
              <w:t>Method of giving notice</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11.2</w:t>
            </w:r>
          </w:p>
        </w:tc>
        <w:tc>
          <w:tcPr>
            <w:tcW w:w="7320" w:type="dxa"/>
            <w:vAlign w:val="bottom"/>
          </w:tcPr>
          <w:p>
            <w:pPr>
              <w:ind w:left="60"/>
              <w:spacing w:after="0"/>
              <w:rPr>
                <w:sz w:val="20"/>
                <w:szCs w:val="20"/>
                <w:color w:val="auto"/>
              </w:rPr>
            </w:pPr>
            <w:r>
              <w:rPr>
                <w:rFonts w:ascii="Arial" w:cs="Arial" w:eastAsia="Arial" w:hAnsi="Arial"/>
                <w:sz w:val="18"/>
                <w:szCs w:val="18"/>
                <w:color w:val="auto"/>
              </w:rPr>
              <w:t>When is notice given</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11.3</w:t>
            </w:r>
          </w:p>
        </w:tc>
        <w:tc>
          <w:tcPr>
            <w:tcW w:w="7320" w:type="dxa"/>
            <w:vAlign w:val="bottom"/>
          </w:tcPr>
          <w:p>
            <w:pPr>
              <w:ind w:left="60"/>
              <w:spacing w:after="0"/>
              <w:rPr>
                <w:sz w:val="20"/>
                <w:szCs w:val="20"/>
                <w:color w:val="auto"/>
              </w:rPr>
            </w:pPr>
            <w:r>
              <w:rPr>
                <w:rFonts w:ascii="Arial" w:cs="Arial" w:eastAsia="Arial" w:hAnsi="Arial"/>
                <w:sz w:val="18"/>
                <w:szCs w:val="18"/>
                <w:color w:val="auto"/>
              </w:rPr>
              <w:t>Participant’s address for notices</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11.4</w:t>
            </w:r>
          </w:p>
        </w:tc>
        <w:tc>
          <w:tcPr>
            <w:tcW w:w="7320" w:type="dxa"/>
            <w:vAlign w:val="bottom"/>
          </w:tcPr>
          <w:p>
            <w:pPr>
              <w:ind w:left="60"/>
              <w:spacing w:after="0"/>
              <w:rPr>
                <w:sz w:val="20"/>
                <w:szCs w:val="20"/>
                <w:color w:val="auto"/>
              </w:rPr>
            </w:pPr>
            <w:r>
              <w:rPr>
                <w:rFonts w:ascii="Arial" w:cs="Arial" w:eastAsia="Arial" w:hAnsi="Arial"/>
                <w:sz w:val="18"/>
                <w:szCs w:val="18"/>
                <w:color w:val="auto"/>
              </w:rPr>
              <w:t>Company’s address for notices</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11.5</w:t>
            </w:r>
          </w:p>
        </w:tc>
        <w:tc>
          <w:tcPr>
            <w:tcW w:w="7320" w:type="dxa"/>
            <w:vAlign w:val="bottom"/>
          </w:tcPr>
          <w:p>
            <w:pPr>
              <w:ind w:left="60"/>
              <w:spacing w:after="0"/>
              <w:rPr>
                <w:sz w:val="20"/>
                <w:szCs w:val="20"/>
                <w:color w:val="auto"/>
              </w:rPr>
            </w:pPr>
            <w:r>
              <w:rPr>
                <w:rFonts w:ascii="Arial" w:cs="Arial" w:eastAsia="Arial" w:hAnsi="Arial"/>
                <w:sz w:val="18"/>
                <w:szCs w:val="18"/>
                <w:color w:val="auto"/>
              </w:rPr>
              <w:t>Notices to Permitted Nominees</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6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400" w:type="dxa"/>
            <w:vAlign w:val="bottom"/>
            <w:gridSpan w:val="2"/>
          </w:tcPr>
          <w:p>
            <w:pPr>
              <w:ind w:left="360"/>
              <w:spacing w:after="0"/>
              <w:rPr>
                <w:sz w:val="20"/>
                <w:szCs w:val="20"/>
                <w:color w:val="auto"/>
              </w:rPr>
            </w:pPr>
            <w:r>
              <w:rPr>
                <w:rFonts w:ascii="Arial" w:cs="Arial" w:eastAsia="Arial" w:hAnsi="Arial"/>
                <w:sz w:val="18"/>
                <w:szCs w:val="18"/>
                <w:b w:val="1"/>
                <w:bCs w:val="1"/>
                <w:color w:val="auto"/>
              </w:rPr>
              <w:t>Amendment of the Plan</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12.1</w:t>
            </w:r>
          </w:p>
        </w:tc>
        <w:tc>
          <w:tcPr>
            <w:tcW w:w="73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12.2</w:t>
            </w:r>
          </w:p>
        </w:tc>
        <w:tc>
          <w:tcPr>
            <w:tcW w:w="7320" w:type="dxa"/>
            <w:vAlign w:val="bottom"/>
          </w:tcPr>
          <w:p>
            <w:pPr>
              <w:ind w:left="60"/>
              <w:spacing w:after="0"/>
              <w:rPr>
                <w:sz w:val="20"/>
                <w:szCs w:val="20"/>
                <w:color w:val="auto"/>
              </w:rPr>
            </w:pPr>
            <w:r>
              <w:rPr>
                <w:rFonts w:ascii="Arial" w:cs="Arial" w:eastAsia="Arial" w:hAnsi="Arial"/>
                <w:sz w:val="18"/>
                <w:szCs w:val="18"/>
                <w:color w:val="auto"/>
              </w:rPr>
              <w:t>Restrictions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56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400" w:type="dxa"/>
            <w:vAlign w:val="bottom"/>
            <w:gridSpan w:val="2"/>
          </w:tcPr>
          <w:p>
            <w:pPr>
              <w:ind w:left="360"/>
              <w:spacing w:after="0"/>
              <w:rPr>
                <w:sz w:val="20"/>
                <w:szCs w:val="20"/>
                <w:color w:val="auto"/>
              </w:rPr>
            </w:pPr>
            <w:r>
              <w:rPr>
                <w:rFonts w:ascii="Arial" w:cs="Arial" w:eastAsia="Arial" w:hAnsi="Arial"/>
                <w:sz w:val="18"/>
                <w:szCs w:val="18"/>
                <w:b w:val="1"/>
                <w:bCs w:val="1"/>
                <w:color w:val="auto"/>
              </w:rPr>
              <w:t>Termination of the Plan</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05"/>
        </w:trPr>
        <w:tc>
          <w:tcPr>
            <w:tcW w:w="56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400" w:type="dxa"/>
            <w:vAlign w:val="bottom"/>
            <w:gridSpan w:val="2"/>
          </w:tcPr>
          <w:p>
            <w:pPr>
              <w:ind w:left="360"/>
              <w:spacing w:after="0"/>
              <w:rPr>
                <w:sz w:val="20"/>
                <w:szCs w:val="20"/>
                <w:color w:val="auto"/>
              </w:rPr>
            </w:pPr>
            <w:r>
              <w:rPr>
                <w:rFonts w:ascii="Arial" w:cs="Arial" w:eastAsia="Arial" w:hAnsi="Arial"/>
                <w:sz w:val="18"/>
                <w:szCs w:val="18"/>
                <w:b w:val="1"/>
                <w:bCs w:val="1"/>
                <w:color w:val="auto"/>
              </w:rPr>
              <w:t>Administration of the Plan</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14.1</w:t>
            </w:r>
          </w:p>
        </w:tc>
        <w:tc>
          <w:tcPr>
            <w:tcW w:w="7320" w:type="dxa"/>
            <w:vAlign w:val="bottom"/>
          </w:tcPr>
          <w:p>
            <w:pPr>
              <w:ind w:left="60"/>
              <w:spacing w:after="0"/>
              <w:rPr>
                <w:sz w:val="20"/>
                <w:szCs w:val="20"/>
                <w:color w:val="auto"/>
              </w:rPr>
            </w:pPr>
            <w:r>
              <w:rPr>
                <w:rFonts w:ascii="Arial" w:cs="Arial" w:eastAsia="Arial" w:hAnsi="Arial"/>
                <w:sz w:val="18"/>
                <w:szCs w:val="18"/>
                <w:color w:val="auto"/>
              </w:rPr>
              <w:t>Authority to form policy and delegation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14.2</w:t>
            </w:r>
          </w:p>
        </w:tc>
        <w:tc>
          <w:tcPr>
            <w:tcW w:w="7320" w:type="dxa"/>
            <w:vAlign w:val="bottom"/>
          </w:tcPr>
          <w:p>
            <w:pPr>
              <w:ind w:left="60"/>
              <w:spacing w:after="0"/>
              <w:rPr>
                <w:sz w:val="20"/>
                <w:szCs w:val="20"/>
                <w:color w:val="auto"/>
              </w:rPr>
            </w:pPr>
            <w:r>
              <w:rPr>
                <w:rFonts w:ascii="Arial" w:cs="Arial" w:eastAsia="Arial" w:hAnsi="Arial"/>
                <w:sz w:val="18"/>
                <w:szCs w:val="18"/>
                <w:color w:val="auto"/>
              </w:rPr>
              <w:t>Obligations of Board</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14.3</w:t>
            </w:r>
          </w:p>
        </w:tc>
        <w:tc>
          <w:tcPr>
            <w:tcW w:w="7320" w:type="dxa"/>
            <w:vAlign w:val="bottom"/>
          </w:tcPr>
          <w:p>
            <w:pPr>
              <w:ind w:left="60"/>
              <w:spacing w:after="0"/>
              <w:rPr>
                <w:sz w:val="20"/>
                <w:szCs w:val="20"/>
                <w:color w:val="auto"/>
              </w:rPr>
            </w:pPr>
            <w:r>
              <w:rPr>
                <w:rFonts w:ascii="Arial" w:cs="Arial" w:eastAsia="Arial" w:hAnsi="Arial"/>
                <w:sz w:val="18"/>
                <w:szCs w:val="18"/>
                <w:color w:val="auto"/>
              </w:rPr>
              <w:t>Board decisions</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14.4</w:t>
            </w:r>
          </w:p>
        </w:tc>
        <w:tc>
          <w:tcPr>
            <w:tcW w:w="7320" w:type="dxa"/>
            <w:vAlign w:val="bottom"/>
          </w:tcPr>
          <w:p>
            <w:pPr>
              <w:ind w:left="60"/>
              <w:spacing w:after="0"/>
              <w:rPr>
                <w:sz w:val="20"/>
                <w:szCs w:val="20"/>
                <w:color w:val="auto"/>
              </w:rPr>
            </w:pPr>
            <w:r>
              <w:rPr>
                <w:rFonts w:ascii="Arial" w:cs="Arial" w:eastAsia="Arial" w:hAnsi="Arial"/>
                <w:sz w:val="18"/>
                <w:szCs w:val="18"/>
                <w:color w:val="auto"/>
              </w:rPr>
              <w:t>Board, Company and delegates may act in its absolute discretion</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14.5</w:t>
            </w:r>
          </w:p>
        </w:tc>
        <w:tc>
          <w:tcPr>
            <w:tcW w:w="7320" w:type="dxa"/>
            <w:vAlign w:val="bottom"/>
          </w:tcPr>
          <w:p>
            <w:pPr>
              <w:ind w:left="60"/>
              <w:spacing w:after="0"/>
              <w:rPr>
                <w:sz w:val="20"/>
                <w:szCs w:val="20"/>
                <w:color w:val="auto"/>
              </w:rPr>
            </w:pPr>
            <w:r>
              <w:rPr>
                <w:rFonts w:ascii="Arial" w:cs="Arial" w:eastAsia="Arial" w:hAnsi="Arial"/>
                <w:sz w:val="18"/>
                <w:szCs w:val="18"/>
                <w:color w:val="auto"/>
              </w:rPr>
              <w:t>Independent advice by Board</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5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400" w:type="dxa"/>
            <w:vAlign w:val="bottom"/>
            <w:gridSpan w:val="2"/>
          </w:tcPr>
          <w:p>
            <w:pPr>
              <w:ind w:left="360"/>
              <w:spacing w:after="0"/>
              <w:rPr>
                <w:sz w:val="20"/>
                <w:szCs w:val="20"/>
                <w:color w:val="auto"/>
              </w:rPr>
            </w:pPr>
            <w:r>
              <w:rPr>
                <w:rFonts w:ascii="Arial" w:cs="Arial" w:eastAsia="Arial" w:hAnsi="Arial"/>
                <w:sz w:val="18"/>
                <w:szCs w:val="18"/>
                <w:b w:val="1"/>
                <w:bCs w:val="1"/>
                <w:color w:val="auto"/>
              </w:rPr>
              <w:t>Rights of Eligible Participants and Participants</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05"/>
        </w:trPr>
        <w:tc>
          <w:tcPr>
            <w:tcW w:w="560" w:type="dxa"/>
            <w:vAlign w:val="bottom"/>
          </w:tcPr>
          <w:p>
            <w:pPr>
              <w:spacing w:after="0"/>
              <w:rPr>
                <w:sz w:val="20"/>
                <w:szCs w:val="20"/>
                <w:color w:val="auto"/>
              </w:rPr>
            </w:pPr>
            <w:r>
              <w:rPr>
                <w:rFonts w:ascii="Arial" w:cs="Arial" w:eastAsia="Arial" w:hAnsi="Arial"/>
                <w:sz w:val="18"/>
                <w:szCs w:val="18"/>
                <w:b w:val="1"/>
                <w:bCs w:val="1"/>
                <w:color w:val="auto"/>
              </w:rPr>
              <w:t>16</w:t>
            </w:r>
          </w:p>
        </w:tc>
        <w:tc>
          <w:tcPr>
            <w:tcW w:w="1080" w:type="dxa"/>
            <w:vAlign w:val="bottom"/>
          </w:tcPr>
          <w:p>
            <w:pPr>
              <w:ind w:left="360"/>
              <w:spacing w:after="0"/>
              <w:rPr>
                <w:sz w:val="20"/>
                <w:szCs w:val="20"/>
                <w:color w:val="auto"/>
              </w:rPr>
            </w:pPr>
            <w:r>
              <w:rPr>
                <w:rFonts w:ascii="Arial" w:cs="Arial" w:eastAsia="Arial" w:hAnsi="Arial"/>
                <w:sz w:val="18"/>
                <w:szCs w:val="18"/>
                <w:b w:val="1"/>
                <w:bCs w:val="1"/>
                <w:color w:val="auto"/>
              </w:rPr>
              <w:t>General</w:t>
            </w:r>
          </w:p>
        </w:tc>
        <w:tc>
          <w:tcPr>
            <w:tcW w:w="73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16.1</w:t>
            </w:r>
          </w:p>
        </w:tc>
        <w:tc>
          <w:tcPr>
            <w:tcW w:w="7320" w:type="dxa"/>
            <w:vAlign w:val="bottom"/>
          </w:tcPr>
          <w:p>
            <w:pPr>
              <w:ind w:left="60"/>
              <w:spacing w:after="0"/>
              <w:rPr>
                <w:sz w:val="20"/>
                <w:szCs w:val="20"/>
                <w:color w:val="auto"/>
              </w:rPr>
            </w:pPr>
            <w:r>
              <w:rPr>
                <w:rFonts w:ascii="Arial" w:cs="Arial" w:eastAsia="Arial" w:hAnsi="Arial"/>
                <w:sz w:val="18"/>
                <w:szCs w:val="18"/>
                <w:color w:val="auto"/>
              </w:rPr>
              <w:t>Listing Rules and Constitution</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16.2</w:t>
            </w:r>
          </w:p>
        </w:tc>
        <w:tc>
          <w:tcPr>
            <w:tcW w:w="7320" w:type="dxa"/>
            <w:vAlign w:val="bottom"/>
          </w:tcPr>
          <w:p>
            <w:pPr>
              <w:ind w:left="60"/>
              <w:spacing w:after="0"/>
              <w:rPr>
                <w:sz w:val="20"/>
                <w:szCs w:val="20"/>
                <w:color w:val="auto"/>
              </w:rPr>
            </w:pPr>
            <w:r>
              <w:rPr>
                <w:rFonts w:ascii="Arial" w:cs="Arial" w:eastAsia="Arial" w:hAnsi="Arial"/>
                <w:sz w:val="18"/>
                <w:szCs w:val="18"/>
                <w:color w:val="auto"/>
              </w:rPr>
              <w:t>Costs</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16.3</w:t>
            </w:r>
          </w:p>
        </w:tc>
        <w:tc>
          <w:tcPr>
            <w:tcW w:w="7320" w:type="dxa"/>
            <w:vAlign w:val="bottom"/>
          </w:tcPr>
          <w:p>
            <w:pPr>
              <w:ind w:left="60"/>
              <w:spacing w:after="0"/>
              <w:rPr>
                <w:sz w:val="20"/>
                <w:szCs w:val="20"/>
                <w:color w:val="auto"/>
              </w:rPr>
            </w:pPr>
            <w:r>
              <w:rPr>
                <w:rFonts w:ascii="Arial" w:cs="Arial" w:eastAsia="Arial" w:hAnsi="Arial"/>
                <w:sz w:val="18"/>
                <w:szCs w:val="18"/>
                <w:color w:val="auto"/>
              </w:rPr>
              <w:t>Advice</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56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rPr>
              <w:t>16.4</w:t>
            </w:r>
          </w:p>
        </w:tc>
        <w:tc>
          <w:tcPr>
            <w:tcW w:w="7320" w:type="dxa"/>
            <w:vAlign w:val="bottom"/>
          </w:tcPr>
          <w:p>
            <w:pPr>
              <w:ind w:left="60"/>
              <w:spacing w:after="0"/>
              <w:rPr>
                <w:sz w:val="20"/>
                <w:szCs w:val="20"/>
                <w:color w:val="auto"/>
              </w:rPr>
            </w:pPr>
            <w:r>
              <w:rPr>
                <w:rFonts w:ascii="Arial" w:cs="Arial" w:eastAsia="Arial" w:hAnsi="Arial"/>
                <w:sz w:val="18"/>
                <w:szCs w:val="18"/>
                <w:color w:val="auto"/>
              </w:rPr>
              <w:t>Governing law and jurisdiction</w:t>
            </w:r>
          </w:p>
        </w:tc>
        <w:tc>
          <w:tcPr>
            <w:tcW w:w="2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56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7320" w:type="dxa"/>
            <w:vAlign w:val="bottom"/>
          </w:tcPr>
          <w:p>
            <w:pPr>
              <w:ind w:left="280"/>
              <w:spacing w:after="0"/>
              <w:rPr>
                <w:sz w:val="20"/>
                <w:szCs w:val="20"/>
                <w:color w:val="auto"/>
              </w:rPr>
            </w:pPr>
            <w:r>
              <w:rPr>
                <w:rFonts w:ascii="Arial" w:cs="Arial" w:eastAsia="Arial" w:hAnsi="Arial"/>
                <w:sz w:val="18"/>
                <w:szCs w:val="18"/>
                <w:color w:val="auto"/>
              </w:rPr>
              <w:t>Performance rights plan</w:t>
            </w:r>
          </w:p>
        </w:tc>
        <w:tc>
          <w:tcPr>
            <w:tcW w:w="22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669"/>
        </w:trPr>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1116" w:right="339" w:bottom="1440" w:gutter="0" w:footer="0" w:header="0"/>
        </w:sectPr>
      </w:pPr>
      <w:r>
        <w:rPr>
          <w:sz w:val="20"/>
          <w:szCs w:val="20"/>
          <w:color w:val="auto"/>
        </w:rPr>
        <w:drawing>
          <wp:anchor simplePos="0" relativeHeight="251657728" behindDoc="1" locked="0" layoutInCell="0" allowOverlap="1">
            <wp:simplePos x="0" y="0"/>
            <wp:positionH relativeFrom="page">
              <wp:posOffset>6191885</wp:posOffset>
            </wp:positionH>
            <wp:positionV relativeFrom="page">
              <wp:posOffset>217805</wp:posOffset>
            </wp:positionV>
            <wp:extent cx="1148715" cy="3771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r>
    </w:p>
    <w:bookmarkStart w:id="222" w:name="page223"/>
    <w:bookmarkEnd w:id="22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6157595</wp:posOffset>
            </wp:positionH>
            <wp:positionV relativeFrom="page">
              <wp:posOffset>217805</wp:posOffset>
            </wp:positionV>
            <wp:extent cx="1148715" cy="3771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Performance rights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Graphitecorp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Plan involves the grant of Rights to Eligible Participants on the terms in this document.</w:t>
      </w:r>
    </w:p>
    <w:p>
      <w:pPr>
        <w:spacing w:after="0" w:line="176" w:lineRule="exact"/>
        <w:rPr>
          <w:sz w:val="20"/>
          <w:szCs w:val="20"/>
          <w:color w:val="auto"/>
        </w:rPr>
      </w:pPr>
    </w:p>
    <w:p>
      <w:pPr>
        <w:ind w:right="8160" w:firstLine="8"/>
        <w:spacing w:after="0" w:line="505" w:lineRule="auto"/>
        <w:tabs>
          <w:tab w:leader="none" w:pos="567"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In this document:</w:t>
            </w:r>
          </w:p>
        </w:tc>
        <w:tc>
          <w:tcPr>
            <w:tcW w:w="8500" w:type="dxa"/>
            <w:vAlign w:val="bottom"/>
          </w:tcPr>
          <w:p>
            <w:pPr>
              <w:spacing w:after="0"/>
              <w:rPr>
                <w:sz w:val="18"/>
                <w:szCs w:val="18"/>
                <w:color w:val="auto"/>
              </w:rPr>
            </w:pPr>
          </w:p>
        </w:tc>
      </w:tr>
      <w:tr>
        <w:trPr>
          <w:trHeight w:val="392"/>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85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Definition</w:t>
            </w:r>
          </w:p>
        </w:tc>
      </w:tr>
      <w:tr>
        <w:trPr>
          <w:trHeight w:val="195"/>
        </w:trPr>
        <w:tc>
          <w:tcPr>
            <w:tcW w:w="2160" w:type="dxa"/>
            <w:vAlign w:val="bottom"/>
          </w:tcPr>
          <w:p>
            <w:pPr>
              <w:spacing w:after="0" w:line="195" w:lineRule="exact"/>
              <w:rPr>
                <w:sz w:val="20"/>
                <w:szCs w:val="20"/>
                <w:color w:val="auto"/>
              </w:rPr>
            </w:pPr>
            <w:r>
              <w:rPr>
                <w:rFonts w:ascii="Arial" w:cs="Arial" w:eastAsia="Arial" w:hAnsi="Arial"/>
                <w:sz w:val="18"/>
                <w:szCs w:val="18"/>
                <w:b w:val="1"/>
                <w:bCs w:val="1"/>
                <w:color w:val="auto"/>
              </w:rPr>
              <w:t>Acceptance Form</w:t>
            </w:r>
          </w:p>
        </w:tc>
        <w:tc>
          <w:tcPr>
            <w:tcW w:w="8500" w:type="dxa"/>
            <w:vAlign w:val="bottom"/>
          </w:tcPr>
          <w:p>
            <w:pPr>
              <w:ind w:left="660"/>
              <w:spacing w:after="0" w:line="195" w:lineRule="exact"/>
              <w:rPr>
                <w:sz w:val="20"/>
                <w:szCs w:val="20"/>
                <w:color w:val="auto"/>
              </w:rPr>
            </w:pPr>
            <w:r>
              <w:rPr>
                <w:rFonts w:ascii="Arial" w:cs="Arial" w:eastAsia="Arial" w:hAnsi="Arial"/>
                <w:sz w:val="18"/>
                <w:szCs w:val="18"/>
                <w:color w:val="auto"/>
              </w:rPr>
              <w:t>means an acceptance of an Offer completed and signed by an Eligible Participant (and any</w:t>
            </w:r>
          </w:p>
        </w:tc>
      </w:tr>
      <w:tr>
        <w:trPr>
          <w:trHeight w:val="217"/>
        </w:trPr>
        <w:tc>
          <w:tcPr>
            <w:tcW w:w="21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Arial" w:cs="Arial" w:eastAsia="Arial" w:hAnsi="Arial"/>
                <w:sz w:val="18"/>
                <w:szCs w:val="18"/>
                <w:color w:val="auto"/>
              </w:rPr>
              <w:t>Permitted Nominee) in the form attached to the Offer.</w:t>
            </w:r>
          </w:p>
        </w:tc>
      </w:tr>
      <w:tr>
        <w:trPr>
          <w:trHeight w:val="405"/>
        </w:trPr>
        <w:tc>
          <w:tcPr>
            <w:tcW w:w="2160" w:type="dxa"/>
            <w:vAlign w:val="bottom"/>
          </w:tcPr>
          <w:p>
            <w:pPr>
              <w:spacing w:after="0"/>
              <w:rPr>
                <w:sz w:val="20"/>
                <w:szCs w:val="20"/>
                <w:color w:val="auto"/>
              </w:rPr>
            </w:pPr>
            <w:r>
              <w:rPr>
                <w:rFonts w:ascii="Arial" w:cs="Arial" w:eastAsia="Arial" w:hAnsi="Arial"/>
                <w:sz w:val="18"/>
                <w:szCs w:val="18"/>
                <w:b w:val="1"/>
                <w:bCs w:val="1"/>
                <w:color w:val="auto"/>
              </w:rPr>
              <w:t>ASIC</w:t>
            </w:r>
          </w:p>
        </w:tc>
        <w:tc>
          <w:tcPr>
            <w:tcW w:w="8500" w:type="dxa"/>
            <w:vAlign w:val="bottom"/>
          </w:tcPr>
          <w:p>
            <w:pPr>
              <w:ind w:left="660"/>
              <w:spacing w:after="0"/>
              <w:rPr>
                <w:sz w:val="20"/>
                <w:szCs w:val="20"/>
                <w:color w:val="auto"/>
              </w:rPr>
            </w:pPr>
            <w:r>
              <w:rPr>
                <w:rFonts w:ascii="Arial" w:cs="Arial" w:eastAsia="Arial" w:hAnsi="Arial"/>
                <w:sz w:val="18"/>
                <w:szCs w:val="18"/>
                <w:color w:val="auto"/>
              </w:rPr>
              <w:t>means the Australian Securities and Investments Commission.</w:t>
            </w:r>
          </w:p>
        </w:tc>
      </w:tr>
      <w:tr>
        <w:trPr>
          <w:trHeight w:val="391"/>
        </w:trPr>
        <w:tc>
          <w:tcPr>
            <w:tcW w:w="2160" w:type="dxa"/>
            <w:vAlign w:val="bottom"/>
          </w:tcPr>
          <w:p>
            <w:pPr>
              <w:spacing w:after="0"/>
              <w:rPr>
                <w:sz w:val="20"/>
                <w:szCs w:val="20"/>
                <w:color w:val="auto"/>
              </w:rPr>
            </w:pPr>
            <w:r>
              <w:rPr>
                <w:rFonts w:ascii="Arial" w:cs="Arial" w:eastAsia="Arial" w:hAnsi="Arial"/>
                <w:sz w:val="18"/>
                <w:szCs w:val="18"/>
                <w:b w:val="1"/>
                <w:bCs w:val="1"/>
                <w:color w:val="auto"/>
              </w:rPr>
              <w:t>ASX</w:t>
            </w:r>
          </w:p>
        </w:tc>
        <w:tc>
          <w:tcPr>
            <w:tcW w:w="8500" w:type="dxa"/>
            <w:vAlign w:val="bottom"/>
          </w:tcPr>
          <w:p>
            <w:pPr>
              <w:ind w:left="660"/>
              <w:spacing w:after="0"/>
              <w:rPr>
                <w:sz w:val="20"/>
                <w:szCs w:val="20"/>
                <w:color w:val="auto"/>
              </w:rPr>
            </w:pPr>
            <w:r>
              <w:rPr>
                <w:rFonts w:ascii="Arial" w:cs="Arial" w:eastAsia="Arial" w:hAnsi="Arial"/>
                <w:sz w:val="18"/>
                <w:szCs w:val="18"/>
                <w:color w:val="auto"/>
              </w:rPr>
              <w:t>means ASX Limited ACN 008 624 691 or the securities exchange operated by it (as the case</w:t>
            </w:r>
          </w:p>
        </w:tc>
      </w:tr>
      <w:tr>
        <w:trPr>
          <w:trHeight w:val="217"/>
        </w:trPr>
        <w:tc>
          <w:tcPr>
            <w:tcW w:w="21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Arial" w:cs="Arial" w:eastAsia="Arial" w:hAnsi="Arial"/>
                <w:sz w:val="18"/>
                <w:szCs w:val="18"/>
                <w:color w:val="auto"/>
              </w:rPr>
              <w:t>requires).</w:t>
            </w:r>
          </w:p>
        </w:tc>
      </w:tr>
      <w:tr>
        <w:trPr>
          <w:trHeight w:val="391"/>
        </w:trPr>
        <w:tc>
          <w:tcPr>
            <w:tcW w:w="2160" w:type="dxa"/>
            <w:vAlign w:val="bottom"/>
          </w:tcPr>
          <w:p>
            <w:pPr>
              <w:spacing w:after="0"/>
              <w:rPr>
                <w:sz w:val="20"/>
                <w:szCs w:val="20"/>
                <w:color w:val="auto"/>
              </w:rPr>
            </w:pPr>
            <w:r>
              <w:rPr>
                <w:rFonts w:ascii="Arial" w:cs="Arial" w:eastAsia="Arial" w:hAnsi="Arial"/>
                <w:sz w:val="18"/>
                <w:szCs w:val="18"/>
                <w:b w:val="1"/>
                <w:bCs w:val="1"/>
                <w:color w:val="auto"/>
              </w:rPr>
              <w:t>Bidder</w:t>
            </w:r>
          </w:p>
        </w:tc>
        <w:tc>
          <w:tcPr>
            <w:tcW w:w="8500" w:type="dxa"/>
            <w:vAlign w:val="bottom"/>
          </w:tcPr>
          <w:p>
            <w:pPr>
              <w:ind w:left="660"/>
              <w:spacing w:after="0"/>
              <w:rPr>
                <w:sz w:val="20"/>
                <w:szCs w:val="20"/>
                <w:color w:val="auto"/>
              </w:rPr>
            </w:pPr>
            <w:r>
              <w:rPr>
                <w:rFonts w:ascii="Arial" w:cs="Arial" w:eastAsia="Arial" w:hAnsi="Arial"/>
                <w:sz w:val="18"/>
                <w:szCs w:val="18"/>
                <w:color w:val="auto"/>
                <w:w w:val="99"/>
              </w:rPr>
              <w:t>means a person who proposes to acquire (together with their associates) all of the ordinary shares</w:t>
            </w:r>
          </w:p>
        </w:tc>
      </w:tr>
      <w:tr>
        <w:trPr>
          <w:trHeight w:val="217"/>
        </w:trPr>
        <w:tc>
          <w:tcPr>
            <w:tcW w:w="2160" w:type="dxa"/>
            <w:vAlign w:val="bottom"/>
          </w:tcPr>
          <w:p>
            <w:pPr>
              <w:spacing w:after="0"/>
              <w:rPr>
                <w:sz w:val="18"/>
                <w:szCs w:val="18"/>
                <w:color w:val="auto"/>
              </w:rPr>
            </w:pPr>
          </w:p>
        </w:tc>
        <w:tc>
          <w:tcPr>
            <w:tcW w:w="8500" w:type="dxa"/>
            <w:vAlign w:val="bottom"/>
          </w:tcPr>
          <w:p>
            <w:pPr>
              <w:ind w:left="660"/>
              <w:spacing w:after="0"/>
              <w:rPr>
                <w:sz w:val="20"/>
                <w:szCs w:val="20"/>
                <w:color w:val="auto"/>
              </w:rPr>
            </w:pPr>
            <w:r>
              <w:rPr>
                <w:rFonts w:ascii="Arial" w:cs="Arial" w:eastAsia="Arial" w:hAnsi="Arial"/>
                <w:sz w:val="18"/>
                <w:szCs w:val="18"/>
                <w:color w:val="auto"/>
              </w:rPr>
              <w:t>in the Company.</w:t>
            </w:r>
          </w:p>
        </w:tc>
      </w:tr>
      <w:tr>
        <w:trPr>
          <w:trHeight w:val="405"/>
        </w:trPr>
        <w:tc>
          <w:tcPr>
            <w:tcW w:w="2160" w:type="dxa"/>
            <w:vAlign w:val="bottom"/>
          </w:tcPr>
          <w:p>
            <w:pPr>
              <w:spacing w:after="0"/>
              <w:rPr>
                <w:sz w:val="20"/>
                <w:szCs w:val="20"/>
                <w:color w:val="auto"/>
              </w:rPr>
            </w:pPr>
            <w:r>
              <w:rPr>
                <w:rFonts w:ascii="Arial" w:cs="Arial" w:eastAsia="Arial" w:hAnsi="Arial"/>
                <w:sz w:val="18"/>
                <w:szCs w:val="18"/>
                <w:b w:val="1"/>
                <w:bCs w:val="1"/>
                <w:color w:val="auto"/>
              </w:rPr>
              <w:t>Board</w:t>
            </w:r>
          </w:p>
        </w:tc>
        <w:tc>
          <w:tcPr>
            <w:tcW w:w="8500" w:type="dxa"/>
            <w:vAlign w:val="bottom"/>
          </w:tcPr>
          <w:p>
            <w:pPr>
              <w:ind w:left="660"/>
              <w:spacing w:after="0"/>
              <w:rPr>
                <w:sz w:val="20"/>
                <w:szCs w:val="20"/>
                <w:color w:val="auto"/>
              </w:rPr>
            </w:pPr>
            <w:r>
              <w:rPr>
                <w:rFonts w:ascii="Arial" w:cs="Arial" w:eastAsia="Arial" w:hAnsi="Arial"/>
                <w:sz w:val="18"/>
                <w:szCs w:val="18"/>
                <w:color w:val="auto"/>
              </w:rPr>
              <w:t>means the Company’s board of Directors.</w:t>
            </w:r>
          </w:p>
        </w:tc>
      </w:tr>
      <w:tr>
        <w:trPr>
          <w:trHeight w:val="405"/>
        </w:trPr>
        <w:tc>
          <w:tcPr>
            <w:tcW w:w="2160" w:type="dxa"/>
            <w:vAlign w:val="bottom"/>
          </w:tcPr>
          <w:p>
            <w:pPr>
              <w:spacing w:after="0"/>
              <w:rPr>
                <w:sz w:val="20"/>
                <w:szCs w:val="20"/>
                <w:color w:val="auto"/>
              </w:rPr>
            </w:pPr>
            <w:r>
              <w:rPr>
                <w:rFonts w:ascii="Arial" w:cs="Arial" w:eastAsia="Arial" w:hAnsi="Arial"/>
                <w:sz w:val="18"/>
                <w:szCs w:val="18"/>
                <w:b w:val="1"/>
                <w:bCs w:val="1"/>
                <w:color w:val="auto"/>
              </w:rPr>
              <w:t>Business Day</w:t>
            </w:r>
          </w:p>
        </w:tc>
        <w:tc>
          <w:tcPr>
            <w:tcW w:w="8500" w:type="dxa"/>
            <w:vAlign w:val="bottom"/>
          </w:tcPr>
          <w:p>
            <w:pPr>
              <w:ind w:left="660"/>
              <w:spacing w:after="0"/>
              <w:rPr>
                <w:sz w:val="20"/>
                <w:szCs w:val="20"/>
                <w:color w:val="auto"/>
              </w:rPr>
            </w:pPr>
            <w:r>
              <w:rPr>
                <w:rFonts w:ascii="Arial" w:cs="Arial" w:eastAsia="Arial" w:hAnsi="Arial"/>
                <w:sz w:val="18"/>
                <w:szCs w:val="18"/>
                <w:color w:val="auto"/>
              </w:rPr>
              <w:t>means a business day as defined in the Listing Rules.</w:t>
            </w:r>
          </w:p>
        </w:tc>
      </w:tr>
    </w:tbl>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Change of Control Trigger Event </w:t>
      </w:r>
      <w:r>
        <w:rPr>
          <w:rFonts w:ascii="Arial" w:cs="Arial" w:eastAsia="Arial" w:hAnsi="Arial"/>
          <w:sz w:val="18"/>
          <w:szCs w:val="18"/>
          <w:color w:val="auto"/>
        </w:rPr>
        <w:t>means:</w:t>
      </w:r>
    </w:p>
    <w:p>
      <w:pPr>
        <w:spacing w:after="0" w:line="18" w:lineRule="exact"/>
        <w:rPr>
          <w:sz w:val="20"/>
          <w:szCs w:val="20"/>
          <w:color w:val="auto"/>
        </w:rPr>
      </w:pPr>
    </w:p>
    <w:p>
      <w:pPr>
        <w:ind w:left="3960" w:right="560" w:hanging="564"/>
        <w:spacing w:after="0" w:line="246" w:lineRule="auto"/>
        <w:tabs>
          <w:tab w:leader="none" w:pos="3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person acquires voting power (within the meaning of section 610 Corporations Act) in more than 50% of the ordinary shares in the Company;</w:t>
      </w:r>
    </w:p>
    <w:p>
      <w:pPr>
        <w:spacing w:after="0" w:line="178" w:lineRule="exact"/>
        <w:rPr>
          <w:rFonts w:ascii="Arial" w:cs="Arial" w:eastAsia="Arial" w:hAnsi="Arial"/>
          <w:sz w:val="18"/>
          <w:szCs w:val="18"/>
          <w:color w:val="auto"/>
        </w:rPr>
      </w:pPr>
    </w:p>
    <w:p>
      <w:pPr>
        <w:ind w:left="3960" w:hanging="564"/>
        <w:spacing w:after="0"/>
        <w:tabs>
          <w:tab w:leader="none" w:pos="3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 order of the court made for the purposes of section 411(4)(b) Corporations Act,</w:t>
      </w:r>
    </w:p>
    <w:p>
      <w:pPr>
        <w:ind w:left="3960" w:right="420"/>
        <w:spacing w:after="0" w:line="246" w:lineRule="auto"/>
        <w:rPr>
          <w:rFonts w:ascii="Arial" w:cs="Arial" w:eastAsia="Arial" w:hAnsi="Arial"/>
          <w:sz w:val="18"/>
          <w:szCs w:val="18"/>
          <w:color w:val="auto"/>
        </w:rPr>
      </w:pPr>
      <w:r>
        <w:rPr>
          <w:rFonts w:ascii="Arial" w:cs="Arial" w:eastAsia="Arial" w:hAnsi="Arial"/>
          <w:sz w:val="18"/>
          <w:szCs w:val="18"/>
          <w:color w:val="auto"/>
        </w:rPr>
        <w:t>in connection with a members’ scheme of arrangement to effect a change of Control of the Company, is lodged with ASIC under section 411(10) Corporations Act;</w:t>
      </w:r>
    </w:p>
    <w:p>
      <w:pPr>
        <w:spacing w:after="0" w:line="183" w:lineRule="exact"/>
        <w:rPr>
          <w:rFonts w:ascii="Arial" w:cs="Arial" w:eastAsia="Arial" w:hAnsi="Arial"/>
          <w:sz w:val="18"/>
          <w:szCs w:val="18"/>
          <w:color w:val="auto"/>
        </w:rPr>
      </w:pPr>
    </w:p>
    <w:p>
      <w:pPr>
        <w:ind w:left="3960" w:hanging="564"/>
        <w:spacing w:after="0"/>
        <w:tabs>
          <w:tab w:leader="none" w:pos="3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Company disposes of the whole or a substantial part of its assets or undertaking; or</w:t>
      </w:r>
    </w:p>
    <w:p>
      <w:pPr>
        <w:spacing w:after="0" w:line="198" w:lineRule="exact"/>
        <w:rPr>
          <w:rFonts w:ascii="Arial" w:cs="Arial" w:eastAsia="Arial" w:hAnsi="Arial"/>
          <w:sz w:val="18"/>
          <w:szCs w:val="18"/>
          <w:color w:val="auto"/>
        </w:rPr>
      </w:pPr>
    </w:p>
    <w:p>
      <w:pPr>
        <w:ind w:left="3960" w:right="300" w:hanging="564"/>
        <w:spacing w:after="0"/>
        <w:tabs>
          <w:tab w:leader="none" w:pos="3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 event set out in paragraph (a) or (b) is, in the opinion of the Board, likely to occur in the near future and the Board decides to nominate a date on which a Change of Control Trigger Event is taken to have occurred.</w:t>
      </w:r>
    </w:p>
    <w:p>
      <w:pPr>
        <w:sectPr>
          <w:pgSz w:w="11900" w:h="16838" w:orient="portrait"/>
          <w:cols w:equalWidth="0" w:num="1">
            <w:col w:w="11240"/>
          </w:cols>
          <w:pgMar w:left="320" w:top="970" w:right="339" w:bottom="1440" w:gutter="0" w:footer="0" w:header="0"/>
        </w:sectPr>
      </w:pPr>
    </w:p>
    <w:p>
      <w:pPr>
        <w:spacing w:after="0" w:line="16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Company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means Graphitecorp Limited ACN 157 690 830.</w:t>
      </w:r>
    </w:p>
    <w:p>
      <w:pPr>
        <w:spacing w:after="0" w:line="188" w:lineRule="exact"/>
        <w:rPr>
          <w:sz w:val="20"/>
          <w:szCs w:val="20"/>
          <w:color w:val="auto"/>
        </w:rPr>
      </w:pPr>
    </w:p>
    <w:p>
      <w:pPr>
        <w:sectPr>
          <w:pgSz w:w="11900" w:h="16838" w:orient="portrait"/>
          <w:cols w:equalWidth="0" w:num="2">
            <w:col w:w="2680" w:space="720"/>
            <w:col w:w="7840"/>
          </w:cols>
          <w:pgMar w:left="320" w:top="970" w:right="339" w:bottom="1440" w:gutter="0" w:footer="0" w:header="0"/>
          <w:type w:val="continuous"/>
        </w:sectPr>
      </w:pPr>
    </w:p>
    <w:p>
      <w:pPr>
        <w:ind w:left="580"/>
        <w:spacing w:after="0"/>
        <w:rPr>
          <w:sz w:val="20"/>
          <w:szCs w:val="20"/>
          <w:color w:val="auto"/>
        </w:rPr>
      </w:pPr>
      <w:r>
        <w:rPr>
          <w:rFonts w:ascii="Arial" w:cs="Arial" w:eastAsia="Arial" w:hAnsi="Arial"/>
          <w:sz w:val="18"/>
          <w:szCs w:val="18"/>
          <w:b w:val="1"/>
          <w:bCs w:val="1"/>
          <w:color w:val="auto"/>
        </w:rPr>
        <w:t>Constitution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means the Company’s constitution.</w:t>
      </w:r>
    </w:p>
    <w:p>
      <w:pPr>
        <w:spacing w:after="0" w:line="200" w:lineRule="exact"/>
        <w:rPr>
          <w:sz w:val="20"/>
          <w:szCs w:val="20"/>
          <w:color w:val="auto"/>
        </w:rPr>
      </w:pPr>
    </w:p>
    <w:p>
      <w:pPr>
        <w:sectPr>
          <w:pgSz w:w="11900" w:h="16838" w:orient="portrait"/>
          <w:cols w:equalWidth="0" w:num="2">
            <w:col w:w="2680" w:space="720"/>
            <w:col w:w="7840"/>
          </w:cols>
          <w:pgMar w:left="320" w:top="970" w:right="339" w:bottom="1440" w:gutter="0" w:footer="0" w:header="0"/>
          <w:type w:val="continuous"/>
        </w:sectPr>
      </w:pPr>
    </w:p>
    <w:p>
      <w:pPr>
        <w:spacing w:after="0" w:line="10" w:lineRule="exact"/>
        <w:rPr>
          <w:sz w:val="20"/>
          <w:szCs w:val="20"/>
          <w:color w:val="auto"/>
        </w:rPr>
      </w:pPr>
    </w:p>
    <w:p>
      <w:pPr>
        <w:ind w:left="1920" w:hanging="562"/>
        <w:spacing w:after="0"/>
        <w:tabs>
          <w:tab w:leader="none" w:pos="1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Performance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223" w:name="page224"/>
    <w:bookmarkEnd w:id="223"/>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1020" w:type="dxa"/>
            <w:vAlign w:val="bottom"/>
            <w:tcBorders>
              <w:bottom w:val="single" w:sz="8" w:color="auto"/>
            </w:tcBorders>
          </w:tcPr>
          <w:p>
            <w:pPr>
              <w:spacing w:after="0"/>
              <w:rPr>
                <w:sz w:val="19"/>
                <w:szCs w:val="19"/>
                <w:color w:val="auto"/>
              </w:rPr>
            </w:pPr>
          </w:p>
        </w:tc>
        <w:tc>
          <w:tcPr>
            <w:tcW w:w="82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Definition</w:t>
            </w:r>
          </w:p>
        </w:tc>
        <w:tc>
          <w:tcPr>
            <w:tcW w:w="100" w:type="dxa"/>
            <w:vAlign w:val="bottom"/>
            <w:tcBorders>
              <w:bottom w:val="single" w:sz="8" w:color="auto"/>
            </w:tcBorders>
          </w:tcPr>
          <w:p>
            <w:pPr>
              <w:spacing w:after="0"/>
              <w:rPr>
                <w:sz w:val="19"/>
                <w:szCs w:val="19"/>
                <w:color w:val="auto"/>
              </w:rPr>
            </w:pPr>
          </w:p>
        </w:tc>
      </w:tr>
      <w:tr>
        <w:trPr>
          <w:trHeight w:val="195"/>
        </w:trPr>
        <w:tc>
          <w:tcPr>
            <w:tcW w:w="580" w:type="dxa"/>
            <w:vAlign w:val="bottom"/>
          </w:tcPr>
          <w:p>
            <w:pPr>
              <w:spacing w:after="0"/>
              <w:rPr>
                <w:sz w:val="16"/>
                <w:szCs w:val="16"/>
                <w:color w:val="auto"/>
              </w:rPr>
            </w:pPr>
          </w:p>
        </w:tc>
        <w:tc>
          <w:tcPr>
            <w:tcW w:w="1260" w:type="dxa"/>
            <w:vAlign w:val="bottom"/>
          </w:tcPr>
          <w:p>
            <w:pPr>
              <w:spacing w:after="0" w:line="195" w:lineRule="exact"/>
              <w:rPr>
                <w:sz w:val="20"/>
                <w:szCs w:val="20"/>
                <w:color w:val="auto"/>
              </w:rPr>
            </w:pPr>
            <w:r>
              <w:rPr>
                <w:rFonts w:ascii="Arial" w:cs="Arial" w:eastAsia="Arial" w:hAnsi="Arial"/>
                <w:sz w:val="18"/>
                <w:szCs w:val="18"/>
                <w:b w:val="1"/>
                <w:bCs w:val="1"/>
                <w:color w:val="auto"/>
              </w:rPr>
              <w:t>Consultant</w:t>
            </w:r>
          </w:p>
        </w:tc>
        <w:tc>
          <w:tcPr>
            <w:tcW w:w="1020" w:type="dxa"/>
            <w:vAlign w:val="bottom"/>
          </w:tcPr>
          <w:p>
            <w:pPr>
              <w:spacing w:after="0"/>
              <w:rPr>
                <w:sz w:val="16"/>
                <w:szCs w:val="16"/>
                <w:color w:val="auto"/>
              </w:rPr>
            </w:pPr>
          </w:p>
        </w:tc>
        <w:tc>
          <w:tcPr>
            <w:tcW w:w="8280" w:type="dxa"/>
            <w:vAlign w:val="bottom"/>
            <w:gridSpan w:val="2"/>
          </w:tcPr>
          <w:p>
            <w:pPr>
              <w:ind w:left="540"/>
              <w:spacing w:after="0" w:line="195" w:lineRule="exact"/>
              <w:rPr>
                <w:sz w:val="20"/>
                <w:szCs w:val="20"/>
                <w:color w:val="auto"/>
              </w:rPr>
            </w:pPr>
            <w:r>
              <w:rPr>
                <w:rFonts w:ascii="Arial" w:cs="Arial" w:eastAsia="Arial" w:hAnsi="Arial"/>
                <w:sz w:val="18"/>
                <w:szCs w:val="18"/>
                <w:color w:val="auto"/>
                <w:w w:val="99"/>
              </w:rPr>
              <w:t>means any person who acts in an advisory capacity for, or is engaged in the provision of services</w:t>
            </w:r>
          </w:p>
        </w:tc>
        <w:tc>
          <w:tcPr>
            <w:tcW w:w="100" w:type="dxa"/>
            <w:vAlign w:val="bottom"/>
          </w:tcPr>
          <w:p>
            <w:pPr>
              <w:spacing w:after="0"/>
              <w:rPr>
                <w:sz w:val="16"/>
                <w:szCs w:val="16"/>
                <w:color w:val="auto"/>
              </w:rPr>
            </w:pPr>
          </w:p>
        </w:tc>
      </w:tr>
      <w:tr>
        <w:trPr>
          <w:trHeight w:val="217"/>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to, the Group.</w:t>
            </w:r>
          </w:p>
        </w:tc>
        <w:tc>
          <w:tcPr>
            <w:tcW w:w="100" w:type="dxa"/>
            <w:vAlign w:val="bottom"/>
          </w:tcPr>
          <w:p>
            <w:pPr>
              <w:spacing w:after="0"/>
              <w:rPr>
                <w:sz w:val="18"/>
                <w:szCs w:val="18"/>
                <w:color w:val="auto"/>
              </w:rPr>
            </w:pPr>
          </w:p>
        </w:tc>
      </w:tr>
      <w:tr>
        <w:trPr>
          <w:trHeight w:val="405"/>
        </w:trPr>
        <w:tc>
          <w:tcPr>
            <w:tcW w:w="5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Control</w:t>
            </w:r>
          </w:p>
        </w:tc>
        <w:tc>
          <w:tcPr>
            <w:tcW w:w="1020" w:type="dxa"/>
            <w:vAlign w:val="bottom"/>
          </w:tcPr>
          <w:p>
            <w:pPr>
              <w:spacing w:after="0"/>
              <w:rPr>
                <w:sz w:val="24"/>
                <w:szCs w:val="24"/>
                <w:color w:val="auto"/>
              </w:rPr>
            </w:pP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has the meaning given to the term in section 50AA Corporations Act.</w:t>
            </w:r>
          </w:p>
        </w:tc>
        <w:tc>
          <w:tcPr>
            <w:tcW w:w="10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Corporations Act</w:t>
            </w: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 xml:space="preserve">means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w:t>
            </w:r>
          </w:p>
        </w:tc>
        <w:tc>
          <w:tcPr>
            <w:tcW w:w="10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1020" w:type="dxa"/>
            <w:vAlign w:val="bottom"/>
          </w:tcPr>
          <w:p>
            <w:pPr>
              <w:spacing w:after="0"/>
              <w:rPr>
                <w:sz w:val="24"/>
                <w:szCs w:val="24"/>
                <w:color w:val="auto"/>
              </w:rPr>
            </w:pP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means a director of the Company.</w:t>
            </w:r>
          </w:p>
        </w:tc>
        <w:tc>
          <w:tcPr>
            <w:tcW w:w="100" w:type="dxa"/>
            <w:vAlign w:val="bottom"/>
          </w:tcPr>
          <w:p>
            <w:pPr>
              <w:spacing w:after="0"/>
              <w:rPr>
                <w:sz w:val="24"/>
                <w:szCs w:val="24"/>
                <w:color w:val="auto"/>
              </w:rPr>
            </w:pPr>
          </w:p>
        </w:tc>
      </w:tr>
      <w:tr>
        <w:trPr>
          <w:trHeight w:val="391"/>
        </w:trPr>
        <w:tc>
          <w:tcPr>
            <w:tcW w:w="5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Disposal Restriction</w:t>
            </w: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means a restriction, set out in an Offer, on the creation of a Security Interest in, or the transfer,</w:t>
            </w:r>
          </w:p>
        </w:tc>
        <w:tc>
          <w:tcPr>
            <w:tcW w:w="10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assignment, disposal or otherwise dealing with, a Share issued to the Participant after Vesting.</w:t>
            </w:r>
          </w:p>
        </w:tc>
        <w:tc>
          <w:tcPr>
            <w:tcW w:w="100" w:type="dxa"/>
            <w:vAlign w:val="bottom"/>
          </w:tcPr>
          <w:p>
            <w:pPr>
              <w:spacing w:after="0"/>
              <w:rPr>
                <w:sz w:val="18"/>
                <w:szCs w:val="18"/>
                <w:color w:val="auto"/>
              </w:rPr>
            </w:pPr>
          </w:p>
        </w:tc>
      </w:tr>
      <w:tr>
        <w:trPr>
          <w:trHeight w:val="405"/>
        </w:trPr>
        <w:tc>
          <w:tcPr>
            <w:tcW w:w="5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Eligible Participant</w:t>
            </w: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means any person who is designated by the Board to be an Eligible Participant under rule 3.</w:t>
            </w:r>
          </w:p>
        </w:tc>
        <w:tc>
          <w:tcPr>
            <w:tcW w:w="10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1020" w:type="dxa"/>
            <w:vAlign w:val="bottom"/>
          </w:tcPr>
          <w:p>
            <w:pPr>
              <w:spacing w:after="0"/>
              <w:rPr>
                <w:sz w:val="24"/>
                <w:szCs w:val="24"/>
                <w:color w:val="auto"/>
              </w:rPr>
            </w:pP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means an employee of a member of the Group.</w:t>
            </w:r>
          </w:p>
        </w:tc>
        <w:tc>
          <w:tcPr>
            <w:tcW w:w="10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Encumbrance</w:t>
            </w:r>
          </w:p>
        </w:tc>
        <w:tc>
          <w:tcPr>
            <w:tcW w:w="1020" w:type="dxa"/>
            <w:vAlign w:val="bottom"/>
          </w:tcPr>
          <w:p>
            <w:pPr>
              <w:spacing w:after="0"/>
              <w:rPr>
                <w:sz w:val="24"/>
                <w:szCs w:val="24"/>
                <w:color w:val="auto"/>
              </w:rPr>
            </w:pP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means any one or more of the following:</w:t>
            </w:r>
          </w:p>
        </w:tc>
        <w:tc>
          <w:tcPr>
            <w:tcW w:w="100" w:type="dxa"/>
            <w:vAlign w:val="bottom"/>
          </w:tcPr>
          <w:p>
            <w:pPr>
              <w:spacing w:after="0"/>
              <w:rPr>
                <w:sz w:val="24"/>
                <w:szCs w:val="24"/>
                <w:color w:val="auto"/>
              </w:rPr>
            </w:pPr>
          </w:p>
        </w:tc>
      </w:tr>
      <w:tr>
        <w:trPr>
          <w:trHeight w:val="386"/>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(a)</w:t>
            </w:r>
          </w:p>
        </w:tc>
        <w:tc>
          <w:tcPr>
            <w:tcW w:w="7360" w:type="dxa"/>
            <w:vAlign w:val="bottom"/>
          </w:tcPr>
          <w:p>
            <w:pPr>
              <w:ind w:left="180"/>
              <w:spacing w:after="0"/>
              <w:rPr>
                <w:sz w:val="20"/>
                <w:szCs w:val="20"/>
                <w:color w:val="auto"/>
              </w:rPr>
            </w:pPr>
            <w:r>
              <w:rPr>
                <w:rFonts w:ascii="Arial" w:cs="Arial" w:eastAsia="Arial" w:hAnsi="Arial"/>
                <w:sz w:val="18"/>
                <w:szCs w:val="18"/>
                <w:color w:val="auto"/>
              </w:rPr>
              <w:t>any interest, right or power that in substance secures payment or performance of</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6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any obligation, for example a mortgage, charge or security interest under the </w:t>
            </w:r>
            <w:r>
              <w:rPr>
                <w:rFonts w:ascii="Arial" w:cs="Arial" w:eastAsia="Arial" w:hAnsi="Arial"/>
                <w:sz w:val="18"/>
                <w:szCs w:val="18"/>
                <w:i w:val="1"/>
                <w:iCs w:val="1"/>
                <w:color w:val="auto"/>
              </w:rPr>
              <w:t>Personal</w:t>
            </w:r>
          </w:p>
        </w:tc>
        <w:tc>
          <w:tcPr>
            <w:tcW w:w="100" w:type="dxa"/>
            <w:vAlign w:val="bottom"/>
          </w:tcPr>
          <w:p>
            <w:pPr>
              <w:spacing w:after="0"/>
              <w:rPr>
                <w:sz w:val="17"/>
                <w:szCs w:val="17"/>
                <w:color w:val="auto"/>
              </w:rPr>
            </w:pPr>
          </w:p>
        </w:tc>
      </w:tr>
      <w:tr>
        <w:trPr>
          <w:trHeight w:val="235"/>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Property Securities Act 2009 (Cth);</w:t>
            </w:r>
          </w:p>
        </w:tc>
        <w:tc>
          <w:tcPr>
            <w:tcW w:w="10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(b)</w:t>
            </w:r>
          </w:p>
        </w:tc>
        <w:tc>
          <w:tcPr>
            <w:tcW w:w="7360" w:type="dxa"/>
            <w:vAlign w:val="bottom"/>
          </w:tcPr>
          <w:p>
            <w:pPr>
              <w:ind w:left="180"/>
              <w:spacing w:after="0"/>
              <w:rPr>
                <w:sz w:val="20"/>
                <w:szCs w:val="20"/>
                <w:color w:val="auto"/>
              </w:rPr>
            </w:pPr>
            <w:r>
              <w:rPr>
                <w:rFonts w:ascii="Arial" w:cs="Arial" w:eastAsia="Arial" w:hAnsi="Arial"/>
                <w:sz w:val="18"/>
                <w:szCs w:val="18"/>
                <w:color w:val="auto"/>
              </w:rPr>
              <w:t>any preferential or adverse interest of any kind;</w:t>
            </w:r>
          </w:p>
        </w:tc>
        <w:tc>
          <w:tcPr>
            <w:tcW w:w="100" w:type="dxa"/>
            <w:vAlign w:val="bottom"/>
          </w:tcPr>
          <w:p>
            <w:pPr>
              <w:spacing w:after="0"/>
              <w:rPr>
                <w:sz w:val="24"/>
                <w:szCs w:val="24"/>
                <w:color w:val="auto"/>
              </w:rPr>
            </w:pPr>
          </w:p>
        </w:tc>
      </w:tr>
      <w:tr>
        <w:trPr>
          <w:trHeight w:val="404"/>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(c)</w:t>
            </w:r>
          </w:p>
        </w:tc>
        <w:tc>
          <w:tcPr>
            <w:tcW w:w="7360" w:type="dxa"/>
            <w:vAlign w:val="bottom"/>
          </w:tcPr>
          <w:p>
            <w:pPr>
              <w:ind w:left="180"/>
              <w:spacing w:after="0"/>
              <w:rPr>
                <w:sz w:val="20"/>
                <w:szCs w:val="20"/>
                <w:color w:val="auto"/>
              </w:rPr>
            </w:pPr>
            <w:r>
              <w:rPr>
                <w:rFonts w:ascii="Arial" w:cs="Arial" w:eastAsia="Arial" w:hAnsi="Arial"/>
                <w:sz w:val="18"/>
                <w:szCs w:val="18"/>
                <w:color w:val="auto"/>
                <w:w w:val="99"/>
              </w:rPr>
              <w:t>a right to buy or use assets, for example a hire purchase agreement, option, licence, lease</w:t>
            </w:r>
          </w:p>
        </w:tc>
        <w:tc>
          <w:tcPr>
            <w:tcW w:w="10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or agreement to purchase;</w:t>
            </w:r>
          </w:p>
        </w:tc>
        <w:tc>
          <w:tcPr>
            <w:tcW w:w="100" w:type="dxa"/>
            <w:vAlign w:val="bottom"/>
          </w:tcPr>
          <w:p>
            <w:pPr>
              <w:spacing w:after="0"/>
              <w:rPr>
                <w:sz w:val="18"/>
                <w:szCs w:val="18"/>
                <w:color w:val="auto"/>
              </w:rPr>
            </w:pPr>
          </w:p>
        </w:tc>
      </w:tr>
      <w:tr>
        <w:trPr>
          <w:trHeight w:val="405"/>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(d)</w:t>
            </w:r>
          </w:p>
        </w:tc>
        <w:tc>
          <w:tcPr>
            <w:tcW w:w="7360" w:type="dxa"/>
            <w:vAlign w:val="bottom"/>
          </w:tcPr>
          <w:p>
            <w:pPr>
              <w:ind w:left="180"/>
              <w:spacing w:after="0"/>
              <w:rPr>
                <w:sz w:val="20"/>
                <w:szCs w:val="20"/>
                <w:color w:val="auto"/>
              </w:rPr>
            </w:pPr>
            <w:r>
              <w:rPr>
                <w:rFonts w:ascii="Arial" w:cs="Arial" w:eastAsia="Arial" w:hAnsi="Arial"/>
                <w:sz w:val="18"/>
                <w:szCs w:val="18"/>
                <w:color w:val="auto"/>
              </w:rPr>
              <w:t>a right to set-off or right to withhold payment of a deposit or other money;</w:t>
            </w:r>
          </w:p>
        </w:tc>
        <w:tc>
          <w:tcPr>
            <w:tcW w:w="10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(e)</w:t>
            </w:r>
          </w:p>
        </w:tc>
        <w:tc>
          <w:tcPr>
            <w:tcW w:w="7360" w:type="dxa"/>
            <w:vAlign w:val="bottom"/>
          </w:tcPr>
          <w:p>
            <w:pPr>
              <w:ind w:left="180"/>
              <w:spacing w:after="0"/>
              <w:rPr>
                <w:sz w:val="20"/>
                <w:szCs w:val="20"/>
                <w:color w:val="auto"/>
              </w:rPr>
            </w:pPr>
            <w:r>
              <w:rPr>
                <w:rFonts w:ascii="Arial" w:cs="Arial" w:eastAsia="Arial" w:hAnsi="Arial"/>
                <w:sz w:val="18"/>
                <w:szCs w:val="18"/>
                <w:color w:val="auto"/>
              </w:rPr>
              <w:t>an easement, restrictive covenant, caveat or similar restriction over property;</w:t>
            </w:r>
          </w:p>
        </w:tc>
        <w:tc>
          <w:tcPr>
            <w:tcW w:w="100" w:type="dxa"/>
            <w:vAlign w:val="bottom"/>
          </w:tcPr>
          <w:p>
            <w:pPr>
              <w:spacing w:after="0"/>
              <w:rPr>
                <w:sz w:val="24"/>
                <w:szCs w:val="24"/>
                <w:color w:val="auto"/>
              </w:rPr>
            </w:pPr>
          </w:p>
        </w:tc>
      </w:tr>
      <w:tr>
        <w:trPr>
          <w:trHeight w:val="391"/>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(f)</w:t>
            </w:r>
          </w:p>
        </w:tc>
        <w:tc>
          <w:tcPr>
            <w:tcW w:w="7360" w:type="dxa"/>
            <w:vAlign w:val="bottom"/>
          </w:tcPr>
          <w:p>
            <w:pPr>
              <w:ind w:left="180"/>
              <w:spacing w:after="0"/>
              <w:rPr>
                <w:sz w:val="20"/>
                <w:szCs w:val="20"/>
                <w:color w:val="auto"/>
              </w:rPr>
            </w:pPr>
            <w:r>
              <w:rPr>
                <w:rFonts w:ascii="Arial" w:cs="Arial" w:eastAsia="Arial" w:hAnsi="Arial"/>
                <w:sz w:val="18"/>
                <w:szCs w:val="18"/>
                <w:color w:val="auto"/>
              </w:rPr>
              <w:t>an agreement to create any of the items referred to in paragraphs (a) to (e) above or</w:t>
            </w:r>
          </w:p>
        </w:tc>
        <w:tc>
          <w:tcPr>
            <w:tcW w:w="10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to allow any of those items to exist; or</w:t>
            </w:r>
          </w:p>
        </w:tc>
        <w:tc>
          <w:tcPr>
            <w:tcW w:w="100" w:type="dxa"/>
            <w:vAlign w:val="bottom"/>
          </w:tcPr>
          <w:p>
            <w:pPr>
              <w:spacing w:after="0"/>
              <w:rPr>
                <w:sz w:val="18"/>
                <w:szCs w:val="18"/>
                <w:color w:val="auto"/>
              </w:rPr>
            </w:pPr>
          </w:p>
        </w:tc>
      </w:tr>
      <w:tr>
        <w:trPr>
          <w:trHeight w:val="373"/>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(g)</w:t>
            </w:r>
          </w:p>
        </w:tc>
        <w:tc>
          <w:tcPr>
            <w:tcW w:w="7360" w:type="dxa"/>
            <w:vAlign w:val="bottom"/>
          </w:tcPr>
          <w:p>
            <w:pPr>
              <w:ind w:left="180"/>
              <w:spacing w:after="0"/>
              <w:rPr>
                <w:sz w:val="20"/>
                <w:szCs w:val="20"/>
                <w:color w:val="auto"/>
              </w:rPr>
            </w:pPr>
            <w:r>
              <w:rPr>
                <w:rFonts w:ascii="Arial" w:cs="Arial" w:eastAsia="Arial" w:hAnsi="Arial"/>
                <w:sz w:val="18"/>
                <w:szCs w:val="18"/>
                <w:color w:val="auto"/>
              </w:rPr>
              <w:t>a notice under section 255 Tax Act (1936), subdivision 260-A in schedule 1</w:t>
            </w:r>
          </w:p>
        </w:tc>
        <w:tc>
          <w:tcPr>
            <w:tcW w:w="100" w:type="dxa"/>
            <w:vAlign w:val="bottom"/>
          </w:tcPr>
          <w:p>
            <w:pPr>
              <w:spacing w:after="0"/>
              <w:rPr>
                <w:sz w:val="24"/>
                <w:szCs w:val="24"/>
                <w:color w:val="auto"/>
              </w:rPr>
            </w:pPr>
          </w:p>
        </w:tc>
      </w:tr>
      <w:tr>
        <w:trPr>
          <w:trHeight w:val="235"/>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360" w:type="dxa"/>
            <w:vAlign w:val="bottom"/>
          </w:tcPr>
          <w:p>
            <w:pPr>
              <w:ind w:left="180"/>
              <w:spacing w:after="0"/>
              <w:rPr>
                <w:sz w:val="20"/>
                <w:szCs w:val="20"/>
                <w:color w:val="auto"/>
              </w:rPr>
            </w:pPr>
            <w:r>
              <w:rPr>
                <w:rFonts w:ascii="Arial" w:cs="Arial" w:eastAsia="Arial" w:hAnsi="Arial"/>
                <w:sz w:val="18"/>
                <w:szCs w:val="18"/>
                <w:i w:val="1"/>
                <w:iCs w:val="1"/>
                <w:color w:val="auto"/>
              </w:rPr>
              <w:t>Taxation Administration Act 1953 (Cth) or any similar legislation.</w:t>
            </w:r>
          </w:p>
        </w:tc>
        <w:tc>
          <w:tcPr>
            <w:tcW w:w="10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1020" w:type="dxa"/>
            <w:vAlign w:val="bottom"/>
          </w:tcPr>
          <w:p>
            <w:pPr>
              <w:spacing w:after="0"/>
              <w:rPr>
                <w:sz w:val="24"/>
                <w:szCs w:val="24"/>
                <w:color w:val="auto"/>
              </w:rPr>
            </w:pP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means the date on which a Participant is granted a Right.</w:t>
            </w:r>
          </w:p>
        </w:tc>
        <w:tc>
          <w:tcPr>
            <w:tcW w:w="10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Group</w:t>
            </w:r>
          </w:p>
        </w:tc>
        <w:tc>
          <w:tcPr>
            <w:tcW w:w="1020" w:type="dxa"/>
            <w:vAlign w:val="bottom"/>
          </w:tcPr>
          <w:p>
            <w:pPr>
              <w:spacing w:after="0"/>
              <w:rPr>
                <w:sz w:val="24"/>
                <w:szCs w:val="24"/>
                <w:color w:val="auto"/>
              </w:rPr>
            </w:pP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means the Company and its Related Bodies Corporate.</w:t>
            </w:r>
          </w:p>
        </w:tc>
        <w:tc>
          <w:tcPr>
            <w:tcW w:w="100" w:type="dxa"/>
            <w:vAlign w:val="bottom"/>
          </w:tcPr>
          <w:p>
            <w:pPr>
              <w:spacing w:after="0"/>
              <w:rPr>
                <w:sz w:val="24"/>
                <w:szCs w:val="24"/>
                <w:color w:val="auto"/>
              </w:rPr>
            </w:pPr>
          </w:p>
        </w:tc>
      </w:tr>
      <w:tr>
        <w:trPr>
          <w:trHeight w:val="391"/>
        </w:trPr>
        <w:tc>
          <w:tcPr>
            <w:tcW w:w="5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Listing Rules</w:t>
            </w:r>
          </w:p>
        </w:tc>
        <w:tc>
          <w:tcPr>
            <w:tcW w:w="1020" w:type="dxa"/>
            <w:vAlign w:val="bottom"/>
          </w:tcPr>
          <w:p>
            <w:pPr>
              <w:spacing w:after="0"/>
              <w:rPr>
                <w:sz w:val="24"/>
                <w:szCs w:val="24"/>
                <w:color w:val="auto"/>
              </w:rPr>
            </w:pP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means the Listing Rules of ASX and any other rules of ASX which are applicable while the</w:t>
            </w:r>
          </w:p>
        </w:tc>
        <w:tc>
          <w:tcPr>
            <w:tcW w:w="1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8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Company is admitted to the Official List of ASX, each as amended or replaced from time to time,</w:t>
            </w:r>
          </w:p>
        </w:tc>
        <w:tc>
          <w:tcPr>
            <w:tcW w:w="100" w:type="dxa"/>
            <w:vAlign w:val="bottom"/>
          </w:tcPr>
          <w:p>
            <w:pPr>
              <w:spacing w:after="0"/>
              <w:rPr>
                <w:sz w:val="17"/>
                <w:szCs w:val="17"/>
                <w:color w:val="auto"/>
              </w:rPr>
            </w:pPr>
          </w:p>
        </w:tc>
      </w:tr>
      <w:tr>
        <w:trPr>
          <w:trHeight w:val="217"/>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80" w:type="dxa"/>
            <w:vAlign w:val="bottom"/>
            <w:gridSpan w:val="2"/>
          </w:tcPr>
          <w:p>
            <w:pPr>
              <w:ind w:left="540"/>
              <w:spacing w:after="0"/>
              <w:rPr>
                <w:sz w:val="20"/>
                <w:szCs w:val="20"/>
                <w:color w:val="auto"/>
              </w:rPr>
            </w:pPr>
            <w:r>
              <w:rPr>
                <w:rFonts w:ascii="Arial" w:cs="Arial" w:eastAsia="Arial" w:hAnsi="Arial"/>
                <w:sz w:val="18"/>
                <w:szCs w:val="18"/>
                <w:color w:val="auto"/>
              </w:rPr>
              <w:t>except to the extent of any express written waiver by ASX.</w:t>
            </w:r>
          </w:p>
        </w:tc>
        <w:tc>
          <w:tcPr>
            <w:tcW w:w="100" w:type="dxa"/>
            <w:vAlign w:val="bottom"/>
          </w:tcPr>
          <w:p>
            <w:pPr>
              <w:spacing w:after="0"/>
              <w:rPr>
                <w:sz w:val="18"/>
                <w:szCs w:val="18"/>
                <w:color w:val="auto"/>
              </w:rPr>
            </w:pPr>
          </w:p>
        </w:tc>
      </w:tr>
      <w:tr>
        <w:trPr>
          <w:trHeight w:val="405"/>
        </w:trPr>
        <w:tc>
          <w:tcPr>
            <w:tcW w:w="580" w:type="dxa"/>
            <w:vAlign w:val="bottom"/>
          </w:tcPr>
          <w:p>
            <w:pPr>
              <w:spacing w:after="0"/>
              <w:rPr>
                <w:sz w:val="24"/>
                <w:szCs w:val="24"/>
                <w:color w:val="auto"/>
              </w:rPr>
            </w:pPr>
          </w:p>
        </w:tc>
        <w:tc>
          <w:tcPr>
            <w:tcW w:w="1260" w:type="dxa"/>
            <w:vAlign w:val="bottom"/>
          </w:tcPr>
          <w:p>
            <w:pPr>
              <w:ind w:left="780"/>
              <w:spacing w:after="0"/>
              <w:rPr>
                <w:sz w:val="20"/>
                <w:szCs w:val="20"/>
                <w:color w:val="auto"/>
              </w:rPr>
            </w:pPr>
            <w:r>
              <w:rPr>
                <w:rFonts w:ascii="Arial" w:cs="Arial" w:eastAsia="Arial" w:hAnsi="Arial"/>
                <w:sz w:val="18"/>
                <w:szCs w:val="18"/>
                <w:color w:val="auto"/>
              </w:rPr>
              <w:t>|</w:t>
            </w:r>
          </w:p>
        </w:tc>
        <w:tc>
          <w:tcPr>
            <w:tcW w:w="9300" w:type="dxa"/>
            <w:vAlign w:val="bottom"/>
            <w:gridSpan w:val="3"/>
          </w:tcPr>
          <w:p>
            <w:pPr>
              <w:ind w:left="80"/>
              <w:spacing w:after="0"/>
              <w:rPr>
                <w:sz w:val="20"/>
                <w:szCs w:val="20"/>
                <w:color w:val="auto"/>
              </w:rPr>
            </w:pPr>
            <w:r>
              <w:rPr>
                <w:rFonts w:ascii="Arial" w:cs="Arial" w:eastAsia="Arial" w:hAnsi="Arial"/>
                <w:sz w:val="18"/>
                <w:szCs w:val="18"/>
                <w:color w:val="auto"/>
              </w:rPr>
              <w:t>Performance and rights plan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r>
      <w:tr>
        <w:trPr>
          <w:trHeight w:val="668"/>
        </w:trPr>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1156" w:right="339" w:bottom="1440" w:gutter="0" w:footer="0" w:header="0"/>
        </w:sectPr>
      </w:pPr>
      <w:r>
        <w:rPr>
          <w:sz w:val="20"/>
          <w:szCs w:val="20"/>
          <w:color w:val="auto"/>
        </w:rPr>
        <w:drawing>
          <wp:anchor simplePos="0" relativeHeight="251657728" behindDoc="1" locked="0" layoutInCell="0" allowOverlap="1">
            <wp:simplePos x="0" y="0"/>
            <wp:positionH relativeFrom="page">
              <wp:posOffset>6157595</wp:posOffset>
            </wp:positionH>
            <wp:positionV relativeFrom="page">
              <wp:posOffset>217805</wp:posOffset>
            </wp:positionV>
            <wp:extent cx="1148715" cy="3771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r>
    </w:p>
    <w:bookmarkStart w:id="224" w:name="page225"/>
    <w:bookmarkEnd w:id="224"/>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1220" w:type="dxa"/>
            <w:vAlign w:val="bottom"/>
            <w:tcBorders>
              <w:bottom w:val="single" w:sz="8" w:color="auto"/>
            </w:tcBorders>
          </w:tcPr>
          <w:p>
            <w:pPr>
              <w:spacing w:after="0"/>
              <w:rPr>
                <w:sz w:val="19"/>
                <w:szCs w:val="19"/>
                <w:color w:val="auto"/>
              </w:rPr>
            </w:pPr>
          </w:p>
        </w:tc>
        <w:tc>
          <w:tcPr>
            <w:tcW w:w="80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Definition</w:t>
            </w:r>
          </w:p>
        </w:tc>
        <w:tc>
          <w:tcPr>
            <w:tcW w:w="160" w:type="dxa"/>
            <w:vAlign w:val="bottom"/>
            <w:tcBorders>
              <w:bottom w:val="single" w:sz="8" w:color="auto"/>
            </w:tcBorders>
          </w:tcPr>
          <w:p>
            <w:pPr>
              <w:spacing w:after="0"/>
              <w:rPr>
                <w:sz w:val="19"/>
                <w:szCs w:val="19"/>
                <w:color w:val="auto"/>
              </w:rPr>
            </w:pPr>
          </w:p>
        </w:tc>
      </w:tr>
      <w:tr>
        <w:trPr>
          <w:trHeight w:val="232"/>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Market Value</w:t>
            </w:r>
          </w:p>
        </w:tc>
        <w:tc>
          <w:tcPr>
            <w:tcW w:w="1220" w:type="dxa"/>
            <w:vAlign w:val="bottom"/>
          </w:tcPr>
          <w:p>
            <w:pPr>
              <w:spacing w:after="0"/>
              <w:rPr>
                <w:sz w:val="20"/>
                <w:szCs w:val="20"/>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w:t>
            </w:r>
          </w:p>
        </w:tc>
        <w:tc>
          <w:tcPr>
            <w:tcW w:w="160" w:type="dxa"/>
            <w:vAlign w:val="bottom"/>
          </w:tcPr>
          <w:p>
            <w:pPr>
              <w:spacing w:after="0"/>
              <w:rPr>
                <w:sz w:val="20"/>
                <w:szCs w:val="20"/>
                <w:color w:val="auto"/>
              </w:rPr>
            </w:pPr>
          </w:p>
        </w:tc>
      </w:tr>
      <w:tr>
        <w:trPr>
          <w:trHeight w:val="381"/>
        </w:trPr>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Arial" w:cs="Arial" w:eastAsia="Arial" w:hAnsi="Arial"/>
                <w:sz w:val="18"/>
                <w:szCs w:val="18"/>
                <w:color w:val="auto"/>
              </w:rPr>
              <w:t>(a)</w:t>
            </w:r>
          </w:p>
        </w:tc>
        <w:tc>
          <w:tcPr>
            <w:tcW w:w="7460" w:type="dxa"/>
            <w:vAlign w:val="bottom"/>
            <w:gridSpan w:val="2"/>
          </w:tcPr>
          <w:p>
            <w:pPr>
              <w:ind w:left="180"/>
              <w:spacing w:after="0"/>
              <w:rPr>
                <w:sz w:val="20"/>
                <w:szCs w:val="20"/>
                <w:color w:val="auto"/>
              </w:rPr>
            </w:pPr>
            <w:r>
              <w:rPr>
                <w:rFonts w:ascii="Arial" w:cs="Arial" w:eastAsia="Arial" w:hAnsi="Arial"/>
                <w:sz w:val="18"/>
                <w:szCs w:val="18"/>
                <w:color w:val="auto"/>
              </w:rPr>
              <w:t>the volume weighted average price of a Share over the period of 30 trading days ending on</w:t>
            </w:r>
          </w:p>
        </w:tc>
      </w:tr>
      <w:tr>
        <w:trPr>
          <w:trHeight w:val="203"/>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the relevant date (or if that day is not a trading day, the trading day before that day),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300" w:type="dxa"/>
            <w:vAlign w:val="bottom"/>
          </w:tcPr>
          <w:p>
            <w:pPr>
              <w:ind w:left="180"/>
              <w:spacing w:after="0" w:line="202" w:lineRule="exact"/>
              <w:rPr>
                <w:sz w:val="20"/>
                <w:szCs w:val="20"/>
                <w:color w:val="auto"/>
              </w:rPr>
            </w:pPr>
            <w:r>
              <w:rPr>
                <w:rFonts w:ascii="Arial" w:cs="Arial" w:eastAsia="Arial" w:hAnsi="Arial"/>
                <w:sz w:val="18"/>
                <w:szCs w:val="18"/>
                <w:color w:val="auto"/>
              </w:rPr>
              <w:t>excluding any off-market trades, special crossings and any other trades that the Board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decides to exclude on the basis that the trades are not fairly reflective of natural supply and</w:t>
            </w:r>
          </w:p>
        </w:tc>
      </w:tr>
      <w:tr>
        <w:trPr>
          <w:trHeight w:val="217"/>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demand for Shares; or</w:t>
            </w:r>
          </w:p>
        </w:tc>
        <w:tc>
          <w:tcPr>
            <w:tcW w:w="160" w:type="dxa"/>
            <w:vAlign w:val="bottom"/>
          </w:tcPr>
          <w:p>
            <w:pPr>
              <w:spacing w:after="0"/>
              <w:rPr>
                <w:sz w:val="18"/>
                <w:szCs w:val="18"/>
                <w:color w:val="auto"/>
              </w:rPr>
            </w:pPr>
          </w:p>
        </w:tc>
      </w:tr>
      <w:tr>
        <w:trPr>
          <w:trHeight w:val="391"/>
        </w:trPr>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Arial" w:cs="Arial" w:eastAsia="Arial" w:hAnsi="Arial"/>
                <w:sz w:val="18"/>
                <w:szCs w:val="18"/>
                <w:color w:val="auto"/>
              </w:rPr>
              <w:t>(b)</w:t>
            </w:r>
          </w:p>
        </w:tc>
        <w:tc>
          <w:tcPr>
            <w:tcW w:w="7300" w:type="dxa"/>
            <w:vAlign w:val="bottom"/>
          </w:tcPr>
          <w:p>
            <w:pPr>
              <w:ind w:left="180"/>
              <w:spacing w:after="0"/>
              <w:rPr>
                <w:sz w:val="20"/>
                <w:szCs w:val="20"/>
                <w:color w:val="auto"/>
              </w:rPr>
            </w:pPr>
            <w:r>
              <w:rPr>
                <w:rFonts w:ascii="Arial" w:cs="Arial" w:eastAsia="Arial" w:hAnsi="Arial"/>
                <w:sz w:val="18"/>
                <w:szCs w:val="18"/>
                <w:color w:val="auto"/>
              </w:rPr>
              <w:t>the market price of a Share as determined by (and calculated by any method decided by)</w:t>
            </w:r>
          </w:p>
        </w:tc>
        <w:tc>
          <w:tcPr>
            <w:tcW w:w="16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the Board.</w:t>
            </w:r>
          </w:p>
        </w:tc>
        <w:tc>
          <w:tcPr>
            <w:tcW w:w="160" w:type="dxa"/>
            <w:vAlign w:val="bottom"/>
          </w:tcPr>
          <w:p>
            <w:pPr>
              <w:spacing w:after="0"/>
              <w:rPr>
                <w:sz w:val="18"/>
                <w:szCs w:val="18"/>
                <w:color w:val="auto"/>
              </w:rPr>
            </w:pPr>
          </w:p>
        </w:tc>
      </w:tr>
      <w:tr>
        <w:trPr>
          <w:trHeight w:val="405"/>
        </w:trPr>
        <w:tc>
          <w:tcPr>
            <w:tcW w:w="5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Offer</w:t>
            </w:r>
          </w:p>
        </w:tc>
        <w:tc>
          <w:tcPr>
            <w:tcW w:w="1220" w:type="dxa"/>
            <w:vAlign w:val="bottom"/>
          </w:tcPr>
          <w:p>
            <w:pPr>
              <w:spacing w:after="0"/>
              <w:rPr>
                <w:sz w:val="24"/>
                <w:szCs w:val="24"/>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 a written offer to participate in the Plan.</w:t>
            </w:r>
          </w:p>
        </w:tc>
        <w:tc>
          <w:tcPr>
            <w:tcW w:w="16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1220" w:type="dxa"/>
            <w:vAlign w:val="bottom"/>
          </w:tcPr>
          <w:p>
            <w:pPr>
              <w:spacing w:after="0"/>
              <w:rPr>
                <w:sz w:val="24"/>
                <w:szCs w:val="24"/>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 an Eligible Participant or its Permitted Nominee (as the case requires).</w:t>
            </w:r>
          </w:p>
        </w:tc>
        <w:tc>
          <w:tcPr>
            <w:tcW w:w="160" w:type="dxa"/>
            <w:vAlign w:val="bottom"/>
          </w:tcPr>
          <w:p>
            <w:pPr>
              <w:spacing w:after="0"/>
              <w:rPr>
                <w:sz w:val="24"/>
                <w:szCs w:val="24"/>
                <w:color w:val="auto"/>
              </w:rPr>
            </w:pPr>
          </w:p>
        </w:tc>
      </w:tr>
      <w:tr>
        <w:trPr>
          <w:trHeight w:val="391"/>
        </w:trPr>
        <w:tc>
          <w:tcPr>
            <w:tcW w:w="58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Performance Right</w:t>
            </w: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 a right to be issued one Share subject to satisfaction of the Vesting Conditions, any</w:t>
            </w:r>
          </w:p>
        </w:tc>
        <w:tc>
          <w:tcPr>
            <w:tcW w:w="16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Disposal Restrictions and rule 5.2.</w:t>
            </w:r>
          </w:p>
        </w:tc>
        <w:tc>
          <w:tcPr>
            <w:tcW w:w="160" w:type="dxa"/>
            <w:vAlign w:val="bottom"/>
          </w:tcPr>
          <w:p>
            <w:pPr>
              <w:spacing w:after="0"/>
              <w:rPr>
                <w:sz w:val="18"/>
                <w:szCs w:val="18"/>
                <w:color w:val="auto"/>
              </w:rPr>
            </w:pPr>
          </w:p>
        </w:tc>
      </w:tr>
      <w:tr>
        <w:trPr>
          <w:trHeight w:val="391"/>
        </w:trPr>
        <w:tc>
          <w:tcPr>
            <w:tcW w:w="58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Permitted Nominee</w:t>
            </w: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 a body corporate Controlled by an Eligible Participant, or any other entity as the Board</w:t>
            </w:r>
          </w:p>
        </w:tc>
        <w:tc>
          <w:tcPr>
            <w:tcW w:w="16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may determine.</w:t>
            </w:r>
          </w:p>
        </w:tc>
        <w:tc>
          <w:tcPr>
            <w:tcW w:w="160" w:type="dxa"/>
            <w:vAlign w:val="bottom"/>
          </w:tcPr>
          <w:p>
            <w:pPr>
              <w:spacing w:after="0"/>
              <w:rPr>
                <w:sz w:val="18"/>
                <w:szCs w:val="18"/>
                <w:color w:val="auto"/>
              </w:rPr>
            </w:pPr>
          </w:p>
        </w:tc>
      </w:tr>
      <w:tr>
        <w:trPr>
          <w:trHeight w:val="405"/>
        </w:trPr>
        <w:tc>
          <w:tcPr>
            <w:tcW w:w="5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Plan</w:t>
            </w:r>
          </w:p>
        </w:tc>
        <w:tc>
          <w:tcPr>
            <w:tcW w:w="1220" w:type="dxa"/>
            <w:vAlign w:val="bottom"/>
          </w:tcPr>
          <w:p>
            <w:pPr>
              <w:spacing w:after="0"/>
              <w:rPr>
                <w:sz w:val="24"/>
                <w:szCs w:val="24"/>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 this performance rights plan as amended from time to time.</w:t>
            </w:r>
          </w:p>
        </w:tc>
        <w:tc>
          <w:tcPr>
            <w:tcW w:w="16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Related Body Corporate</w:t>
            </w: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has the meaning given to the term in the Corporations Act.</w:t>
            </w:r>
          </w:p>
        </w:tc>
        <w:tc>
          <w:tcPr>
            <w:tcW w:w="16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Right</w:t>
            </w:r>
          </w:p>
        </w:tc>
        <w:tc>
          <w:tcPr>
            <w:tcW w:w="1220" w:type="dxa"/>
            <w:vAlign w:val="bottom"/>
          </w:tcPr>
          <w:p>
            <w:pPr>
              <w:spacing w:after="0"/>
              <w:rPr>
                <w:sz w:val="24"/>
                <w:szCs w:val="24"/>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 a Performance Right.</w:t>
            </w:r>
          </w:p>
        </w:tc>
        <w:tc>
          <w:tcPr>
            <w:tcW w:w="160" w:type="dxa"/>
            <w:vAlign w:val="bottom"/>
          </w:tcPr>
          <w:p>
            <w:pPr>
              <w:spacing w:after="0"/>
              <w:rPr>
                <w:sz w:val="24"/>
                <w:szCs w:val="24"/>
                <w:color w:val="auto"/>
              </w:rPr>
            </w:pPr>
          </w:p>
        </w:tc>
      </w:tr>
      <w:tr>
        <w:trPr>
          <w:trHeight w:val="373"/>
        </w:trPr>
        <w:tc>
          <w:tcPr>
            <w:tcW w:w="58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Security Interest</w:t>
            </w: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 any interest, right or power that in substance secures payment or performance of any</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 xml:space="preserve">obligation, for example a mortgage, a charge, or a security interest under the </w:t>
            </w:r>
            <w:r>
              <w:rPr>
                <w:rFonts w:ascii="Arial" w:cs="Arial" w:eastAsia="Arial" w:hAnsi="Arial"/>
                <w:sz w:val="18"/>
                <w:szCs w:val="18"/>
                <w:i w:val="1"/>
                <w:iCs w:val="1"/>
                <w:color w:val="auto"/>
              </w:rPr>
              <w:t>Personal Property</w:t>
            </w:r>
          </w:p>
        </w:tc>
        <w:tc>
          <w:tcPr>
            <w:tcW w:w="160" w:type="dxa"/>
            <w:vAlign w:val="bottom"/>
          </w:tcPr>
          <w:p>
            <w:pPr>
              <w:spacing w:after="0"/>
              <w:rPr>
                <w:sz w:val="17"/>
                <w:szCs w:val="17"/>
                <w:color w:val="auto"/>
              </w:rPr>
            </w:pPr>
          </w:p>
        </w:tc>
      </w:tr>
      <w:tr>
        <w:trPr>
          <w:trHeight w:val="235"/>
        </w:trPr>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i w:val="1"/>
                <w:iCs w:val="1"/>
                <w:color w:val="auto"/>
              </w:rPr>
              <w:t xml:space="preserve">Securities Act 2009 </w:t>
            </w:r>
            <w:r>
              <w:rPr>
                <w:rFonts w:ascii="Arial" w:cs="Arial" w:eastAsia="Arial" w:hAnsi="Arial"/>
                <w:sz w:val="18"/>
                <w:szCs w:val="18"/>
                <w:color w:val="auto"/>
              </w:rPr>
              <w:t>(Cth).</w:t>
            </w:r>
          </w:p>
        </w:tc>
        <w:tc>
          <w:tcPr>
            <w:tcW w:w="16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Share</w:t>
            </w:r>
          </w:p>
        </w:tc>
        <w:tc>
          <w:tcPr>
            <w:tcW w:w="1220" w:type="dxa"/>
            <w:vAlign w:val="bottom"/>
          </w:tcPr>
          <w:p>
            <w:pPr>
              <w:spacing w:after="0"/>
              <w:rPr>
                <w:sz w:val="24"/>
                <w:szCs w:val="24"/>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 a fully paid ordinary share in the Company.</w:t>
            </w:r>
          </w:p>
        </w:tc>
        <w:tc>
          <w:tcPr>
            <w:tcW w:w="160" w:type="dxa"/>
            <w:vAlign w:val="bottom"/>
          </w:tcPr>
          <w:p>
            <w:pPr>
              <w:spacing w:after="0"/>
              <w:rPr>
                <w:sz w:val="24"/>
                <w:szCs w:val="24"/>
                <w:color w:val="auto"/>
              </w:rPr>
            </w:pPr>
          </w:p>
        </w:tc>
      </w:tr>
      <w:tr>
        <w:trPr>
          <w:trHeight w:val="391"/>
        </w:trPr>
        <w:tc>
          <w:tcPr>
            <w:tcW w:w="5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Trust</w:t>
            </w:r>
          </w:p>
        </w:tc>
        <w:tc>
          <w:tcPr>
            <w:tcW w:w="1220" w:type="dxa"/>
            <w:vAlign w:val="bottom"/>
          </w:tcPr>
          <w:p>
            <w:pPr>
              <w:spacing w:after="0"/>
              <w:rPr>
                <w:sz w:val="24"/>
                <w:szCs w:val="24"/>
                <w:color w:val="auto"/>
              </w:rPr>
            </w:pPr>
          </w:p>
        </w:tc>
        <w:tc>
          <w:tcPr>
            <w:tcW w:w="8220" w:type="dxa"/>
            <w:vAlign w:val="bottom"/>
            <w:gridSpan w:val="3"/>
          </w:tcPr>
          <w:p>
            <w:pPr>
              <w:ind w:left="380"/>
              <w:spacing w:after="0"/>
              <w:rPr>
                <w:sz w:val="20"/>
                <w:szCs w:val="20"/>
                <w:color w:val="auto"/>
              </w:rPr>
            </w:pPr>
            <w:r>
              <w:rPr>
                <w:rFonts w:ascii="Arial" w:cs="Arial" w:eastAsia="Arial" w:hAnsi="Arial"/>
                <w:sz w:val="18"/>
                <w:szCs w:val="18"/>
                <w:color w:val="auto"/>
              </w:rPr>
              <w:t>means a trust created for the purpose of holding Shares or Rights in connection with this Plan and</w:t>
            </w:r>
          </w:p>
        </w:tc>
      </w:tr>
      <w:tr>
        <w:trPr>
          <w:trHeight w:val="217"/>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any other employee incentive plan operated by the Company or its subsidiaries.</w:t>
            </w:r>
          </w:p>
        </w:tc>
        <w:tc>
          <w:tcPr>
            <w:tcW w:w="160" w:type="dxa"/>
            <w:vAlign w:val="bottom"/>
          </w:tcPr>
          <w:p>
            <w:pPr>
              <w:spacing w:after="0"/>
              <w:rPr>
                <w:sz w:val="18"/>
                <w:szCs w:val="18"/>
                <w:color w:val="auto"/>
              </w:rPr>
            </w:pPr>
          </w:p>
        </w:tc>
      </w:tr>
      <w:tr>
        <w:trPr>
          <w:trHeight w:val="391"/>
        </w:trPr>
        <w:tc>
          <w:tcPr>
            <w:tcW w:w="5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Vesting</w:t>
            </w:r>
          </w:p>
        </w:tc>
        <w:tc>
          <w:tcPr>
            <w:tcW w:w="1220" w:type="dxa"/>
            <w:vAlign w:val="bottom"/>
          </w:tcPr>
          <w:p>
            <w:pPr>
              <w:spacing w:after="0"/>
              <w:rPr>
                <w:sz w:val="24"/>
                <w:szCs w:val="24"/>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 on the satisfaction of the Vesting Conditions, the Participant’s entitlement to be issued</w:t>
            </w:r>
          </w:p>
        </w:tc>
        <w:tc>
          <w:tcPr>
            <w:tcW w:w="16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Shares the subject of a Right.</w:t>
            </w:r>
          </w:p>
        </w:tc>
        <w:tc>
          <w:tcPr>
            <w:tcW w:w="160" w:type="dxa"/>
            <w:vAlign w:val="bottom"/>
          </w:tcPr>
          <w:p>
            <w:pPr>
              <w:spacing w:after="0"/>
              <w:rPr>
                <w:sz w:val="18"/>
                <w:szCs w:val="18"/>
                <w:color w:val="auto"/>
              </w:rPr>
            </w:pPr>
          </w:p>
        </w:tc>
      </w:tr>
      <w:tr>
        <w:trPr>
          <w:trHeight w:val="391"/>
        </w:trPr>
        <w:tc>
          <w:tcPr>
            <w:tcW w:w="58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Vesting Conditions</w:t>
            </w: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means the vesting conditions specified in an Offer or this Plan, which must be satisfied before</w:t>
            </w:r>
          </w:p>
        </w:tc>
        <w:tc>
          <w:tcPr>
            <w:tcW w:w="16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Shares are issued, under a Performance Right.</w:t>
            </w:r>
          </w:p>
        </w:tc>
        <w:tc>
          <w:tcPr>
            <w:tcW w:w="160" w:type="dxa"/>
            <w:vAlign w:val="bottom"/>
          </w:tcPr>
          <w:p>
            <w:pPr>
              <w:spacing w:after="0"/>
              <w:rPr>
                <w:sz w:val="18"/>
                <w:szCs w:val="18"/>
                <w:color w:val="auto"/>
              </w:rPr>
            </w:pPr>
          </w:p>
        </w:tc>
      </w:tr>
      <w:tr>
        <w:trPr>
          <w:trHeight w:val="391"/>
        </w:trPr>
        <w:tc>
          <w:tcPr>
            <w:tcW w:w="5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Vesting Date</w:t>
            </w:r>
          </w:p>
        </w:tc>
        <w:tc>
          <w:tcPr>
            <w:tcW w:w="1220" w:type="dxa"/>
            <w:vAlign w:val="bottom"/>
          </w:tcPr>
          <w:p>
            <w:pPr>
              <w:spacing w:after="0"/>
              <w:rPr>
                <w:sz w:val="24"/>
                <w:szCs w:val="24"/>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subject to rule 8.2, means the date on which a Participant is entitled to be issued Shares in</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respect of their Rights, subject to satisfaction of the Vesting Conditions and any Disposal</w:t>
            </w:r>
          </w:p>
        </w:tc>
        <w:tc>
          <w:tcPr>
            <w:tcW w:w="160" w:type="dxa"/>
            <w:vAlign w:val="bottom"/>
          </w:tcPr>
          <w:p>
            <w:pPr>
              <w:spacing w:after="0"/>
              <w:rPr>
                <w:sz w:val="17"/>
                <w:szCs w:val="17"/>
                <w:color w:val="auto"/>
              </w:rPr>
            </w:pPr>
          </w:p>
        </w:tc>
      </w:tr>
      <w:tr>
        <w:trPr>
          <w:trHeight w:val="217"/>
        </w:trPr>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60" w:type="dxa"/>
            <w:vAlign w:val="bottom"/>
            <w:gridSpan w:val="2"/>
          </w:tcPr>
          <w:p>
            <w:pPr>
              <w:ind w:left="380"/>
              <w:spacing w:after="0"/>
              <w:rPr>
                <w:sz w:val="20"/>
                <w:szCs w:val="20"/>
                <w:color w:val="auto"/>
              </w:rPr>
            </w:pPr>
            <w:r>
              <w:rPr>
                <w:rFonts w:ascii="Arial" w:cs="Arial" w:eastAsia="Arial" w:hAnsi="Arial"/>
                <w:sz w:val="18"/>
                <w:szCs w:val="18"/>
                <w:color w:val="auto"/>
              </w:rPr>
              <w:t>Restrictions.</w:t>
            </w:r>
          </w:p>
        </w:tc>
        <w:tc>
          <w:tcPr>
            <w:tcW w:w="160" w:type="dxa"/>
            <w:vAlign w:val="bottom"/>
          </w:tcPr>
          <w:p>
            <w:pPr>
              <w:spacing w:after="0"/>
              <w:rPr>
                <w:sz w:val="18"/>
                <w:szCs w:val="18"/>
                <w:color w:val="auto"/>
              </w:rPr>
            </w:pPr>
          </w:p>
        </w:tc>
      </w:tr>
      <w:tr>
        <w:trPr>
          <w:trHeight w:val="405"/>
        </w:trPr>
        <w:tc>
          <w:tcPr>
            <w:tcW w:w="580" w:type="dxa"/>
            <w:vAlign w:val="bottom"/>
          </w:tcPr>
          <w:p>
            <w:pPr>
              <w:spacing w:after="0"/>
              <w:rPr>
                <w:sz w:val="24"/>
                <w:szCs w:val="24"/>
                <w:color w:val="auto"/>
              </w:rPr>
            </w:pPr>
          </w:p>
        </w:tc>
        <w:tc>
          <w:tcPr>
            <w:tcW w:w="1220" w:type="dxa"/>
            <w:vAlign w:val="bottom"/>
          </w:tcPr>
          <w:p>
            <w:pPr>
              <w:ind w:left="780"/>
              <w:spacing w:after="0"/>
              <w:rPr>
                <w:sz w:val="20"/>
                <w:szCs w:val="20"/>
                <w:color w:val="auto"/>
              </w:rPr>
            </w:pPr>
            <w:r>
              <w:rPr>
                <w:rFonts w:ascii="Arial" w:cs="Arial" w:eastAsia="Arial" w:hAnsi="Arial"/>
                <w:sz w:val="18"/>
                <w:szCs w:val="18"/>
                <w:color w:val="auto"/>
              </w:rPr>
              <w:t>|</w:t>
            </w:r>
          </w:p>
        </w:tc>
        <w:tc>
          <w:tcPr>
            <w:tcW w:w="9280" w:type="dxa"/>
            <w:vAlign w:val="bottom"/>
            <w:gridSpan w:val="3"/>
          </w:tcPr>
          <w:p>
            <w:pPr>
              <w:ind w:left="120"/>
              <w:spacing w:after="0"/>
              <w:rPr>
                <w:sz w:val="20"/>
                <w:szCs w:val="20"/>
                <w:color w:val="auto"/>
              </w:rPr>
            </w:pPr>
            <w:r>
              <w:rPr>
                <w:rFonts w:ascii="Arial" w:cs="Arial" w:eastAsia="Arial" w:hAnsi="Arial"/>
                <w:sz w:val="18"/>
                <w:szCs w:val="18"/>
                <w:color w:val="auto"/>
              </w:rPr>
              <w:t>Performance and rights plan</w:t>
            </w:r>
          </w:p>
        </w:tc>
        <w:tc>
          <w:tcPr>
            <w:tcW w:w="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68"/>
        </w:trPr>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1156" w:right="339" w:bottom="1440" w:gutter="0" w:footer="0" w:header="0"/>
        </w:sectPr>
      </w:pPr>
      <w:r>
        <w:rPr>
          <w:sz w:val="20"/>
          <w:szCs w:val="20"/>
          <w:color w:val="auto"/>
        </w:rPr>
        <w:drawing>
          <wp:anchor simplePos="0" relativeHeight="251657728" behindDoc="1" locked="0" layoutInCell="0" allowOverlap="1">
            <wp:simplePos x="0" y="0"/>
            <wp:positionH relativeFrom="page">
              <wp:posOffset>6157595</wp:posOffset>
            </wp:positionH>
            <wp:positionV relativeFrom="page">
              <wp:posOffset>217805</wp:posOffset>
            </wp:positionV>
            <wp:extent cx="1148715" cy="3771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r>
    </w:p>
    <w:bookmarkStart w:id="225" w:name="page226"/>
    <w:bookmarkEnd w:id="225"/>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6191885</wp:posOffset>
            </wp:positionH>
            <wp:positionV relativeFrom="page">
              <wp:posOffset>217805</wp:posOffset>
            </wp:positionV>
            <wp:extent cx="1148715" cy="3771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1.2</w:t>
      </w:r>
      <w:r>
        <w:rPr>
          <w:sz w:val="20"/>
          <w:szCs w:val="20"/>
          <w:color w:val="auto"/>
        </w:rPr>
        <w:tab/>
      </w:r>
      <w:r>
        <w:rPr>
          <w:rFonts w:ascii="Arial" w:cs="Arial" w:eastAsia="Arial" w:hAnsi="Arial"/>
          <w:sz w:val="17"/>
          <w:szCs w:val="17"/>
          <w:b w:val="1"/>
          <w:bCs w:val="1"/>
          <w:color w:val="auto"/>
        </w:rPr>
        <w:t>Interpretation</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document:</w:t>
      </w:r>
    </w:p>
    <w:p>
      <w:pPr>
        <w:spacing w:after="0" w:line="198" w:lineRule="exact"/>
        <w:rPr>
          <w:sz w:val="20"/>
          <w:szCs w:val="20"/>
          <w:color w:val="auto"/>
        </w:rPr>
      </w:pPr>
    </w:p>
    <w:p>
      <w:pPr>
        <w:ind w:left="1140" w:hanging="565"/>
        <w:spacing w:after="0" w:line="246" w:lineRule="auto"/>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reference to a clause, schedule, annexure or party is a reference to a clause of, and a schedule, annexure or party to, this document and references to this document include any schedules or annexures;</w:t>
      </w:r>
    </w:p>
    <w:p>
      <w:pPr>
        <w:spacing w:after="0" w:line="183" w:lineRule="exact"/>
        <w:rPr>
          <w:rFonts w:ascii="Arial" w:cs="Arial" w:eastAsia="Arial" w:hAnsi="Arial"/>
          <w:sz w:val="18"/>
          <w:szCs w:val="18"/>
          <w:color w:val="auto"/>
        </w:rPr>
      </w:pPr>
    </w:p>
    <w:p>
      <w:pPr>
        <w:ind w:left="1140" w:right="660" w:hanging="565"/>
        <w:spacing w:after="0" w:line="246" w:lineRule="auto"/>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reference to a party to this document or any other document or agreement includes the party’s successors, permitted substitutes and permitted assigns;</w:t>
      </w:r>
    </w:p>
    <w:p>
      <w:pPr>
        <w:spacing w:after="0" w:line="183" w:lineRule="exact"/>
        <w:rPr>
          <w:rFonts w:ascii="Arial" w:cs="Arial" w:eastAsia="Arial" w:hAnsi="Arial"/>
          <w:sz w:val="18"/>
          <w:szCs w:val="18"/>
          <w:color w:val="auto"/>
        </w:rPr>
      </w:pPr>
    </w:p>
    <w:p>
      <w:pPr>
        <w:ind w:left="1140" w:hanging="565"/>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198" w:lineRule="exact"/>
        <w:rPr>
          <w:rFonts w:ascii="Arial" w:cs="Arial" w:eastAsia="Arial" w:hAnsi="Arial"/>
          <w:sz w:val="18"/>
          <w:szCs w:val="18"/>
          <w:color w:val="auto"/>
        </w:rPr>
      </w:pPr>
    </w:p>
    <w:p>
      <w:pPr>
        <w:ind w:left="1140" w:right="740" w:hanging="565"/>
        <w:spacing w:after="0" w:line="246" w:lineRule="auto"/>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reference to a document or agreement (including a reference to this document) is to that document or agreement as amended, supplemented, varied or replaced;</w:t>
      </w:r>
    </w:p>
    <w:p>
      <w:pPr>
        <w:spacing w:after="0" w:line="183" w:lineRule="exact"/>
        <w:rPr>
          <w:rFonts w:ascii="Arial" w:cs="Arial" w:eastAsia="Arial" w:hAnsi="Arial"/>
          <w:sz w:val="18"/>
          <w:szCs w:val="18"/>
          <w:color w:val="auto"/>
        </w:rPr>
      </w:pPr>
    </w:p>
    <w:p>
      <w:pPr>
        <w:ind w:left="1140" w:hanging="565"/>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reference to this document includes the agreement recorded by this document;</w:t>
      </w:r>
    </w:p>
    <w:p>
      <w:pPr>
        <w:spacing w:after="0" w:line="198" w:lineRule="exact"/>
        <w:rPr>
          <w:rFonts w:ascii="Arial" w:cs="Arial" w:eastAsia="Arial" w:hAnsi="Arial"/>
          <w:sz w:val="18"/>
          <w:szCs w:val="18"/>
          <w:color w:val="auto"/>
        </w:rPr>
      </w:pPr>
    </w:p>
    <w:p>
      <w:pPr>
        <w:ind w:left="1140" w:right="100" w:hanging="565"/>
        <w:spacing w:after="0" w:line="246" w:lineRule="auto"/>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reference to legislation or to a provision of legislation (including subordinate legislation) is to that legislation as amended, re-enacted or replaced, and includes any subordinate legislation issued under it;</w:t>
      </w:r>
    </w:p>
    <w:p>
      <w:pPr>
        <w:spacing w:after="0" w:line="183" w:lineRule="exact"/>
        <w:rPr>
          <w:rFonts w:ascii="Arial" w:cs="Arial" w:eastAsia="Arial" w:hAnsi="Arial"/>
          <w:sz w:val="18"/>
          <w:szCs w:val="18"/>
          <w:color w:val="auto"/>
        </w:rPr>
      </w:pPr>
    </w:p>
    <w:p>
      <w:pPr>
        <w:ind w:left="1140" w:right="160" w:hanging="565"/>
        <w:spacing w:after="0" w:line="246" w:lineRule="auto"/>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any day on or by which a person must do something under this document is not a Business Day, then the person must do it on or by the next Business Day;</w:t>
      </w:r>
    </w:p>
    <w:p>
      <w:pPr>
        <w:spacing w:after="0" w:line="183" w:lineRule="exact"/>
        <w:rPr>
          <w:rFonts w:ascii="Arial" w:cs="Arial" w:eastAsia="Arial" w:hAnsi="Arial"/>
          <w:sz w:val="18"/>
          <w:szCs w:val="18"/>
          <w:color w:val="auto"/>
        </w:rPr>
      </w:pPr>
    </w:p>
    <w:p>
      <w:pPr>
        <w:ind w:left="1140" w:hanging="565"/>
        <w:spacing w:after="0" w:line="246" w:lineRule="auto"/>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reference to a person includes a corporation, trust, partnership, unincorporated body, government and local authority or agency, or other entity whether or not it comprises a separate legal entity;</w:t>
      </w:r>
    </w:p>
    <w:p>
      <w:pPr>
        <w:spacing w:after="0" w:line="183" w:lineRule="exact"/>
        <w:rPr>
          <w:rFonts w:ascii="Arial" w:cs="Arial" w:eastAsia="Arial" w:hAnsi="Arial"/>
          <w:sz w:val="18"/>
          <w:szCs w:val="18"/>
          <w:color w:val="auto"/>
        </w:rPr>
      </w:pPr>
    </w:p>
    <w:p>
      <w:pPr>
        <w:ind w:left="1140" w:hanging="565"/>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reference to ‘month’ means calendar month;</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words defined in the Corporations Act have the same meaning when used in this document; and</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headings are for convenience only and do not affect the interpretation.</w:t>
      </w:r>
    </w:p>
    <w:p>
      <w:pPr>
        <w:spacing w:after="0" w:line="176" w:lineRule="exact"/>
        <w:rPr>
          <w:sz w:val="20"/>
          <w:szCs w:val="20"/>
          <w:color w:val="auto"/>
        </w:rPr>
      </w:pPr>
    </w:p>
    <w:p>
      <w:pPr>
        <w:ind w:left="580" w:hanging="572"/>
        <w:spacing w:after="0"/>
        <w:tabs>
          <w:tab w:leader="none" w:pos="58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will administer the Plan in accordance with this document.</w:t>
      </w:r>
    </w:p>
    <w:p>
      <w:pPr>
        <w:spacing w:after="0" w:line="176" w:lineRule="exact"/>
        <w:rPr>
          <w:sz w:val="20"/>
          <w:szCs w:val="20"/>
          <w:color w:val="auto"/>
        </w:rPr>
      </w:pPr>
    </w:p>
    <w:p>
      <w:pPr>
        <w:ind w:left="580" w:hanging="572"/>
        <w:spacing w:after="0"/>
        <w:tabs>
          <w:tab w:leader="none" w:pos="58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Eligible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may designate a Director, Employee or Consultant as an Eligible Participant for the purposes of the Plan.</w:t>
      </w:r>
    </w:p>
    <w:p>
      <w:pPr>
        <w:spacing w:after="0" w:line="176" w:lineRule="exact"/>
        <w:rPr>
          <w:sz w:val="20"/>
          <w:szCs w:val="20"/>
          <w:color w:val="auto"/>
        </w:rPr>
      </w:pPr>
    </w:p>
    <w:p>
      <w:pPr>
        <w:jc w:val="both"/>
        <w:ind w:right="9400" w:firstLine="8"/>
        <w:spacing w:after="0" w:line="490" w:lineRule="auto"/>
        <w:tabs>
          <w:tab w:leader="none" w:pos="567"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rights 4.1 Offer of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right="140"/>
        <w:spacing w:after="0" w:line="246" w:lineRule="auto"/>
        <w:rPr>
          <w:sz w:val="20"/>
          <w:szCs w:val="20"/>
          <w:color w:val="auto"/>
        </w:rPr>
      </w:pPr>
      <w:r>
        <w:rPr>
          <w:rFonts w:ascii="Arial" w:cs="Arial" w:eastAsia="Arial" w:hAnsi="Arial"/>
          <w:sz w:val="18"/>
          <w:szCs w:val="18"/>
          <w:color w:val="auto"/>
        </w:rPr>
        <w:t>The Board may offer any number of Rights to an Eligible Participant on the terms the Board decides by giving the Eligible Participant an Offer, subject to this Plan and any applicable law or the Listing Rules.</w:t>
      </w:r>
    </w:p>
    <w:p>
      <w:pPr>
        <w:spacing w:after="0" w:line="183" w:lineRule="exact"/>
        <w:rPr>
          <w:sz w:val="20"/>
          <w:szCs w:val="20"/>
          <w:color w:val="auto"/>
        </w:rPr>
      </w:pPr>
    </w:p>
    <w:p>
      <w:pPr>
        <w:jc w:val="both"/>
        <w:ind w:left="1360"/>
        <w:spacing w:after="0"/>
        <w:tabs>
          <w:tab w:leader="none" w:pos="1900" w:val="left"/>
          <w:tab w:leader="none" w:pos="1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Performance and rights plan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26" w:name="page227"/>
    <w:bookmarkEnd w:id="226"/>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6191885</wp:posOffset>
            </wp:positionH>
            <wp:positionV relativeFrom="page">
              <wp:posOffset>217805</wp:posOffset>
            </wp:positionV>
            <wp:extent cx="1148715" cy="3771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4.2</w:t>
      </w:r>
      <w:r>
        <w:rPr>
          <w:sz w:val="20"/>
          <w:szCs w:val="20"/>
          <w:color w:val="auto"/>
        </w:rPr>
        <w:tab/>
      </w:r>
      <w:r>
        <w:rPr>
          <w:rFonts w:ascii="Arial" w:cs="Arial" w:eastAsia="Arial" w:hAnsi="Arial"/>
          <w:sz w:val="17"/>
          <w:szCs w:val="17"/>
          <w:b w:val="1"/>
          <w:bCs w:val="1"/>
          <w:color w:val="auto"/>
        </w:rPr>
        <w:t>Required details of Offer</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 Offer must state:</w:t>
      </w:r>
    </w:p>
    <w:p>
      <w:pPr>
        <w:spacing w:after="0" w:line="198" w:lineRule="exact"/>
        <w:rPr>
          <w:sz w:val="20"/>
          <w:szCs w:val="20"/>
          <w:color w:val="auto"/>
        </w:rPr>
      </w:pPr>
    </w:p>
    <w:p>
      <w:pPr>
        <w:ind w:left="1140" w:hanging="565"/>
        <w:spacing w:after="0"/>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total number of Rights for which the Eligible Participant may accept;</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date of the Offer;</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time period for acceptance of the Offer;</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Vesting Date;</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Vesting Conditions;</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Disposal Restrictions;</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other terms attaching to the Rights; and</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matters required to be specified by the Corporations Act or Listing Rules.</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Required documents for Offer</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will send the Offer to an Eligible Participant together with:</w:t>
      </w:r>
    </w:p>
    <w:p>
      <w:pPr>
        <w:spacing w:after="0" w:line="198" w:lineRule="exact"/>
        <w:rPr>
          <w:sz w:val="20"/>
          <w:szCs w:val="20"/>
          <w:color w:val="auto"/>
        </w:rPr>
      </w:pPr>
    </w:p>
    <w:p>
      <w:pPr>
        <w:ind w:left="1140" w:hanging="565"/>
        <w:spacing w:after="0"/>
        <w:tabs>
          <w:tab w:leader="none" w:pos="11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 Acceptance Form;</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copy of this Plan or a summary of this Plan (in which case this Plan will be made available on request, free of charge);</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other explanatory material which the Company wishes to distribute; and</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other documents and information required by the Corporations Act and the Listing Rules, if applicable.</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Acceptance of offer</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accept an Offer, an Eligible Participant must complete, sign and return the Acceptance Form in accordance with the Offer.</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Permitted Nominees</w:t>
      </w:r>
    </w:p>
    <w:p>
      <w:pPr>
        <w:spacing w:after="0" w:line="220" w:lineRule="exact"/>
        <w:rPr>
          <w:sz w:val="20"/>
          <w:szCs w:val="20"/>
          <w:color w:val="auto"/>
        </w:rPr>
      </w:pPr>
    </w:p>
    <w:p>
      <w:pPr>
        <w:ind w:left="1140" w:right="300" w:hanging="565"/>
        <w:spacing w:after="0" w:line="274" w:lineRule="auto"/>
        <w:tabs>
          <w:tab w:leader="none" w:pos="11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An Eligible Participant that receives an Offer may nominate a Permitted Nominee to hold Rights on their behalf by providing details of the Permitted Nominee on the Acceptance Form and having the Permitted Nominee sign the Acceptance Form.</w:t>
      </w:r>
    </w:p>
    <w:p>
      <w:pPr>
        <w:spacing w:after="0" w:line="161" w:lineRule="exact"/>
        <w:rPr>
          <w:rFonts w:ascii="Arial" w:cs="Arial" w:eastAsia="Arial" w:hAnsi="Arial"/>
          <w:sz w:val="17"/>
          <w:szCs w:val="17"/>
          <w:color w:val="auto"/>
        </w:rPr>
      </w:pPr>
    </w:p>
    <w:p>
      <w:pPr>
        <w:ind w:left="1140" w:right="80" w:hanging="565"/>
        <w:spacing w:after="0" w:line="246" w:lineRule="auto"/>
        <w:tabs>
          <w:tab w:leader="none" w:pos="11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Board can, in its absolute discretion and without providing an explanation, decide whether or not to accept the nomination of a Permitted Nominee by an Eligible Participant.</w:t>
      </w:r>
    </w:p>
    <w:p>
      <w:pPr>
        <w:spacing w:after="0" w:line="183" w:lineRule="exact"/>
        <w:rPr>
          <w:rFonts w:ascii="Arial" w:cs="Arial" w:eastAsia="Arial" w:hAnsi="Arial"/>
          <w:sz w:val="18"/>
          <w:szCs w:val="18"/>
          <w:color w:val="auto"/>
        </w:rPr>
      </w:pPr>
    </w:p>
    <w:p>
      <w:pPr>
        <w:ind w:left="1140" w:right="240" w:hanging="565"/>
        <w:spacing w:after="0" w:line="246" w:lineRule="auto"/>
        <w:tabs>
          <w:tab w:leader="none" w:pos="11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Where the Board decides not to grant Rights to a Permitted Nominee, the Board will, instead, grant the Rights to the Eligible Participant and the Eligible Participant is taken to have accepted the Offer personally.</w:t>
      </w:r>
    </w:p>
    <w:p>
      <w:pPr>
        <w:spacing w:after="0" w:line="183" w:lineRule="exact"/>
        <w:rPr>
          <w:rFonts w:ascii="Arial" w:cs="Arial" w:eastAsia="Arial" w:hAnsi="Arial"/>
          <w:sz w:val="18"/>
          <w:szCs w:val="18"/>
          <w:color w:val="auto"/>
        </w:rPr>
      </w:pPr>
    </w:p>
    <w:p>
      <w:pPr>
        <w:ind w:left="1140" w:hanging="565"/>
        <w:spacing w:after="0"/>
        <w:tabs>
          <w:tab w:leader="none" w:pos="11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 Eligible Participant must immediately notify the Company in writing as soon as they become aware:</w:t>
      </w:r>
    </w:p>
    <w:p>
      <w:pPr>
        <w:spacing w:after="0" w:line="198" w:lineRule="exact"/>
        <w:rPr>
          <w:sz w:val="20"/>
          <w:szCs w:val="20"/>
          <w:color w:val="auto"/>
        </w:rPr>
      </w:pPr>
    </w:p>
    <w:p>
      <w:pPr>
        <w:jc w:val="both"/>
        <w:ind w:left="1360"/>
        <w:spacing w:after="0"/>
        <w:tabs>
          <w:tab w:leader="none" w:pos="1900" w:val="left"/>
          <w:tab w:leader="none" w:pos="1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Performance and rights plan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27" w:name="page228"/>
    <w:bookmarkEnd w:id="227"/>
    <w:p>
      <w:pPr>
        <w:ind w:left="1700" w:hanging="558"/>
        <w:spacing w:after="0"/>
        <w:tabs>
          <w:tab w:leader="none" w:pos="17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6157595</wp:posOffset>
            </wp:positionH>
            <wp:positionV relativeFrom="page">
              <wp:posOffset>217805</wp:posOffset>
            </wp:positionV>
            <wp:extent cx="1148715" cy="3771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that they cease to Control their Permitted Nominee;</w:t>
      </w:r>
    </w:p>
    <w:p>
      <w:pPr>
        <w:spacing w:after="0" w:line="198" w:lineRule="exact"/>
        <w:rPr>
          <w:rFonts w:ascii="Arial" w:cs="Arial" w:eastAsia="Arial" w:hAnsi="Arial"/>
          <w:sz w:val="18"/>
          <w:szCs w:val="18"/>
          <w:color w:val="auto"/>
        </w:rPr>
      </w:pPr>
    </w:p>
    <w:p>
      <w:pPr>
        <w:ind w:left="1700" w:hanging="558"/>
        <w:spacing w:after="0"/>
        <w:tabs>
          <w:tab w:leader="none" w:pos="17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of any transaction which may result in them ceasing to Control their Permitted Nominee; or</w:t>
      </w:r>
    </w:p>
    <w:p>
      <w:pPr>
        <w:spacing w:after="0" w:line="198" w:lineRule="exact"/>
        <w:rPr>
          <w:rFonts w:ascii="Arial" w:cs="Arial" w:eastAsia="Arial" w:hAnsi="Arial"/>
          <w:sz w:val="18"/>
          <w:szCs w:val="18"/>
          <w:color w:val="auto"/>
        </w:rPr>
      </w:pPr>
    </w:p>
    <w:p>
      <w:pPr>
        <w:ind w:left="1700" w:right="180" w:hanging="558"/>
        <w:spacing w:after="0" w:line="246" w:lineRule="auto"/>
        <w:tabs>
          <w:tab w:leader="none" w:pos="17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that they cease to have an entitlement (whether or not that entitlement requires an exercise of discretion) to a majority of the distributions of their Permitted Nominee.</w:t>
      </w:r>
    </w:p>
    <w:p>
      <w:pPr>
        <w:spacing w:after="0" w:line="183" w:lineRule="exact"/>
        <w:rPr>
          <w:sz w:val="20"/>
          <w:szCs w:val="20"/>
          <w:color w:val="auto"/>
        </w:rPr>
      </w:pPr>
    </w:p>
    <w:p>
      <w:pPr>
        <w:ind w:left="1140" w:right="480" w:hanging="565"/>
        <w:spacing w:after="0" w:line="246" w:lineRule="auto"/>
        <w:tabs>
          <w:tab w:leader="none" w:pos="11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an Eligible Participant ceases to Control their Permitted Nominee at any time, the Board may determine that any Rights issued to the Permitted Nominee be transferred to the Eligible Participant.</w:t>
      </w:r>
    </w:p>
    <w:p>
      <w:pPr>
        <w:spacing w:after="0" w:line="16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7"/>
          <w:szCs w:val="17"/>
          <w:b w:val="1"/>
          <w:bCs w:val="1"/>
          <w:color w:val="auto"/>
        </w:rPr>
        <w:t>Maximum Rights granted</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must not grant Rights if the number of Shares to be issued on Vesting of the Rights, when aggregated with the:</w:t>
      </w:r>
    </w:p>
    <w:p>
      <w:pPr>
        <w:spacing w:after="0" w:line="198" w:lineRule="exact"/>
        <w:rPr>
          <w:sz w:val="20"/>
          <w:szCs w:val="20"/>
          <w:color w:val="auto"/>
        </w:rPr>
      </w:pPr>
    </w:p>
    <w:p>
      <w:pPr>
        <w:jc w:val="both"/>
        <w:ind w:left="1140" w:right="60" w:hanging="565"/>
        <w:spacing w:after="0"/>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total number of Shares relating to unvested and unexpired Rights existing or which would be issued if all offers for Rights were accepted, being offers made or Rights acquired under an employee share or option plan only for employees or directors of the Company and its Related Bodies Corporate; and</w:t>
      </w:r>
    </w:p>
    <w:p>
      <w:pPr>
        <w:spacing w:after="0" w:line="189" w:lineRule="exact"/>
        <w:rPr>
          <w:rFonts w:ascii="Arial" w:cs="Arial" w:eastAsia="Arial" w:hAnsi="Arial"/>
          <w:sz w:val="18"/>
          <w:szCs w:val="18"/>
          <w:color w:val="auto"/>
        </w:rPr>
      </w:pPr>
    </w:p>
    <w:p>
      <w:pPr>
        <w:ind w:left="1140" w:hanging="565"/>
        <w:spacing w:after="0" w:line="246" w:lineRule="auto"/>
        <w:tabs>
          <w:tab w:leader="none" w:pos="11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number of Shares in the same class issued during the previous five years under any employee share or option scheme only for employees or directors of the Company and its Related Bodies Corporate,</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but disregarding any Offer made, or Right acquired or Share issued by way of or as a result of:</w:t>
      </w:r>
    </w:p>
    <w:p>
      <w:pPr>
        <w:spacing w:after="0" w:line="198" w:lineRule="exact"/>
        <w:rPr>
          <w:sz w:val="20"/>
          <w:szCs w:val="20"/>
          <w:color w:val="auto"/>
        </w:rPr>
      </w:pPr>
    </w:p>
    <w:p>
      <w:pPr>
        <w:ind w:left="1140" w:hanging="565"/>
        <w:spacing w:after="0"/>
        <w:tabs>
          <w:tab w:leader="none" w:pos="11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 Offer to a person situated at the time of receipt of the Offer outside of Australia;</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disclosure document or product disclosure statement; or</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 offer that did not need disclosure because of section 708 Corporations Act,</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would exceed 5% of the total number of issued Shares in that class of Shares of the Company as at the time the offer was made.</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7"/>
          <w:szCs w:val="17"/>
          <w:b w:val="1"/>
          <w:bCs w:val="1"/>
          <w:color w:val="auto"/>
        </w:rPr>
        <w:t>No payment for grant of Rights or issue of Shares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Participant is not required to pay for the grant of any Rights or the issue of Shares on Vesting.</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7"/>
          <w:szCs w:val="17"/>
          <w:b w:val="1"/>
          <w:bCs w:val="1"/>
          <w:color w:val="auto"/>
        </w:rPr>
        <w:t>Statement</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will, within ten Business Days following the Grant Date, deliver to each Participant:</w:t>
      </w:r>
    </w:p>
    <w:p>
      <w:pPr>
        <w:spacing w:after="0" w:line="198" w:lineRule="exact"/>
        <w:rPr>
          <w:sz w:val="20"/>
          <w:szCs w:val="20"/>
          <w:color w:val="auto"/>
        </w:rPr>
      </w:pPr>
    </w:p>
    <w:p>
      <w:pPr>
        <w:ind w:left="1140" w:hanging="565"/>
        <w:spacing w:after="0"/>
        <w:tabs>
          <w:tab w:leader="none" w:pos="11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statement in the form the Board decides evidencing the grant of the Rights; and</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other information required by the Constitution, Corporations Act or the Listing Rules, if applicable.</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7"/>
          <w:szCs w:val="17"/>
          <w:b w:val="1"/>
          <w:bCs w:val="1"/>
          <w:color w:val="auto"/>
        </w:rPr>
        <w:t>Register of holders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must, if required by law, maintain a register of the Rights.</w:t>
      </w:r>
    </w:p>
    <w:p>
      <w:pPr>
        <w:spacing w:after="0" w:line="198" w:lineRule="exact"/>
        <w:rPr>
          <w:sz w:val="20"/>
          <w:szCs w:val="20"/>
          <w:color w:val="auto"/>
        </w:rPr>
      </w:pPr>
    </w:p>
    <w:p>
      <w:pPr>
        <w:jc w:val="both"/>
        <w:ind w:left="1360"/>
        <w:spacing w:after="0"/>
        <w:tabs>
          <w:tab w:leader="none" w:pos="1900" w:val="left"/>
          <w:tab w:leader="none" w:pos="1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Performance and rights plan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28" w:name="page229"/>
    <w:bookmarkEnd w:id="228"/>
    <w:p>
      <w:pPr>
        <w:ind w:left="580" w:hanging="572"/>
        <w:spacing w:after="0"/>
        <w:tabs>
          <w:tab w:leader="none" w:pos="58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6191885</wp:posOffset>
            </wp:positionH>
            <wp:positionV relativeFrom="page">
              <wp:posOffset>354965</wp:posOffset>
            </wp:positionV>
            <wp:extent cx="1148715" cy="3771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Vesting of Rights and issue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Number of Shares to be issued on Vesting of a Performance Right</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rule 5.2, each Performance Right entitles the Participant to be issued one Share after the Vesting Date:</w:t>
      </w:r>
    </w:p>
    <w:p>
      <w:pPr>
        <w:spacing w:after="0" w:line="198" w:lineRule="exact"/>
        <w:rPr>
          <w:sz w:val="20"/>
          <w:szCs w:val="20"/>
          <w:color w:val="auto"/>
        </w:rPr>
      </w:pPr>
    </w:p>
    <w:p>
      <w:pPr>
        <w:ind w:left="1140" w:hanging="565"/>
        <w:spacing w:after="0"/>
        <w:tabs>
          <w:tab w:leader="none" w:pos="11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subject to the satisfaction of the Vesting Conditions;</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provided any acquisition of Shares does not breach Corporations Act or the Listing Rules, if applicable; and</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subject to any other requirement contained in the Offer.</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Cash Settlement</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may decide, in its absolute discretion to substitute the issue of Shares on the Vesting of Rights, for the payment to the</w:t>
      </w:r>
    </w:p>
    <w:p>
      <w:pPr>
        <w:ind w:left="580"/>
        <w:spacing w:after="0"/>
        <w:rPr>
          <w:sz w:val="20"/>
          <w:szCs w:val="20"/>
          <w:color w:val="auto"/>
        </w:rPr>
      </w:pPr>
      <w:r>
        <w:rPr>
          <w:rFonts w:ascii="Arial" w:cs="Arial" w:eastAsia="Arial" w:hAnsi="Arial"/>
          <w:sz w:val="18"/>
          <w:szCs w:val="18"/>
          <w:color w:val="auto"/>
        </w:rPr>
        <w:t>Participant of a cash amount calculated in accordance with the following formula for Performance Rights: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484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Number of Performance Rights</w:t>
            </w:r>
          </w:p>
        </w:tc>
        <w:tc>
          <w:tcPr>
            <w:tcW w:w="4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x</w:t>
            </w:r>
          </w:p>
        </w:tc>
        <w:tc>
          <w:tcPr>
            <w:tcW w:w="3500" w:type="dxa"/>
            <w:vAlign w:val="bottom"/>
          </w:tcPr>
          <w:p>
            <w:pPr>
              <w:ind w:left="200"/>
              <w:spacing w:after="0"/>
              <w:rPr>
                <w:sz w:val="20"/>
                <w:szCs w:val="20"/>
                <w:color w:val="auto"/>
              </w:rPr>
            </w:pPr>
            <w:r>
              <w:rPr>
                <w:rFonts w:ascii="Arial" w:cs="Arial" w:eastAsia="Arial" w:hAnsi="Arial"/>
                <w:sz w:val="18"/>
                <w:szCs w:val="18"/>
                <w:b w:val="1"/>
                <w:bCs w:val="1"/>
                <w:color w:val="auto"/>
                <w:w w:val="98"/>
              </w:rPr>
              <w:t>Market Value of a Share on the Vesting</w:t>
            </w: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484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35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Date of the Performance Rights</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4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5.3</w:t>
            </w:r>
          </w:p>
        </w:tc>
        <w:tc>
          <w:tcPr>
            <w:tcW w:w="4840" w:type="dxa"/>
            <w:vAlign w:val="bottom"/>
          </w:tcPr>
          <w:p>
            <w:pPr>
              <w:ind w:left="160"/>
              <w:spacing w:after="0"/>
              <w:rPr>
                <w:sz w:val="20"/>
                <w:szCs w:val="20"/>
                <w:color w:val="auto"/>
              </w:rPr>
            </w:pPr>
            <w:r>
              <w:rPr>
                <w:rFonts w:ascii="Arial" w:cs="Arial" w:eastAsia="Arial" w:hAnsi="Arial"/>
                <w:sz w:val="18"/>
                <w:szCs w:val="18"/>
                <w:b w:val="1"/>
                <w:bCs w:val="1"/>
                <w:color w:val="auto"/>
              </w:rPr>
              <w:t>Lapse of Rights between Grant Date and Vesting Date</w:t>
            </w:r>
          </w:p>
        </w:tc>
        <w:tc>
          <w:tcPr>
            <w:tcW w:w="4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80" w:right="40"/>
        <w:spacing w:after="0" w:line="246" w:lineRule="auto"/>
        <w:rPr>
          <w:sz w:val="20"/>
          <w:szCs w:val="20"/>
          <w:color w:val="auto"/>
        </w:rPr>
      </w:pPr>
      <w:r>
        <w:rPr>
          <w:rFonts w:ascii="Arial" w:cs="Arial" w:eastAsia="Arial" w:hAnsi="Arial"/>
          <w:sz w:val="18"/>
          <w:szCs w:val="18"/>
          <w:color w:val="auto"/>
        </w:rPr>
        <w:t>Unless the Board decides otherwise, if an event in the table below occurs in respect of an Eligible Participant, before the Vesting Date for a Right, the Eligible Participant’s Rights are treated in accordance with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0" w:type="dxa"/>
            <w:vAlign w:val="bottom"/>
            <w:tcBorders>
              <w:right w:val="single" w:sz="8" w:color="auto"/>
            </w:tcBorders>
          </w:tcPr>
          <w:p>
            <w:pPr>
              <w:spacing w:after="0"/>
              <w:rPr>
                <w:sz w:val="20"/>
                <w:szCs w:val="20"/>
                <w:color w:val="auto"/>
              </w:rPr>
            </w:pPr>
          </w:p>
        </w:tc>
        <w:tc>
          <w:tcPr>
            <w:tcW w:w="1060" w:type="dxa"/>
            <w:vAlign w:val="bottom"/>
            <w:tcBorders>
              <w:top w:val="single" w:sz="8" w:color="auto"/>
              <w:bottom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Event</w:t>
            </w:r>
          </w:p>
        </w:tc>
        <w:tc>
          <w:tcPr>
            <w:tcW w:w="3980" w:type="dxa"/>
            <w:vAlign w:val="bottom"/>
            <w:tcBorders>
              <w:top w:val="single" w:sz="8" w:color="auto"/>
              <w:bottom w:val="single" w:sz="8" w:color="auto"/>
              <w:right w:val="single" w:sz="8" w:color="auto"/>
            </w:tcBorders>
            <w:shd w:val="clear" w:color="auto" w:fill="C0C0C0"/>
          </w:tcPr>
          <w:p>
            <w:pPr>
              <w:spacing w:after="0"/>
              <w:rPr>
                <w:sz w:val="20"/>
                <w:szCs w:val="20"/>
                <w:color w:val="auto"/>
              </w:rPr>
            </w:pPr>
          </w:p>
        </w:tc>
        <w:tc>
          <w:tcPr>
            <w:tcW w:w="560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Treatment of Rights</w:t>
            </w:r>
          </w:p>
        </w:tc>
      </w:tr>
      <w:tr>
        <w:trPr>
          <w:trHeight w:val="178"/>
        </w:trPr>
        <w:tc>
          <w:tcPr>
            <w:tcW w:w="600" w:type="dxa"/>
            <w:vAlign w:val="bottom"/>
            <w:tcBorders>
              <w:right w:val="single" w:sz="8" w:color="auto"/>
            </w:tcBorders>
          </w:tcPr>
          <w:p>
            <w:pPr>
              <w:spacing w:after="0"/>
              <w:rPr>
                <w:sz w:val="15"/>
                <w:szCs w:val="15"/>
                <w:color w:val="auto"/>
              </w:rPr>
            </w:pPr>
          </w:p>
        </w:tc>
        <w:tc>
          <w:tcPr>
            <w:tcW w:w="5040" w:type="dxa"/>
            <w:vAlign w:val="bottom"/>
            <w:tcBorders>
              <w:right w:val="single" w:sz="8" w:color="auto"/>
            </w:tcBorders>
            <w:gridSpan w:val="2"/>
          </w:tcPr>
          <w:p>
            <w:pPr>
              <w:ind w:left="80"/>
              <w:spacing w:after="0" w:line="178" w:lineRule="exact"/>
              <w:rPr>
                <w:sz w:val="20"/>
                <w:szCs w:val="20"/>
                <w:color w:val="auto"/>
              </w:rPr>
            </w:pPr>
            <w:r>
              <w:rPr>
                <w:rFonts w:ascii="Arial" w:cs="Arial" w:eastAsia="Arial" w:hAnsi="Arial"/>
                <w:sz w:val="18"/>
                <w:szCs w:val="18"/>
                <w:color w:val="auto"/>
              </w:rPr>
              <w:t>Eligible Participant’s lawful termination from employment</w:t>
            </w:r>
          </w:p>
        </w:tc>
        <w:tc>
          <w:tcPr>
            <w:tcW w:w="5600" w:type="dxa"/>
            <w:vAlign w:val="bottom"/>
            <w:tcBorders>
              <w:right w:val="single" w:sz="8" w:color="auto"/>
            </w:tcBorders>
          </w:tcPr>
          <w:p>
            <w:pPr>
              <w:ind w:left="60"/>
              <w:spacing w:after="0" w:line="178" w:lineRule="exact"/>
              <w:rPr>
                <w:sz w:val="20"/>
                <w:szCs w:val="20"/>
                <w:color w:val="auto"/>
              </w:rPr>
            </w:pPr>
            <w:r>
              <w:rPr>
                <w:rFonts w:ascii="Arial" w:cs="Arial" w:eastAsia="Arial" w:hAnsi="Arial"/>
                <w:sz w:val="18"/>
                <w:szCs w:val="18"/>
                <w:color w:val="auto"/>
              </w:rPr>
              <w:t>Rights lapse immediately</w:t>
            </w:r>
          </w:p>
        </w:tc>
      </w:tr>
      <w:tr>
        <w:trPr>
          <w:trHeight w:val="203"/>
        </w:trPr>
        <w:tc>
          <w:tcPr>
            <w:tcW w:w="600" w:type="dxa"/>
            <w:vAlign w:val="bottom"/>
            <w:tcBorders>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gridSpan w:val="2"/>
          </w:tcPr>
          <w:p>
            <w:pPr>
              <w:ind w:left="80"/>
              <w:spacing w:after="0" w:line="203" w:lineRule="exact"/>
              <w:rPr>
                <w:sz w:val="20"/>
                <w:szCs w:val="20"/>
                <w:color w:val="auto"/>
              </w:rPr>
            </w:pPr>
            <w:r>
              <w:rPr>
                <w:rFonts w:ascii="Arial" w:cs="Arial" w:eastAsia="Arial" w:hAnsi="Arial"/>
                <w:sz w:val="18"/>
                <w:szCs w:val="18"/>
                <w:color w:val="auto"/>
              </w:rPr>
              <w:t>with the Group or consultancy arrangement with the Group</w:t>
            </w:r>
          </w:p>
        </w:tc>
        <w:tc>
          <w:tcPr>
            <w:tcW w:w="5600" w:type="dxa"/>
            <w:vAlign w:val="bottom"/>
            <w:tcBorders>
              <w:bottom w:val="single" w:sz="8" w:color="auto"/>
              <w:right w:val="single" w:sz="8" w:color="auto"/>
            </w:tcBorders>
          </w:tcPr>
          <w:p>
            <w:pPr>
              <w:spacing w:after="0"/>
              <w:rPr>
                <w:sz w:val="17"/>
                <w:szCs w:val="17"/>
                <w:color w:val="auto"/>
              </w:rPr>
            </w:pPr>
          </w:p>
        </w:tc>
      </w:tr>
      <w:tr>
        <w:trPr>
          <w:trHeight w:val="195"/>
        </w:trPr>
        <w:tc>
          <w:tcPr>
            <w:tcW w:w="600" w:type="dxa"/>
            <w:vAlign w:val="bottom"/>
            <w:tcBorders>
              <w:right w:val="single" w:sz="8" w:color="auto"/>
            </w:tcBorders>
          </w:tcPr>
          <w:p>
            <w:pPr>
              <w:spacing w:after="0"/>
              <w:rPr>
                <w:sz w:val="16"/>
                <w:szCs w:val="16"/>
                <w:color w:val="auto"/>
              </w:rPr>
            </w:pPr>
          </w:p>
        </w:tc>
        <w:tc>
          <w:tcPr>
            <w:tcW w:w="504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Eligible Participant’s resignation or vacation from the Board,</w:t>
            </w:r>
          </w:p>
        </w:tc>
        <w:tc>
          <w:tcPr>
            <w:tcW w:w="5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Rights lapse immediately</w:t>
            </w:r>
          </w:p>
        </w:tc>
      </w:tr>
      <w:tr>
        <w:trPr>
          <w:trHeight w:val="203"/>
        </w:trPr>
        <w:tc>
          <w:tcPr>
            <w:tcW w:w="600" w:type="dxa"/>
            <w:vAlign w:val="bottom"/>
            <w:tcBorders>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gridSpan w:val="2"/>
          </w:tcPr>
          <w:p>
            <w:pPr>
              <w:ind w:left="80"/>
              <w:spacing w:after="0" w:line="203" w:lineRule="exact"/>
              <w:rPr>
                <w:sz w:val="20"/>
                <w:szCs w:val="20"/>
                <w:color w:val="auto"/>
              </w:rPr>
            </w:pPr>
            <w:r>
              <w:rPr>
                <w:rFonts w:ascii="Arial" w:cs="Arial" w:eastAsia="Arial" w:hAnsi="Arial"/>
                <w:sz w:val="18"/>
                <w:szCs w:val="18"/>
                <w:color w:val="auto"/>
              </w:rPr>
              <w:t>employment or consultancy with the Group</w:t>
            </w:r>
          </w:p>
        </w:tc>
        <w:tc>
          <w:tcPr>
            <w:tcW w:w="5600" w:type="dxa"/>
            <w:vAlign w:val="bottom"/>
            <w:tcBorders>
              <w:bottom w:val="single" w:sz="8" w:color="auto"/>
              <w:right w:val="single" w:sz="8" w:color="auto"/>
            </w:tcBorders>
          </w:tcPr>
          <w:p>
            <w:pPr>
              <w:spacing w:after="0"/>
              <w:rPr>
                <w:sz w:val="17"/>
                <w:szCs w:val="17"/>
                <w:color w:val="auto"/>
              </w:rPr>
            </w:pPr>
          </w:p>
        </w:tc>
      </w:tr>
      <w:tr>
        <w:trPr>
          <w:trHeight w:val="196"/>
        </w:trPr>
        <w:tc>
          <w:tcPr>
            <w:tcW w:w="600" w:type="dxa"/>
            <w:vAlign w:val="bottom"/>
            <w:tcBorders>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rPr>
              <w:t>Eligible Participant being made redundant</w:t>
            </w:r>
          </w:p>
        </w:tc>
        <w:tc>
          <w:tcPr>
            <w:tcW w:w="5600" w:type="dxa"/>
            <w:vAlign w:val="bottom"/>
            <w:tcBorders>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Rights do not lapse</w:t>
            </w:r>
          </w:p>
        </w:tc>
      </w:tr>
      <w:tr>
        <w:trPr>
          <w:trHeight w:val="195"/>
        </w:trPr>
        <w:tc>
          <w:tcPr>
            <w:tcW w:w="600" w:type="dxa"/>
            <w:vAlign w:val="bottom"/>
            <w:tcBorders>
              <w:right w:val="single" w:sz="8" w:color="auto"/>
            </w:tcBorders>
          </w:tcPr>
          <w:p>
            <w:pPr>
              <w:spacing w:after="0"/>
              <w:rPr>
                <w:sz w:val="16"/>
                <w:szCs w:val="16"/>
                <w:color w:val="auto"/>
              </w:rPr>
            </w:pPr>
          </w:p>
        </w:tc>
        <w:tc>
          <w:tcPr>
            <w:tcW w:w="504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Eligible Participant becomes disabled and (in the opinion of</w:t>
            </w:r>
          </w:p>
        </w:tc>
        <w:tc>
          <w:tcPr>
            <w:tcW w:w="5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Rights do not lapse</w:t>
            </w:r>
          </w:p>
        </w:tc>
      </w:tr>
      <w:tr>
        <w:trPr>
          <w:trHeight w:val="203"/>
        </w:trPr>
        <w:tc>
          <w:tcPr>
            <w:tcW w:w="60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 medical practitioner nominated by the Board) is unable to</w:t>
            </w:r>
          </w:p>
        </w:tc>
        <w:tc>
          <w:tcPr>
            <w:tcW w:w="5600" w:type="dxa"/>
            <w:vAlign w:val="bottom"/>
            <w:tcBorders>
              <w:right w:val="single" w:sz="8" w:color="auto"/>
            </w:tcBorders>
          </w:tcPr>
          <w:p>
            <w:pPr>
              <w:spacing w:after="0"/>
              <w:rPr>
                <w:sz w:val="17"/>
                <w:szCs w:val="17"/>
                <w:color w:val="auto"/>
              </w:rPr>
            </w:pPr>
          </w:p>
        </w:tc>
      </w:tr>
      <w:tr>
        <w:trPr>
          <w:trHeight w:val="203"/>
        </w:trPr>
        <w:tc>
          <w:tcPr>
            <w:tcW w:w="600" w:type="dxa"/>
            <w:vAlign w:val="bottom"/>
            <w:tcBorders>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gridSpan w:val="2"/>
          </w:tcPr>
          <w:p>
            <w:pPr>
              <w:ind w:left="80"/>
              <w:spacing w:after="0" w:line="203" w:lineRule="exact"/>
              <w:rPr>
                <w:sz w:val="20"/>
                <w:szCs w:val="20"/>
                <w:color w:val="auto"/>
              </w:rPr>
            </w:pPr>
            <w:r>
              <w:rPr>
                <w:rFonts w:ascii="Arial" w:cs="Arial" w:eastAsia="Arial" w:hAnsi="Arial"/>
                <w:sz w:val="18"/>
                <w:szCs w:val="18"/>
                <w:color w:val="auto"/>
              </w:rPr>
              <w:t>perform their normal duties</w:t>
            </w:r>
          </w:p>
        </w:tc>
        <w:tc>
          <w:tcPr>
            <w:tcW w:w="5600" w:type="dxa"/>
            <w:vAlign w:val="bottom"/>
            <w:tcBorders>
              <w:bottom w:val="single" w:sz="8" w:color="auto"/>
              <w:right w:val="single" w:sz="8" w:color="auto"/>
            </w:tcBorders>
          </w:tcPr>
          <w:p>
            <w:pPr>
              <w:spacing w:after="0"/>
              <w:rPr>
                <w:sz w:val="17"/>
                <w:szCs w:val="17"/>
                <w:color w:val="auto"/>
              </w:rPr>
            </w:pPr>
          </w:p>
        </w:tc>
      </w:tr>
      <w:tr>
        <w:trPr>
          <w:trHeight w:val="196"/>
        </w:trPr>
        <w:tc>
          <w:tcPr>
            <w:tcW w:w="600" w:type="dxa"/>
            <w:vAlign w:val="bottom"/>
            <w:tcBorders>
              <w:right w:val="single" w:sz="8" w:color="auto"/>
            </w:tcBorders>
          </w:tcPr>
          <w:p>
            <w:pPr>
              <w:spacing w:after="0"/>
              <w:rPr>
                <w:sz w:val="17"/>
                <w:szCs w:val="17"/>
                <w:color w:val="auto"/>
              </w:rPr>
            </w:pPr>
          </w:p>
        </w:tc>
        <w:tc>
          <w:tcPr>
            <w:tcW w:w="5040" w:type="dxa"/>
            <w:vAlign w:val="bottom"/>
            <w:tcBorders>
              <w:bottom w:val="single" w:sz="8" w:color="auto"/>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rPr>
              <w:t>Death of the Eligible Participant</w:t>
            </w:r>
          </w:p>
        </w:tc>
        <w:tc>
          <w:tcPr>
            <w:tcW w:w="5600" w:type="dxa"/>
            <w:vAlign w:val="bottom"/>
            <w:tcBorders>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Rights do not lapse</w:t>
            </w:r>
          </w:p>
        </w:tc>
      </w:tr>
      <w:tr>
        <w:trPr>
          <w:trHeight w:val="195"/>
        </w:trPr>
        <w:tc>
          <w:tcPr>
            <w:tcW w:w="600" w:type="dxa"/>
            <w:vAlign w:val="bottom"/>
            <w:tcBorders>
              <w:right w:val="single" w:sz="8" w:color="auto"/>
            </w:tcBorders>
          </w:tcPr>
          <w:p>
            <w:pPr>
              <w:spacing w:after="0"/>
              <w:rPr>
                <w:sz w:val="16"/>
                <w:szCs w:val="16"/>
                <w:color w:val="auto"/>
              </w:rPr>
            </w:pPr>
          </w:p>
        </w:tc>
        <w:tc>
          <w:tcPr>
            <w:tcW w:w="504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Eligible Participant loses Control of their Permitted Nominee</w:t>
            </w:r>
          </w:p>
        </w:tc>
        <w:tc>
          <w:tcPr>
            <w:tcW w:w="5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Rights lapse immediately unless they are transferred to the Eligible</w:t>
            </w:r>
          </w:p>
        </w:tc>
      </w:tr>
      <w:tr>
        <w:trPr>
          <w:trHeight w:val="203"/>
        </w:trPr>
        <w:tc>
          <w:tcPr>
            <w:tcW w:w="600" w:type="dxa"/>
            <w:vAlign w:val="bottom"/>
            <w:tcBorders>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98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Participant under rule 4.5(e)</w:t>
            </w:r>
          </w:p>
        </w:tc>
      </w:tr>
      <w:tr>
        <w:trPr>
          <w:trHeight w:val="412"/>
        </w:trPr>
        <w:tc>
          <w:tcPr>
            <w:tcW w:w="600" w:type="dxa"/>
            <w:vAlign w:val="bottom"/>
          </w:tcPr>
          <w:p>
            <w:pPr>
              <w:spacing w:after="0"/>
              <w:rPr>
                <w:sz w:val="24"/>
                <w:szCs w:val="24"/>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980" w:type="dxa"/>
            <w:vAlign w:val="bottom"/>
          </w:tcPr>
          <w:p>
            <w:pPr>
              <w:ind w:left="260"/>
              <w:spacing w:after="0"/>
              <w:rPr>
                <w:sz w:val="20"/>
                <w:szCs w:val="20"/>
                <w:color w:val="auto"/>
              </w:rPr>
            </w:pPr>
            <w:r>
              <w:rPr>
                <w:rFonts w:ascii="Arial" w:cs="Arial" w:eastAsia="Arial" w:hAnsi="Arial"/>
                <w:sz w:val="18"/>
                <w:szCs w:val="18"/>
                <w:color w:val="auto"/>
              </w:rPr>
              <w:t>Performance and rights plan</w:t>
            </w:r>
          </w:p>
        </w:tc>
        <w:tc>
          <w:tcPr>
            <w:tcW w:w="5600" w:type="dxa"/>
            <w:vAlign w:val="bottom"/>
          </w:tcPr>
          <w:p>
            <w:pPr>
              <w:ind w:left="5500"/>
              <w:spacing w:after="0"/>
              <w:rPr>
                <w:sz w:val="20"/>
                <w:szCs w:val="20"/>
                <w:color w:val="auto"/>
              </w:rPr>
            </w:pPr>
            <w:r>
              <w:rPr>
                <w:rFonts w:ascii="Arial" w:cs="Arial" w:eastAsia="Arial" w:hAnsi="Arial"/>
                <w:sz w:val="15"/>
                <w:szCs w:val="15"/>
                <w:color w:val="auto"/>
                <w:w w:val="71"/>
              </w:rPr>
              <w:t>7</w:t>
            </w:r>
          </w:p>
        </w:tc>
      </w:tr>
      <w:tr>
        <w:trPr>
          <w:trHeight w:val="668"/>
        </w:trPr>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45" w:right="339" w:bottom="1440" w:gutter="0" w:footer="0" w:header="0"/>
        </w:sectPr>
      </w:pPr>
    </w:p>
    <w:bookmarkStart w:id="229" w:name="page230"/>
    <w:bookmarkEnd w:id="229"/>
    <w:p>
      <w:pPr>
        <w:ind w:right="7720" w:firstLine="8"/>
        <w:spacing w:after="0" w:line="490" w:lineRule="auto"/>
        <w:tabs>
          <w:tab w:leader="none" w:pos="567"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6191885</wp:posOffset>
            </wp:positionH>
            <wp:positionV relativeFrom="page">
              <wp:posOffset>354965</wp:posOffset>
            </wp:positionV>
            <wp:extent cx="1148715" cy="3771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Rights attaching to Rights granted 6.1 Adjustment for reconstruction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580" w:right="20"/>
        <w:spacing w:after="0"/>
        <w:rPr>
          <w:sz w:val="20"/>
          <w:szCs w:val="20"/>
          <w:color w:val="auto"/>
        </w:rPr>
      </w:pPr>
      <w:r>
        <w:rPr>
          <w:rFonts w:ascii="Arial" w:cs="Arial" w:eastAsia="Arial" w:hAnsi="Arial"/>
          <w:sz w:val="18"/>
          <w:szCs w:val="18"/>
          <w:color w:val="auto"/>
        </w:rPr>
        <w:t>If there is a reconstruction of the issued capital of the Company (including consolidation, sub-division, reduction or return), the number of Shares over which a Right exists will be adjusted (as appropriate) to the extent necessary to comply with the Listing Rules applying to a reorganisation of capital.</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Dividends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Participant does not have the right to participate in dividends on Shares until Shares are issued after Vesting of the Rights.</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Voting rights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Participant does not have the right to vote in respect of a Right.</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Participation in further issues</w:t>
      </w:r>
    </w:p>
    <w:p>
      <w:pPr>
        <w:spacing w:after="0" w:line="220" w:lineRule="exact"/>
        <w:rPr>
          <w:sz w:val="20"/>
          <w:szCs w:val="20"/>
          <w:color w:val="auto"/>
        </w:rPr>
      </w:pPr>
    </w:p>
    <w:p>
      <w:pPr>
        <w:ind w:left="1140" w:hanging="565"/>
        <w:spacing w:after="0"/>
        <w:tabs>
          <w:tab w:leader="none" w:pos="11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Participant cannot participate in a pro rata or bonus issue of Shares without being issued Shares for their Rights.</w:t>
      </w:r>
    </w:p>
    <w:p>
      <w:pPr>
        <w:spacing w:after="0" w:line="198" w:lineRule="exact"/>
        <w:rPr>
          <w:rFonts w:ascii="Arial" w:cs="Arial" w:eastAsia="Arial" w:hAnsi="Arial"/>
          <w:sz w:val="18"/>
          <w:szCs w:val="18"/>
          <w:color w:val="auto"/>
        </w:rPr>
      </w:pPr>
    </w:p>
    <w:p>
      <w:pPr>
        <w:ind w:left="1140" w:right="80" w:hanging="565"/>
        <w:spacing w:after="0" w:line="246" w:lineRule="auto"/>
        <w:tabs>
          <w:tab w:leader="none" w:pos="11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a pro rata bonus or cash issue of securities is awarded by the Company, the number of Shares over which a Right exists will be adjusted as specified in Listing Rules and written notice will be given to the Participant.</w:t>
      </w:r>
    </w:p>
    <w:p>
      <w:pPr>
        <w:spacing w:after="0" w:line="16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color w:val="auto"/>
        </w:rPr>
        <w:t>Transfer of rights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rule 6.6, Participants must not:</w:t>
      </w:r>
    </w:p>
    <w:p>
      <w:pPr>
        <w:spacing w:after="0" w:line="198" w:lineRule="exact"/>
        <w:rPr>
          <w:sz w:val="20"/>
          <w:szCs w:val="20"/>
          <w:color w:val="auto"/>
        </w:rPr>
      </w:pPr>
    </w:p>
    <w:p>
      <w:pPr>
        <w:ind w:left="1140" w:hanging="565"/>
        <w:spacing w:after="0"/>
        <w:tabs>
          <w:tab w:leader="none" w:pos="11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create a Security Interest in; or</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transfer, assign, dispose or otherwise deal with,</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Rights, or any interest in Rights, without the prior written consent of the Board.</w:t>
      </w:r>
    </w:p>
    <w:p>
      <w:pPr>
        <w:spacing w:after="0" w:line="17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color w:val="auto"/>
        </w:rPr>
        <w:t>Transmission</w:t>
      </w:r>
    </w:p>
    <w:p>
      <w:pPr>
        <w:spacing w:after="0" w:line="220" w:lineRule="exact"/>
        <w:rPr>
          <w:sz w:val="20"/>
          <w:szCs w:val="20"/>
          <w:color w:val="auto"/>
        </w:rPr>
      </w:pPr>
    </w:p>
    <w:p>
      <w:pPr>
        <w:ind w:left="580" w:right="240"/>
        <w:spacing w:after="0" w:line="246" w:lineRule="auto"/>
        <w:rPr>
          <w:sz w:val="20"/>
          <w:szCs w:val="20"/>
          <w:color w:val="auto"/>
        </w:rPr>
      </w:pPr>
      <w:r>
        <w:rPr>
          <w:rFonts w:ascii="Arial" w:cs="Arial" w:eastAsia="Arial" w:hAnsi="Arial"/>
          <w:sz w:val="18"/>
          <w:szCs w:val="18"/>
          <w:color w:val="auto"/>
        </w:rPr>
        <w:t>The transmission of Rights to a legal personal representative of an Eligible Participant following an Eligible Participant’s death, may be made without the prior written consent of the Board.</w:t>
      </w:r>
    </w:p>
    <w:p>
      <w:pPr>
        <w:spacing w:after="0" w:line="16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Quotation</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will not apply to ASX for official quotation of any of the Rights.</w:t>
      </w:r>
    </w:p>
    <w:p>
      <w:pPr>
        <w:spacing w:after="0" w:line="176" w:lineRule="exact"/>
        <w:rPr>
          <w:sz w:val="20"/>
          <w:szCs w:val="20"/>
          <w:color w:val="auto"/>
        </w:rPr>
      </w:pPr>
    </w:p>
    <w:p>
      <w:pPr>
        <w:ind w:left="580" w:hanging="572"/>
        <w:spacing w:after="0"/>
        <w:tabs>
          <w:tab w:leader="none" w:pos="58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No interest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580" w:right="100"/>
        <w:spacing w:after="0" w:line="246" w:lineRule="auto"/>
        <w:rPr>
          <w:sz w:val="20"/>
          <w:szCs w:val="20"/>
          <w:color w:val="auto"/>
        </w:rPr>
      </w:pPr>
      <w:r>
        <w:rPr>
          <w:rFonts w:ascii="Arial" w:cs="Arial" w:eastAsia="Arial" w:hAnsi="Arial"/>
          <w:sz w:val="18"/>
          <w:szCs w:val="18"/>
          <w:color w:val="auto"/>
        </w:rPr>
        <w:t>A Participant has no interest in Shares the subject of Rights unless and until Vesting of those Rights occurs and Shares are issued to that Participant.</w:t>
      </w:r>
    </w:p>
    <w:p>
      <w:pPr>
        <w:spacing w:after="0" w:line="183" w:lineRule="exact"/>
        <w:rPr>
          <w:sz w:val="20"/>
          <w:szCs w:val="20"/>
          <w:color w:val="auto"/>
        </w:rPr>
      </w:pPr>
    </w:p>
    <w:p>
      <w:pPr>
        <w:jc w:val="both"/>
        <w:ind w:left="1360"/>
        <w:spacing w:after="0"/>
        <w:tabs>
          <w:tab w:leader="none" w:pos="1900" w:val="left"/>
          <w:tab w:leader="none" w:pos="1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Performance and rights plan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230" w:name="page231"/>
    <w:bookmarkEnd w:id="230"/>
    <w:p>
      <w:pPr>
        <w:ind w:left="580" w:hanging="572"/>
        <w:spacing w:after="0"/>
        <w:tabs>
          <w:tab w:leader="none" w:pos="58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6191885</wp:posOffset>
            </wp:positionH>
            <wp:positionV relativeFrom="page">
              <wp:posOffset>354965</wp:posOffset>
            </wp:positionV>
            <wp:extent cx="1148715" cy="3771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Board to notify Participant of Change of Control Trigger Event</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must, as soon as reasonably practicable, give written notice to each Participant of a Change of Control Trigger Event.</w:t>
      </w:r>
    </w:p>
    <w:p>
      <w:pPr>
        <w:spacing w:after="0" w:line="17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Treatment of Rights on a Change of Control Trigger Event</w:t>
      </w:r>
    </w:p>
    <w:p>
      <w:pPr>
        <w:spacing w:after="0" w:line="220" w:lineRule="exact"/>
        <w:rPr>
          <w:sz w:val="20"/>
          <w:szCs w:val="20"/>
          <w:color w:val="auto"/>
        </w:rPr>
      </w:pPr>
    </w:p>
    <w:p>
      <w:pPr>
        <w:ind w:left="580" w:right="200"/>
        <w:spacing w:after="0" w:line="246" w:lineRule="auto"/>
        <w:rPr>
          <w:sz w:val="20"/>
          <w:szCs w:val="20"/>
          <w:color w:val="auto"/>
        </w:rPr>
      </w:pPr>
      <w:r>
        <w:rPr>
          <w:rFonts w:ascii="Arial" w:cs="Arial" w:eastAsia="Arial" w:hAnsi="Arial"/>
          <w:sz w:val="18"/>
          <w:szCs w:val="18"/>
          <w:color w:val="auto"/>
        </w:rPr>
        <w:t>Unless the Board decides otherwise, if a Change of Control Trigger Event occurs, the Vesting Date of all Rights is the date on which the Change of Control Trigger Event occurs, or another date the Board decides.</w:t>
      </w:r>
    </w:p>
    <w:p>
      <w:pPr>
        <w:spacing w:after="0" w:line="16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Board to decide whether Rights Vest</w:t>
      </w:r>
    </w:p>
    <w:p>
      <w:pPr>
        <w:spacing w:after="0" w:line="220" w:lineRule="exact"/>
        <w:rPr>
          <w:sz w:val="20"/>
          <w:szCs w:val="20"/>
          <w:color w:val="auto"/>
        </w:rPr>
      </w:pPr>
    </w:p>
    <w:p>
      <w:pPr>
        <w:ind w:left="580" w:right="180"/>
        <w:spacing w:after="0"/>
        <w:rPr>
          <w:sz w:val="20"/>
          <w:szCs w:val="20"/>
          <w:color w:val="auto"/>
        </w:rPr>
      </w:pPr>
      <w:r>
        <w:rPr>
          <w:rFonts w:ascii="Arial" w:cs="Arial" w:eastAsia="Arial" w:hAnsi="Arial"/>
          <w:sz w:val="18"/>
          <w:szCs w:val="18"/>
          <w:color w:val="auto"/>
        </w:rPr>
        <w:t>After a Change of Control Trigger Event occurs, the Board must decide whether the Rights or a pro rata proportion of Rights Vest on the Vesting Date (as determined under rule 8.2) having regard to the performance of the Company and the relevant Eligible Participant, the Vesting Conditions and any other circumstances the Board decides are relevant.</w:t>
      </w:r>
    </w:p>
    <w:p>
      <w:pPr>
        <w:spacing w:after="0" w:line="167" w:lineRule="exact"/>
        <w:rPr>
          <w:sz w:val="20"/>
          <w:szCs w:val="20"/>
          <w:color w:val="auto"/>
        </w:rPr>
      </w:pPr>
    </w:p>
    <w:p>
      <w:pPr>
        <w:jc w:val="center"/>
        <w:ind w:right="3860"/>
        <w:spacing w:after="0"/>
        <w:tabs>
          <w:tab w:leader="none" w:pos="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Rights that the Board decides Vest following a Change of Control Trigger Event</w:t>
      </w:r>
    </w:p>
    <w:p>
      <w:pPr>
        <w:spacing w:after="0" w:line="220"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If the Board decides that Rights Vest under rule 8.3, the Company must either:</w:t>
      </w:r>
    </w:p>
    <w:p>
      <w:pPr>
        <w:spacing w:after="0" w:line="198" w:lineRule="exact"/>
        <w:rPr>
          <w:sz w:val="20"/>
          <w:szCs w:val="20"/>
          <w:color w:val="auto"/>
        </w:rPr>
      </w:pPr>
    </w:p>
    <w:p>
      <w:pPr>
        <w:ind w:left="1140" w:hanging="565"/>
        <w:spacing w:after="0"/>
        <w:tabs>
          <w:tab w:leader="none" w:pos="11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issue Shares to Participants as soon as reasonably practicable;</w:t>
      </w:r>
    </w:p>
    <w:p>
      <w:pPr>
        <w:spacing w:after="0" w:line="198" w:lineRule="exact"/>
        <w:rPr>
          <w:rFonts w:ascii="Arial" w:cs="Arial" w:eastAsia="Arial" w:hAnsi="Arial"/>
          <w:sz w:val="18"/>
          <w:szCs w:val="18"/>
          <w:color w:val="auto"/>
        </w:rPr>
      </w:pPr>
    </w:p>
    <w:p>
      <w:pPr>
        <w:ind w:left="1140" w:right="20" w:hanging="565"/>
        <w:spacing w:after="0" w:line="238" w:lineRule="auto"/>
        <w:tabs>
          <w:tab w:leader="none" w:pos="11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arrange for rights to acquire shares in the Bidder to be granted to the Participants on substantially the same terms as the Rights, but with any appropriate and reasonable adjustments decided by the Board to the number of shares in the Bidder to be issued on exercise of those rights, to ensure the Participants are not materially financially disadvantaged with the agreement of the Bidder;</w:t>
      </w:r>
    </w:p>
    <w:p>
      <w:pPr>
        <w:spacing w:after="0" w:line="191" w:lineRule="exact"/>
        <w:rPr>
          <w:rFonts w:ascii="Arial" w:cs="Arial" w:eastAsia="Arial" w:hAnsi="Arial"/>
          <w:sz w:val="18"/>
          <w:szCs w:val="18"/>
          <w:color w:val="auto"/>
        </w:rPr>
      </w:pPr>
    </w:p>
    <w:p>
      <w:pPr>
        <w:ind w:left="1140" w:right="560" w:hanging="565"/>
        <w:spacing w:after="0" w:line="246" w:lineRule="auto"/>
        <w:tabs>
          <w:tab w:leader="none" w:pos="11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arrange for shares to be issued in the Bidder in lieu of Shares on the terms decided by the Board as soon as reasonably practicable; or</w:t>
      </w:r>
    </w:p>
    <w:p>
      <w:pPr>
        <w:spacing w:after="0" w:line="183" w:lineRule="exact"/>
        <w:rPr>
          <w:rFonts w:ascii="Arial" w:cs="Arial" w:eastAsia="Arial" w:hAnsi="Arial"/>
          <w:sz w:val="18"/>
          <w:szCs w:val="18"/>
          <w:color w:val="auto"/>
        </w:rPr>
      </w:pPr>
    </w:p>
    <w:p>
      <w:pPr>
        <w:ind w:left="1140" w:hanging="565"/>
        <w:spacing w:after="0"/>
        <w:tabs>
          <w:tab w:leader="none" w:pos="11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proceed with a combination of any of the alternatives in rules 8.4(a), 8.4(b) or 8.4(c).</w:t>
      </w:r>
    </w:p>
    <w:p>
      <w:pPr>
        <w:spacing w:after="0" w:line="17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color w:val="auto"/>
        </w:rPr>
        <w:t>Rights that the Board decides do not Vest following a Change of Control Trigger Event</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Board decides that Rights do not Vest under rule 8.3:</w:t>
      </w:r>
    </w:p>
    <w:p>
      <w:pPr>
        <w:spacing w:after="0" w:line="198" w:lineRule="exact"/>
        <w:rPr>
          <w:sz w:val="20"/>
          <w:szCs w:val="20"/>
          <w:color w:val="auto"/>
        </w:rPr>
      </w:pPr>
    </w:p>
    <w:p>
      <w:pPr>
        <w:ind w:left="1140" w:right="220" w:hanging="565"/>
        <w:spacing w:after="0" w:line="246" w:lineRule="auto"/>
        <w:tabs>
          <w:tab w:leader="none" w:pos="11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Board may arrange for rights in the Bidder to be granted to the Participant on terms decided by the Board and the Rights will immediately lapse; or</w:t>
      </w:r>
    </w:p>
    <w:p>
      <w:pPr>
        <w:spacing w:after="0" w:line="183" w:lineRule="exact"/>
        <w:rPr>
          <w:rFonts w:ascii="Arial" w:cs="Arial" w:eastAsia="Arial" w:hAnsi="Arial"/>
          <w:sz w:val="18"/>
          <w:szCs w:val="18"/>
          <w:color w:val="auto"/>
        </w:rPr>
      </w:pPr>
    </w:p>
    <w:p>
      <w:pPr>
        <w:ind w:left="1140" w:hanging="565"/>
        <w:spacing w:after="0"/>
        <w:tabs>
          <w:tab w:leader="none" w:pos="11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those Rights immediately lapse, unless the Board decides otherwise.</w:t>
      </w:r>
    </w:p>
    <w:p>
      <w:pPr>
        <w:spacing w:after="0" w:line="17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7"/>
          <w:szCs w:val="17"/>
          <w:b w:val="1"/>
          <w:bCs w:val="1"/>
          <w:color w:val="auto"/>
        </w:rPr>
        <w:t>Participants to cooperate and attorney</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Participant:</w:t>
      </w:r>
    </w:p>
    <w:p>
      <w:pPr>
        <w:spacing w:after="0" w:line="198" w:lineRule="exact"/>
        <w:rPr>
          <w:sz w:val="20"/>
          <w:szCs w:val="20"/>
          <w:color w:val="auto"/>
        </w:rPr>
      </w:pPr>
    </w:p>
    <w:p>
      <w:pPr>
        <w:ind w:left="1140" w:hanging="565"/>
        <w:spacing w:after="0"/>
        <w:tabs>
          <w:tab w:leader="none" w:pos="11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must do all acts, matters or things which are necessary or desirable to give effect to rules 8.4(b), 8.4(b) and 8.5(a); and</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irrevocably appoints any two Directors as its attorney for the purpose of performing any act required of it under rule 8.6.</w:t>
      </w:r>
    </w:p>
    <w:p>
      <w:pPr>
        <w:spacing w:after="0" w:line="198" w:lineRule="exact"/>
        <w:rPr>
          <w:sz w:val="20"/>
          <w:szCs w:val="20"/>
          <w:color w:val="auto"/>
        </w:rPr>
      </w:pPr>
    </w:p>
    <w:p>
      <w:pPr>
        <w:jc w:val="both"/>
        <w:ind w:left="1360"/>
        <w:spacing w:after="0"/>
        <w:tabs>
          <w:tab w:leader="none" w:pos="1900" w:val="left"/>
          <w:tab w:leader="none" w:pos="1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Performance and rights plan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231" w:name="page232"/>
    <w:bookmarkEnd w:id="231"/>
    <w:p>
      <w:pPr>
        <w:ind w:left="20" w:right="8380" w:hanging="12"/>
        <w:spacing w:after="0" w:line="490" w:lineRule="auto"/>
        <w:tabs>
          <w:tab w:leader="none" w:pos="574"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6191885</wp:posOffset>
            </wp:positionH>
            <wp:positionV relativeFrom="page">
              <wp:posOffset>354965</wp:posOffset>
            </wp:positionV>
            <wp:extent cx="1148715" cy="3771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Issue of Shares on Vesting 9.1 Issue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right="20"/>
        <w:spacing w:after="0" w:line="246" w:lineRule="auto"/>
        <w:rPr>
          <w:sz w:val="20"/>
          <w:szCs w:val="20"/>
          <w:color w:val="auto"/>
        </w:rPr>
      </w:pPr>
      <w:r>
        <w:rPr>
          <w:rFonts w:ascii="Arial" w:cs="Arial" w:eastAsia="Arial" w:hAnsi="Arial"/>
          <w:sz w:val="18"/>
          <w:szCs w:val="18"/>
          <w:color w:val="auto"/>
        </w:rPr>
        <w:t>The Company will issue, transfer or allocate Shares to a Participant at the next Board meeting, or within 20 Business Days, whichever first occurs after Vesting.</w:t>
      </w:r>
    </w:p>
    <w:p>
      <w:pPr>
        <w:spacing w:after="0" w:line="16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Application for quotation</w:t>
      </w:r>
    </w:p>
    <w:p>
      <w:pPr>
        <w:spacing w:after="0" w:line="220" w:lineRule="exact"/>
        <w:rPr>
          <w:sz w:val="20"/>
          <w:szCs w:val="20"/>
          <w:color w:val="auto"/>
        </w:rPr>
      </w:pPr>
    </w:p>
    <w:p>
      <w:pPr>
        <w:jc w:val="both"/>
        <w:ind w:left="580" w:right="200"/>
        <w:spacing w:after="0"/>
        <w:rPr>
          <w:sz w:val="20"/>
          <w:szCs w:val="20"/>
          <w:color w:val="auto"/>
        </w:rPr>
      </w:pPr>
      <w:r>
        <w:rPr>
          <w:rFonts w:ascii="Arial" w:cs="Arial" w:eastAsia="Arial" w:hAnsi="Arial"/>
          <w:sz w:val="18"/>
          <w:szCs w:val="18"/>
          <w:color w:val="auto"/>
        </w:rPr>
        <w:t>If the Company’s Shares are officially quoted by ASX, the Company will apply to ASX for official quotation of any Shares issued to a Participant after Vesting of a Right within the time prescribed by the Listing Rules but, in any event, within ten Business Days of the issue of those Shares.</w:t>
      </w:r>
    </w:p>
    <w:p>
      <w:pPr>
        <w:spacing w:after="0" w:line="16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color w:val="auto"/>
        </w:rPr>
        <w:t>Ranking of Shares issued after Vesting</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Share issued under a Right after Vesting ranks equally with all existing Shares of that class from the date of allotment</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Disposal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No disposal of Shares for a specified period</w:t>
      </w:r>
    </w:p>
    <w:p>
      <w:pPr>
        <w:spacing w:after="0" w:line="220" w:lineRule="exact"/>
        <w:rPr>
          <w:sz w:val="20"/>
          <w:szCs w:val="20"/>
          <w:color w:val="auto"/>
        </w:rPr>
      </w:pPr>
    </w:p>
    <w:p>
      <w:pPr>
        <w:ind w:left="580" w:right="40"/>
        <w:spacing w:after="0" w:line="246" w:lineRule="auto"/>
        <w:rPr>
          <w:sz w:val="20"/>
          <w:szCs w:val="20"/>
          <w:color w:val="auto"/>
        </w:rPr>
      </w:pPr>
      <w:r>
        <w:rPr>
          <w:rFonts w:ascii="Arial" w:cs="Arial" w:eastAsia="Arial" w:hAnsi="Arial"/>
          <w:sz w:val="18"/>
          <w:szCs w:val="18"/>
          <w:color w:val="auto"/>
        </w:rPr>
        <w:t>If an Offer contains Disposal Restrictions, the Participant must comply with the Disposal Restrictions (or direct the trustee of the Trust, if applicable to do so) in relation to all Shares issued after Vesting for the period specified in the Offer.</w:t>
      </w:r>
    </w:p>
    <w:p>
      <w:pPr>
        <w:spacing w:after="0" w:line="16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Holding locks or other procedures</w:t>
      </w:r>
    </w:p>
    <w:p>
      <w:pPr>
        <w:spacing w:after="0" w:line="220" w:lineRule="exact"/>
        <w:rPr>
          <w:sz w:val="20"/>
          <w:szCs w:val="20"/>
          <w:color w:val="auto"/>
        </w:rPr>
      </w:pPr>
    </w:p>
    <w:p>
      <w:pPr>
        <w:ind w:left="580" w:right="220"/>
        <w:spacing w:after="0"/>
        <w:rPr>
          <w:sz w:val="20"/>
          <w:szCs w:val="20"/>
          <w:color w:val="auto"/>
        </w:rPr>
      </w:pPr>
      <w:r>
        <w:rPr>
          <w:rFonts w:ascii="Arial" w:cs="Arial" w:eastAsia="Arial" w:hAnsi="Arial"/>
          <w:sz w:val="18"/>
          <w:szCs w:val="18"/>
          <w:color w:val="auto"/>
        </w:rPr>
        <w:t>If the Shares issued after Vesting to a Participant are subject to a Disposal Restriction the Company, may implement any procedure (including a holding lock) it considers appropriate to ensure the Disposal Restriction is complied with for the period specified in the Offer.</w:t>
      </w:r>
    </w:p>
    <w:p>
      <w:pPr>
        <w:spacing w:after="0" w:line="16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Restrictions cease on Change of Control Trigger Event</w:t>
      </w:r>
    </w:p>
    <w:p>
      <w:pPr>
        <w:spacing w:after="0" w:line="220" w:lineRule="exact"/>
        <w:rPr>
          <w:sz w:val="20"/>
          <w:szCs w:val="20"/>
          <w:color w:val="auto"/>
        </w:rPr>
      </w:pPr>
    </w:p>
    <w:p>
      <w:pPr>
        <w:ind w:left="580" w:right="420"/>
        <w:spacing w:after="0"/>
        <w:rPr>
          <w:sz w:val="20"/>
          <w:szCs w:val="20"/>
          <w:color w:val="auto"/>
        </w:rPr>
      </w:pPr>
      <w:r>
        <w:rPr>
          <w:rFonts w:ascii="Arial" w:cs="Arial" w:eastAsia="Arial" w:hAnsi="Arial"/>
          <w:sz w:val="18"/>
          <w:szCs w:val="18"/>
          <w:color w:val="auto"/>
        </w:rPr>
        <w:t>A Disposal Restriction ceases to apply immediately upon a Change of Control Trigger Event occurring. As soon as reasonably practicable after the Change of Control Trigger Event occurs, the Company must release the Shares from any procedure in place under rule 10.2.</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Method of giving notice</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notice, consent or communication under this document is only effective if it is:</w:t>
      </w:r>
    </w:p>
    <w:p>
      <w:pPr>
        <w:spacing w:after="0" w:line="198" w:lineRule="exact"/>
        <w:rPr>
          <w:sz w:val="20"/>
          <w:szCs w:val="20"/>
          <w:color w:val="auto"/>
        </w:rPr>
      </w:pPr>
    </w:p>
    <w:p>
      <w:pPr>
        <w:ind w:left="1140" w:hanging="565"/>
        <w:spacing w:after="0"/>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writing, in English and signed by or on behalf of the person giving it;</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addressed to the person to whom it is to be given; and</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given as follows:</w:t>
      </w:r>
    </w:p>
    <w:p>
      <w:pPr>
        <w:spacing w:after="0" w:line="198" w:lineRule="exact"/>
        <w:rPr>
          <w:rFonts w:ascii="Arial" w:cs="Arial" w:eastAsia="Arial" w:hAnsi="Arial"/>
          <w:sz w:val="18"/>
          <w:szCs w:val="18"/>
          <w:color w:val="auto"/>
        </w:rPr>
      </w:pPr>
    </w:p>
    <w:p>
      <w:pPr>
        <w:ind w:left="1700" w:hanging="558"/>
        <w:spacing w:after="0"/>
        <w:tabs>
          <w:tab w:leader="none" w:pos="17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delivered by hand to that person’s address;</w:t>
      </w:r>
    </w:p>
    <w:p>
      <w:pPr>
        <w:spacing w:after="0" w:line="198" w:lineRule="exact"/>
        <w:rPr>
          <w:sz w:val="20"/>
          <w:szCs w:val="20"/>
          <w:color w:val="auto"/>
        </w:rPr>
      </w:pPr>
    </w:p>
    <w:p>
      <w:pPr>
        <w:jc w:val="both"/>
        <w:ind w:left="1360"/>
        <w:spacing w:after="0"/>
        <w:tabs>
          <w:tab w:leader="none" w:pos="1900" w:val="left"/>
          <w:tab w:leader="none" w:pos="11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Performance and rights plan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232" w:name="page233"/>
    <w:bookmarkEnd w:id="232"/>
    <w:p>
      <w:pPr>
        <w:ind w:left="1692" w:hanging="558"/>
        <w:spacing w:after="0"/>
        <w:tabs>
          <w:tab w:leader="none" w:pos="1692"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6191885</wp:posOffset>
            </wp:positionH>
            <wp:positionV relativeFrom="page">
              <wp:posOffset>354965</wp:posOffset>
            </wp:positionV>
            <wp:extent cx="1148715" cy="3771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sent to that person’s address by prepaid mail or by prepaid airmail, if the address is overseas;</w:t>
      </w:r>
    </w:p>
    <w:p>
      <w:pPr>
        <w:spacing w:after="0" w:line="198" w:lineRule="exact"/>
        <w:rPr>
          <w:rFonts w:ascii="Arial" w:cs="Arial" w:eastAsia="Arial" w:hAnsi="Arial"/>
          <w:sz w:val="18"/>
          <w:szCs w:val="18"/>
          <w:color w:val="auto"/>
        </w:rPr>
      </w:pPr>
    </w:p>
    <w:p>
      <w:pPr>
        <w:ind w:left="1692" w:right="420" w:hanging="558"/>
        <w:spacing w:after="0"/>
        <w:tabs>
          <w:tab w:leader="none" w:pos="169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sent by fax to that person’s fax number where the sender receives a transmission confirmation report from the despatching machine indicating the transmission has been made without error and showing the relevant number of pages and the correct destination fax number or name of recipient; or</w:t>
      </w:r>
    </w:p>
    <w:p>
      <w:pPr>
        <w:spacing w:after="0" w:line="167"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When is notice given</w:t>
      </w:r>
    </w:p>
    <w:p>
      <w:pPr>
        <w:spacing w:after="0" w:line="220" w:lineRule="exact"/>
        <w:rPr>
          <w:sz w:val="20"/>
          <w:szCs w:val="20"/>
          <w:color w:val="auto"/>
        </w:rPr>
      </w:pPr>
    </w:p>
    <w:p>
      <w:pPr>
        <w:ind w:left="572" w:right="740"/>
        <w:spacing w:after="0" w:line="246" w:lineRule="auto"/>
        <w:rPr>
          <w:sz w:val="20"/>
          <w:szCs w:val="20"/>
          <w:color w:val="auto"/>
        </w:rPr>
      </w:pPr>
      <w:r>
        <w:rPr>
          <w:rFonts w:ascii="Arial" w:cs="Arial" w:eastAsia="Arial" w:hAnsi="Arial"/>
          <w:sz w:val="18"/>
          <w:szCs w:val="18"/>
          <w:color w:val="auto"/>
        </w:rPr>
        <w:t>A notice, consent or communication given under rule 11.1 is given and received on the corresponding day set out in the table below. The time expressed in the table is the local time in the place of receipt.</w:t>
      </w:r>
    </w:p>
    <w:p>
      <w:pPr>
        <w:spacing w:after="0" w:line="161" w:lineRule="exact"/>
        <w:rPr>
          <w:sz w:val="20"/>
          <w:szCs w:val="20"/>
          <w:color w:val="auto"/>
        </w:rPr>
      </w:pPr>
    </w:p>
    <w:tbl>
      <w:tblPr>
        <w:tblLayout w:type="fixed"/>
        <w:tblInd w:w="582" w:type="dxa"/>
        <w:tblCellMar>
          <w:top w:w="0" w:type="dxa"/>
          <w:left w:w="0" w:type="dxa"/>
          <w:bottom w:w="0" w:type="dxa"/>
          <w:right w:w="0" w:type="dxa"/>
        </w:tblCellMar>
      </w:tblPr>
      <w:tr>
        <w:trPr>
          <w:trHeight w:val="236"/>
        </w:trPr>
        <w:tc>
          <w:tcPr>
            <w:tcW w:w="2820" w:type="dxa"/>
            <w:vAlign w:val="bottom"/>
            <w:tcBorders>
              <w:top w:val="single" w:sz="8" w:color="auto"/>
              <w:left w:val="single" w:sz="8" w:color="auto"/>
              <w:bottom w:val="single" w:sz="8" w:color="auto"/>
              <w:right w:val="single" w:sz="8" w:color="auto"/>
            </w:tcBorders>
            <w:shd w:val="clear" w:color="auto" w:fill="C0C0C0"/>
          </w:tcPr>
          <w:p>
            <w:pPr>
              <w:ind w:left="100"/>
              <w:spacing w:after="0"/>
              <w:rPr>
                <w:sz w:val="20"/>
                <w:szCs w:val="20"/>
                <w:color w:val="auto"/>
              </w:rPr>
            </w:pPr>
            <w:r>
              <w:rPr>
                <w:rFonts w:ascii="Arial" w:cs="Arial" w:eastAsia="Arial" w:hAnsi="Arial"/>
                <w:sz w:val="18"/>
                <w:szCs w:val="18"/>
                <w:b w:val="1"/>
                <w:bCs w:val="1"/>
                <w:color w:val="auto"/>
              </w:rPr>
              <w:t>If a notice is</w:t>
            </w:r>
          </w:p>
        </w:tc>
        <w:tc>
          <w:tcPr>
            <w:tcW w:w="7840" w:type="dxa"/>
            <w:vAlign w:val="bottom"/>
            <w:tcBorders>
              <w:top w:val="single" w:sz="8" w:color="auto"/>
              <w:bottom w:val="single" w:sz="8" w:color="auto"/>
              <w:right w:val="single" w:sz="8" w:color="auto"/>
            </w:tcBorders>
            <w:gridSpan w:val="2"/>
            <w:shd w:val="clear" w:color="auto" w:fill="C0C0C0"/>
          </w:tcPr>
          <w:p>
            <w:pPr>
              <w:ind w:left="60"/>
              <w:spacing w:after="0"/>
              <w:rPr>
                <w:sz w:val="20"/>
                <w:szCs w:val="20"/>
                <w:color w:val="auto"/>
              </w:rPr>
            </w:pPr>
            <w:r>
              <w:rPr>
                <w:rFonts w:ascii="Arial" w:cs="Arial" w:eastAsia="Arial" w:hAnsi="Arial"/>
                <w:sz w:val="18"/>
                <w:szCs w:val="18"/>
                <w:b w:val="1"/>
                <w:bCs w:val="1"/>
                <w:color w:val="auto"/>
              </w:rPr>
              <w:t>It is given and received on</w:t>
            </w:r>
          </w:p>
        </w:tc>
      </w:tr>
      <w:tr>
        <w:trPr>
          <w:trHeight w:val="178"/>
        </w:trPr>
        <w:tc>
          <w:tcPr>
            <w:tcW w:w="2820" w:type="dxa"/>
            <w:vAlign w:val="bottom"/>
            <w:tcBorders>
              <w:left w:val="single" w:sz="8" w:color="auto"/>
              <w:right w:val="single" w:sz="8" w:color="auto"/>
            </w:tcBorders>
          </w:tcPr>
          <w:p>
            <w:pPr>
              <w:ind w:left="100"/>
              <w:spacing w:after="0" w:line="178" w:lineRule="exact"/>
              <w:rPr>
                <w:sz w:val="20"/>
                <w:szCs w:val="20"/>
                <w:color w:val="auto"/>
              </w:rPr>
            </w:pPr>
            <w:r>
              <w:rPr>
                <w:rFonts w:ascii="Arial" w:cs="Arial" w:eastAsia="Arial" w:hAnsi="Arial"/>
                <w:sz w:val="18"/>
                <w:szCs w:val="18"/>
                <w:color w:val="auto"/>
              </w:rPr>
              <w:t>Delivered by hand or sent</w:t>
            </w:r>
          </w:p>
        </w:tc>
        <w:tc>
          <w:tcPr>
            <w:tcW w:w="440" w:type="dxa"/>
            <w:vAlign w:val="bottom"/>
          </w:tcPr>
          <w:p>
            <w:pPr>
              <w:ind w:left="60"/>
              <w:spacing w:after="0" w:line="178" w:lineRule="exact"/>
              <w:rPr>
                <w:sz w:val="20"/>
                <w:szCs w:val="20"/>
                <w:color w:val="auto"/>
              </w:rPr>
            </w:pPr>
            <w:r>
              <w:rPr>
                <w:rFonts w:ascii="Arial" w:cs="Arial" w:eastAsia="Arial" w:hAnsi="Arial"/>
                <w:sz w:val="18"/>
                <w:szCs w:val="18"/>
                <w:color w:val="auto"/>
              </w:rPr>
              <w:t>(a)</w:t>
            </w:r>
          </w:p>
        </w:tc>
        <w:tc>
          <w:tcPr>
            <w:tcW w:w="7400" w:type="dxa"/>
            <w:vAlign w:val="bottom"/>
            <w:tcBorders>
              <w:right w:val="single" w:sz="8" w:color="auto"/>
            </w:tcBorders>
          </w:tcPr>
          <w:p>
            <w:pPr>
              <w:ind w:left="180"/>
              <w:spacing w:after="0" w:line="178" w:lineRule="exact"/>
              <w:rPr>
                <w:sz w:val="20"/>
                <w:szCs w:val="20"/>
                <w:color w:val="auto"/>
              </w:rPr>
            </w:pPr>
            <w:r>
              <w:rPr>
                <w:rFonts w:ascii="Arial" w:cs="Arial" w:eastAsia="Arial" w:hAnsi="Arial"/>
                <w:sz w:val="18"/>
                <w:szCs w:val="18"/>
                <w:color w:val="auto"/>
              </w:rPr>
              <w:t>that day, if delivered by 5.00pm on a Business Day; or</w:t>
            </w:r>
          </w:p>
        </w:tc>
      </w:tr>
      <w:tr>
        <w:trPr>
          <w:trHeight w:val="203"/>
        </w:trPr>
        <w:tc>
          <w:tcPr>
            <w:tcW w:w="2820" w:type="dxa"/>
            <w:vAlign w:val="bottom"/>
            <w:tcBorders>
              <w:left w:val="single" w:sz="8" w:color="auto"/>
              <w:bottom w:val="single" w:sz="8" w:color="auto"/>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by fax</w:t>
            </w:r>
          </w:p>
        </w:tc>
        <w:tc>
          <w:tcPr>
            <w:tcW w:w="44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(b)</w:t>
            </w:r>
          </w:p>
        </w:tc>
        <w:tc>
          <w:tcPr>
            <w:tcW w:w="7400" w:type="dxa"/>
            <w:vAlign w:val="bottom"/>
            <w:tcBorders>
              <w:bottom w:val="single" w:sz="8" w:color="auto"/>
              <w:right w:val="single" w:sz="8" w:color="auto"/>
            </w:tcBorders>
          </w:tcPr>
          <w:p>
            <w:pPr>
              <w:ind w:left="180"/>
              <w:spacing w:after="0" w:line="203" w:lineRule="exact"/>
              <w:rPr>
                <w:sz w:val="20"/>
                <w:szCs w:val="20"/>
                <w:color w:val="auto"/>
              </w:rPr>
            </w:pPr>
            <w:r>
              <w:rPr>
                <w:rFonts w:ascii="Arial" w:cs="Arial" w:eastAsia="Arial" w:hAnsi="Arial"/>
                <w:sz w:val="18"/>
                <w:szCs w:val="18"/>
                <w:color w:val="auto"/>
              </w:rPr>
              <w:t>the next Business Day, in any other case.</w:t>
            </w:r>
          </w:p>
        </w:tc>
      </w:tr>
      <w:tr>
        <w:trPr>
          <w:trHeight w:val="195"/>
        </w:trPr>
        <w:tc>
          <w:tcPr>
            <w:tcW w:w="282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Sent by post</w:t>
            </w:r>
          </w:p>
        </w:tc>
        <w:tc>
          <w:tcPr>
            <w:tcW w:w="440" w:type="dxa"/>
            <w:vAlign w:val="bottom"/>
          </w:tcPr>
          <w:p>
            <w:pPr>
              <w:ind w:left="60"/>
              <w:spacing w:after="0" w:line="195" w:lineRule="exact"/>
              <w:rPr>
                <w:sz w:val="20"/>
                <w:szCs w:val="20"/>
                <w:color w:val="auto"/>
              </w:rPr>
            </w:pPr>
            <w:r>
              <w:rPr>
                <w:rFonts w:ascii="Arial" w:cs="Arial" w:eastAsia="Arial" w:hAnsi="Arial"/>
                <w:sz w:val="18"/>
                <w:szCs w:val="18"/>
                <w:color w:val="auto"/>
              </w:rPr>
              <w:t>(a)</w:t>
            </w:r>
          </w:p>
        </w:tc>
        <w:tc>
          <w:tcPr>
            <w:tcW w:w="740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three Business Days after posting, if sent within Australia; or</w:t>
            </w:r>
          </w:p>
        </w:tc>
      </w:tr>
      <w:tr>
        <w:trPr>
          <w:trHeight w:val="203"/>
        </w:trPr>
        <w:tc>
          <w:tcPr>
            <w:tcW w:w="2820" w:type="dxa"/>
            <w:vAlign w:val="bottom"/>
            <w:tcBorders>
              <w:left w:val="single" w:sz="8" w:color="auto"/>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(b)</w:t>
            </w:r>
          </w:p>
        </w:tc>
        <w:tc>
          <w:tcPr>
            <w:tcW w:w="7400" w:type="dxa"/>
            <w:vAlign w:val="bottom"/>
            <w:tcBorders>
              <w:bottom w:val="single" w:sz="8" w:color="auto"/>
              <w:right w:val="single" w:sz="8" w:color="auto"/>
            </w:tcBorders>
          </w:tcPr>
          <w:p>
            <w:pPr>
              <w:ind w:left="180"/>
              <w:spacing w:after="0" w:line="203" w:lineRule="exact"/>
              <w:rPr>
                <w:sz w:val="20"/>
                <w:szCs w:val="20"/>
                <w:color w:val="auto"/>
              </w:rPr>
            </w:pPr>
            <w:r>
              <w:rPr>
                <w:rFonts w:ascii="Arial" w:cs="Arial" w:eastAsia="Arial" w:hAnsi="Arial"/>
                <w:sz w:val="18"/>
                <w:szCs w:val="18"/>
                <w:color w:val="auto"/>
              </w:rPr>
              <w:t>seven Business Days after posting, if sent to or from a place outside Australia.</w:t>
            </w:r>
          </w:p>
        </w:tc>
      </w:tr>
    </w:tbl>
    <w:p>
      <w:pPr>
        <w:spacing w:after="0" w:line="180"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b w:val="1"/>
          <w:bCs w:val="1"/>
          <w:color w:val="auto"/>
        </w:rPr>
        <w:t>Participant’s address for notices</w:t>
      </w:r>
    </w:p>
    <w:p>
      <w:pPr>
        <w:spacing w:after="0" w:line="220" w:lineRule="exact"/>
        <w:rPr>
          <w:sz w:val="20"/>
          <w:szCs w:val="20"/>
          <w:color w:val="auto"/>
        </w:rPr>
      </w:pPr>
    </w:p>
    <w:p>
      <w:pPr>
        <w:ind w:left="572" w:right="480"/>
        <w:spacing w:after="0" w:line="246" w:lineRule="auto"/>
        <w:rPr>
          <w:sz w:val="20"/>
          <w:szCs w:val="20"/>
          <w:color w:val="auto"/>
        </w:rPr>
      </w:pPr>
      <w:r>
        <w:rPr>
          <w:rFonts w:ascii="Arial" w:cs="Arial" w:eastAsia="Arial" w:hAnsi="Arial"/>
          <w:sz w:val="18"/>
          <w:szCs w:val="18"/>
          <w:color w:val="auto"/>
        </w:rPr>
        <w:t>A Participant’s address and fax number are as shown in the Company’s records or as otherwise notified by the Participant to the Company.</w:t>
      </w:r>
    </w:p>
    <w:p>
      <w:pPr>
        <w:spacing w:after="0" w:line="161"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7"/>
          <w:szCs w:val="17"/>
          <w:b w:val="1"/>
          <w:bCs w:val="1"/>
          <w:color w:val="auto"/>
        </w:rPr>
        <w:t>Company’s address for notices</w:t>
      </w:r>
    </w:p>
    <w:p>
      <w:pPr>
        <w:spacing w:after="0" w:line="220" w:lineRule="exact"/>
        <w:rPr>
          <w:sz w:val="20"/>
          <w:szCs w:val="20"/>
          <w:color w:val="auto"/>
        </w:rPr>
      </w:pPr>
    </w:p>
    <w:p>
      <w:pPr>
        <w:ind w:left="572" w:right="220"/>
        <w:spacing w:after="0" w:line="246" w:lineRule="auto"/>
        <w:rPr>
          <w:sz w:val="20"/>
          <w:szCs w:val="20"/>
          <w:color w:val="auto"/>
        </w:rPr>
      </w:pPr>
      <w:r>
        <w:rPr>
          <w:rFonts w:ascii="Arial" w:cs="Arial" w:eastAsia="Arial" w:hAnsi="Arial"/>
          <w:sz w:val="18"/>
          <w:szCs w:val="18"/>
          <w:color w:val="auto"/>
        </w:rPr>
        <w:t>The Company’s address for notices, including the Acceptance Form is set out below or as otherwise notified by the Company to the Participant.</w:t>
      </w:r>
    </w:p>
    <w:p>
      <w:pPr>
        <w:spacing w:after="0" w:line="183" w:lineRule="exact"/>
        <w:rPr>
          <w:sz w:val="20"/>
          <w:szCs w:val="20"/>
          <w:color w:val="auto"/>
        </w:rPr>
      </w:pPr>
    </w:p>
    <w:p>
      <w:pPr>
        <w:ind w:left="12" w:right="3420" w:firstLine="554"/>
        <w:spacing w:after="0" w:line="469" w:lineRule="auto"/>
        <w:rPr>
          <w:sz w:val="20"/>
          <w:szCs w:val="20"/>
          <w:color w:val="auto"/>
        </w:rPr>
      </w:pPr>
      <w:r>
        <w:rPr>
          <w:rFonts w:ascii="Arial" w:cs="Arial" w:eastAsia="Arial" w:hAnsi="Arial"/>
          <w:sz w:val="18"/>
          <w:szCs w:val="18"/>
          <w:color w:val="auto"/>
        </w:rPr>
        <w:t xml:space="preserve">c/- McCullough Robertson Lawyers, Level 11, 66 Eagle Street, Brisbane, Queensland 4000 </w:t>
      </w:r>
      <w:r>
        <w:rPr>
          <w:rFonts w:ascii="Arial" w:cs="Arial" w:eastAsia="Arial" w:hAnsi="Arial"/>
          <w:sz w:val="18"/>
          <w:szCs w:val="18"/>
          <w:b w:val="1"/>
          <w:bCs w:val="1"/>
          <w:color w:val="auto"/>
        </w:rPr>
        <w:t>11.5 Notices to Permitted Nominees</w:t>
      </w:r>
    </w:p>
    <w:p>
      <w:pPr>
        <w:spacing w:after="0" w:line="1" w:lineRule="exact"/>
        <w:rPr>
          <w:sz w:val="20"/>
          <w:szCs w:val="20"/>
          <w:color w:val="auto"/>
        </w:rPr>
      </w:pPr>
    </w:p>
    <w:p>
      <w:pPr>
        <w:ind w:left="572" w:right="300"/>
        <w:spacing w:after="0" w:line="246" w:lineRule="auto"/>
        <w:rPr>
          <w:sz w:val="20"/>
          <w:szCs w:val="20"/>
          <w:color w:val="auto"/>
        </w:rPr>
      </w:pPr>
      <w:r>
        <w:rPr>
          <w:rFonts w:ascii="Arial" w:cs="Arial" w:eastAsia="Arial" w:hAnsi="Arial"/>
          <w:sz w:val="18"/>
          <w:szCs w:val="18"/>
          <w:color w:val="auto"/>
        </w:rPr>
        <w:t>Any notice given under this Plan to a Permitted Nominee is validly given if it is provided to the associated Eligible Participant under rule 11.1.</w:t>
      </w:r>
    </w:p>
    <w:p>
      <w:pPr>
        <w:spacing w:after="0" w:line="161" w:lineRule="exact"/>
        <w:rPr>
          <w:sz w:val="20"/>
          <w:szCs w:val="20"/>
          <w:color w:val="auto"/>
        </w:rPr>
      </w:pPr>
    </w:p>
    <w:p>
      <w:pPr>
        <w:ind w:left="12" w:right="8660" w:hanging="12"/>
        <w:spacing w:after="0" w:line="490" w:lineRule="auto"/>
        <w:tabs>
          <w:tab w:leader="none" w:pos="566"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12.1 Amendment</w:t>
      </w: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Subject to rule 12.2, the Board may amend the Plan in any manner it decides.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-524510</wp:posOffset>
            </wp:positionV>
            <wp:extent cx="713232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Restrictions</w:t>
      </w:r>
    </w:p>
    <w:p>
      <w:pPr>
        <w:spacing w:after="0" w:line="220"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The Board must not make any amendment to the Plan which would:</w:t>
      </w:r>
    </w:p>
    <w:p>
      <w:pPr>
        <w:spacing w:after="0" w:line="198" w:lineRule="exact"/>
        <w:rPr>
          <w:sz w:val="20"/>
          <w:szCs w:val="20"/>
          <w:color w:val="auto"/>
        </w:rPr>
      </w:pPr>
    </w:p>
    <w:p>
      <w:pPr>
        <w:ind w:left="1132" w:right="240" w:hanging="565"/>
        <w:spacing w:after="0" w:line="246" w:lineRule="auto"/>
        <w:tabs>
          <w:tab w:leader="none" w:pos="113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have the effect of materially adversely affecting or prejudicing the rights of any Participant holding Rights at that time, except for amendments:</w:t>
      </w:r>
    </w:p>
    <w:p>
      <w:pPr>
        <w:spacing w:after="0" w:line="183" w:lineRule="exact"/>
        <w:rPr>
          <w:sz w:val="20"/>
          <w:szCs w:val="20"/>
          <w:color w:val="auto"/>
        </w:rPr>
      </w:pPr>
    </w:p>
    <w:p>
      <w:pPr>
        <w:jc w:val="both"/>
        <w:ind w:left="1352"/>
        <w:spacing w:after="0"/>
        <w:tabs>
          <w:tab w:leader="none" w:pos="1892" w:val="left"/>
          <w:tab w:leader="none" w:pos="1101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Performance and rights plan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713232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67" w:right="339" w:bottom="1440" w:gutter="0" w:footer="0" w:header="0"/>
        </w:sectPr>
      </w:pPr>
    </w:p>
    <w:bookmarkStart w:id="233" w:name="page234"/>
    <w:bookmarkEnd w:id="233"/>
    <w:p>
      <w:pPr>
        <w:ind w:left="1692" w:right="80" w:hanging="558"/>
        <w:spacing w:after="0" w:line="246" w:lineRule="auto"/>
        <w:tabs>
          <w:tab w:leader="none" w:pos="1692" w:val="left"/>
        </w:tabs>
        <w:numPr>
          <w:ilvl w:val="0"/>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6191885</wp:posOffset>
            </wp:positionH>
            <wp:positionV relativeFrom="page">
              <wp:posOffset>354965</wp:posOffset>
            </wp:positionV>
            <wp:extent cx="1148715" cy="3771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to comply with the Constitution, Corporations Act, Listing Rules or any other law affecting the maintenance or operation of the Plan;</w:t>
      </w:r>
    </w:p>
    <w:p>
      <w:pPr>
        <w:spacing w:after="0" w:line="183" w:lineRule="exact"/>
        <w:rPr>
          <w:rFonts w:ascii="Arial" w:cs="Arial" w:eastAsia="Arial" w:hAnsi="Arial"/>
          <w:sz w:val="18"/>
          <w:szCs w:val="18"/>
          <w:color w:val="auto"/>
        </w:rPr>
      </w:pPr>
    </w:p>
    <w:p>
      <w:pPr>
        <w:ind w:left="1692" w:hanging="558"/>
        <w:spacing w:after="0"/>
        <w:tabs>
          <w:tab w:leader="none" w:pos="169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correct a manifest error; or</w:t>
      </w:r>
    </w:p>
    <w:p>
      <w:pPr>
        <w:spacing w:after="0" w:line="198" w:lineRule="exact"/>
        <w:rPr>
          <w:rFonts w:ascii="Arial" w:cs="Arial" w:eastAsia="Arial" w:hAnsi="Arial"/>
          <w:sz w:val="18"/>
          <w:szCs w:val="18"/>
          <w:color w:val="auto"/>
        </w:rPr>
      </w:pPr>
    </w:p>
    <w:p>
      <w:pPr>
        <w:ind w:left="1692" w:right="220" w:hanging="558"/>
        <w:spacing w:after="0"/>
        <w:tabs>
          <w:tab w:leader="none" w:pos="169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address potential adverse tax implications affecting the Plan arising from changes to laws relating to taxation, the interpretation of laws relating to taxation by the relevant governmental authorities (including the release of any ruling), courts or tribunals; or</w:t>
      </w:r>
    </w:p>
    <w:p>
      <w:pPr>
        <w:spacing w:after="0" w:line="189" w:lineRule="exact"/>
        <w:rPr>
          <w:sz w:val="20"/>
          <w:szCs w:val="20"/>
          <w:color w:val="auto"/>
        </w:rPr>
      </w:pPr>
    </w:p>
    <w:p>
      <w:pPr>
        <w:ind w:left="1132" w:right="480" w:hanging="565"/>
        <w:spacing w:after="0" w:line="246" w:lineRule="auto"/>
        <w:tabs>
          <w:tab w:leader="none" w:pos="113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effect a change to increase the number of Shares to which a Participant is entitled on Vesting or change the Vesting Date unless permitted by the Corporations Act and the Listing Rules.</w:t>
      </w:r>
    </w:p>
    <w:p>
      <w:pPr>
        <w:spacing w:after="0" w:line="161" w:lineRule="exact"/>
        <w:rPr>
          <w:sz w:val="20"/>
          <w:szCs w:val="20"/>
          <w:color w:val="auto"/>
        </w:rPr>
      </w:pPr>
    </w:p>
    <w:p>
      <w:pPr>
        <w:ind w:left="572" w:hanging="572"/>
        <w:spacing w:after="0"/>
        <w:tabs>
          <w:tab w:leader="none" w:pos="572"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the Plan</w:t>
      </w:r>
    </w:p>
    <w:p>
      <w:pPr>
        <w:spacing w:after="0" w:line="233" w:lineRule="exact"/>
        <w:rPr>
          <w:rFonts w:ascii="Arial" w:cs="Arial" w:eastAsia="Arial" w:hAnsi="Arial"/>
          <w:sz w:val="18"/>
          <w:szCs w:val="18"/>
          <w:b w:val="1"/>
          <w:bCs w:val="1"/>
          <w:color w:val="auto"/>
        </w:rPr>
      </w:pPr>
    </w:p>
    <w:p>
      <w:pPr>
        <w:ind w:left="572" w:right="1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Plan may be terminated or suspended at any time by the Board and that termination or suspension will not have any effect on or prejudice the rights of any Participant holding Rights at that time.</w:t>
      </w:r>
    </w:p>
    <w:p>
      <w:pPr>
        <w:spacing w:after="0" w:line="161" w:lineRule="exact"/>
        <w:rPr>
          <w:rFonts w:ascii="Arial" w:cs="Arial" w:eastAsia="Arial" w:hAnsi="Arial"/>
          <w:sz w:val="18"/>
          <w:szCs w:val="18"/>
          <w:b w:val="1"/>
          <w:bCs w:val="1"/>
          <w:color w:val="auto"/>
        </w:rPr>
      </w:pPr>
    </w:p>
    <w:p>
      <w:pPr>
        <w:ind w:left="572" w:hanging="572"/>
        <w:spacing w:after="0"/>
        <w:tabs>
          <w:tab w:leader="none" w:pos="572"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-639445</wp:posOffset>
            </wp:positionV>
            <wp:extent cx="713232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713232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b w:val="1"/>
          <w:bCs w:val="1"/>
          <w:color w:val="auto"/>
        </w:rPr>
        <w:t>Authority to form policy and delegation</w:t>
      </w:r>
    </w:p>
    <w:p>
      <w:pPr>
        <w:spacing w:after="0" w:line="220" w:lineRule="exact"/>
        <w:rPr>
          <w:sz w:val="20"/>
          <w:szCs w:val="20"/>
          <w:color w:val="auto"/>
        </w:rPr>
      </w:pPr>
    </w:p>
    <w:p>
      <w:pPr>
        <w:ind w:left="1132" w:right="80" w:hanging="565"/>
        <w:spacing w:after="0"/>
        <w:tabs>
          <w:tab w:leader="none" w:pos="11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Board may make policy and regulations for the operation of the Plan which are consistent with the Plan and may delegate necessary functions to an appropriate service provider or employee capable of performing those functions and implementing those policies.</w:t>
      </w:r>
    </w:p>
    <w:p>
      <w:pPr>
        <w:spacing w:after="0" w:line="189" w:lineRule="exact"/>
        <w:rPr>
          <w:rFonts w:ascii="Arial" w:cs="Arial" w:eastAsia="Arial" w:hAnsi="Arial"/>
          <w:sz w:val="18"/>
          <w:szCs w:val="18"/>
          <w:color w:val="auto"/>
        </w:rPr>
      </w:pPr>
    </w:p>
    <w:p>
      <w:pPr>
        <w:ind w:left="1132" w:right="20" w:hanging="565"/>
        <w:spacing w:after="0" w:line="246" w:lineRule="auto"/>
        <w:tabs>
          <w:tab w:leader="none" w:pos="113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Board may delegate functions and powers under this Plan as it considers appropriate, for the efficient administration of the Plan, to a committee made up of a person or persons capable of performing those functions and exercising those powers.</w:t>
      </w:r>
    </w:p>
    <w:p>
      <w:pPr>
        <w:spacing w:after="0" w:line="161"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b w:val="1"/>
          <w:bCs w:val="1"/>
          <w:color w:val="auto"/>
        </w:rPr>
        <w:t>Obligations of Board</w:t>
      </w:r>
    </w:p>
    <w:p>
      <w:pPr>
        <w:spacing w:after="0" w:line="220" w:lineRule="exact"/>
        <w:rPr>
          <w:sz w:val="20"/>
          <w:szCs w:val="20"/>
          <w:color w:val="auto"/>
        </w:rPr>
      </w:pPr>
    </w:p>
    <w:p>
      <w:pPr>
        <w:ind w:left="572" w:right="520"/>
        <w:spacing w:after="0" w:line="246" w:lineRule="auto"/>
        <w:rPr>
          <w:sz w:val="20"/>
          <w:szCs w:val="20"/>
          <w:color w:val="auto"/>
        </w:rPr>
      </w:pPr>
      <w:r>
        <w:rPr>
          <w:rFonts w:ascii="Arial" w:cs="Arial" w:eastAsia="Arial" w:hAnsi="Arial"/>
          <w:sz w:val="18"/>
          <w:szCs w:val="18"/>
          <w:color w:val="auto"/>
        </w:rPr>
        <w:t>The Board in exercising a power or discretion conferred on it by this Plan is not under a fiduciary or other obligation to any other person.</w:t>
      </w:r>
    </w:p>
    <w:p>
      <w:pPr>
        <w:spacing w:after="0" w:line="161"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b w:val="1"/>
          <w:bCs w:val="1"/>
          <w:color w:val="auto"/>
        </w:rPr>
        <w:t>Board decisions</w:t>
      </w:r>
    </w:p>
    <w:p>
      <w:pPr>
        <w:spacing w:after="0" w:line="220"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The decision of the Board as to the interpretation, effect or application of this Plan is final.</w:t>
      </w:r>
    </w:p>
    <w:p>
      <w:pPr>
        <w:spacing w:after="0" w:line="176"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7"/>
          <w:szCs w:val="17"/>
          <w:b w:val="1"/>
          <w:bCs w:val="1"/>
          <w:color w:val="auto"/>
        </w:rPr>
        <w:t>Board, Company and delegates may act in its absolute discretion</w:t>
      </w:r>
    </w:p>
    <w:p>
      <w:pPr>
        <w:spacing w:after="0" w:line="220" w:lineRule="exact"/>
        <w:rPr>
          <w:sz w:val="20"/>
          <w:szCs w:val="20"/>
          <w:color w:val="auto"/>
        </w:rPr>
      </w:pPr>
    </w:p>
    <w:p>
      <w:pPr>
        <w:ind w:left="572" w:right="200"/>
        <w:spacing w:after="0"/>
        <w:rPr>
          <w:sz w:val="20"/>
          <w:szCs w:val="20"/>
          <w:color w:val="auto"/>
        </w:rPr>
      </w:pPr>
      <w:r>
        <w:rPr>
          <w:rFonts w:ascii="Arial" w:cs="Arial" w:eastAsia="Arial" w:hAnsi="Arial"/>
          <w:sz w:val="18"/>
          <w:szCs w:val="18"/>
          <w:color w:val="auto"/>
        </w:rPr>
        <w:t>Where the Board, the Company or their delegates may exercise any right or discretion or make any decision under this document, it may do so in its absolute discretion, conditionally or unconditionally, and without being required to give reasons or act reasonably. This rule applies unless this document expressly requires otherwise.</w:t>
      </w:r>
    </w:p>
    <w:p>
      <w:pPr>
        <w:spacing w:after="0" w:line="167"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7"/>
          <w:szCs w:val="17"/>
          <w:b w:val="1"/>
          <w:bCs w:val="1"/>
          <w:color w:val="auto"/>
        </w:rPr>
        <w:t>Independent advice by Board</w:t>
      </w:r>
    </w:p>
    <w:p>
      <w:pPr>
        <w:spacing w:after="0" w:line="220" w:lineRule="exact"/>
        <w:rPr>
          <w:sz w:val="20"/>
          <w:szCs w:val="20"/>
          <w:color w:val="auto"/>
        </w:rPr>
      </w:pPr>
    </w:p>
    <w:p>
      <w:pPr>
        <w:ind w:left="572" w:right="20"/>
        <w:spacing w:after="0" w:line="246" w:lineRule="auto"/>
        <w:rPr>
          <w:sz w:val="20"/>
          <w:szCs w:val="20"/>
          <w:color w:val="auto"/>
        </w:rPr>
      </w:pPr>
      <w:r>
        <w:rPr>
          <w:rFonts w:ascii="Arial" w:cs="Arial" w:eastAsia="Arial" w:hAnsi="Arial"/>
          <w:sz w:val="18"/>
          <w:szCs w:val="18"/>
          <w:color w:val="auto"/>
        </w:rPr>
        <w:t>The Board or a committee may take and rely upon independent professional or expert advice on the exercise of any of their powers or discretions under this Plan.</w:t>
      </w:r>
    </w:p>
    <w:p>
      <w:pPr>
        <w:spacing w:after="0" w:line="183" w:lineRule="exact"/>
        <w:rPr>
          <w:sz w:val="20"/>
          <w:szCs w:val="20"/>
          <w:color w:val="auto"/>
        </w:rPr>
      </w:pPr>
    </w:p>
    <w:p>
      <w:pPr>
        <w:jc w:val="both"/>
        <w:ind w:left="1352"/>
        <w:spacing w:after="0"/>
        <w:tabs>
          <w:tab w:leader="none" w:pos="1892" w:val="left"/>
          <w:tab w:leader="none" w:pos="1101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Performance and rights plan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67" w:right="339" w:bottom="1440" w:gutter="0" w:footer="0" w:header="0"/>
        </w:sectPr>
      </w:pPr>
    </w:p>
    <w:bookmarkStart w:id="234" w:name="page235"/>
    <w:bookmarkEnd w:id="234"/>
    <w:p>
      <w:pPr>
        <w:ind w:left="572" w:right="6660" w:hanging="572"/>
        <w:spacing w:after="0" w:line="490" w:lineRule="auto"/>
        <w:tabs>
          <w:tab w:leader="none" w:pos="572"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6191885</wp:posOffset>
            </wp:positionH>
            <wp:positionV relativeFrom="page">
              <wp:posOffset>354965</wp:posOffset>
            </wp:positionV>
            <wp:extent cx="1148715" cy="3771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77190"/>
                    </a:xfrm>
                    <a:prstGeom prst="rect">
                      <a:avLst/>
                    </a:prstGeom>
                    <a:noFill/>
                  </pic:spPr>
                </pic:pic>
              </a:graphicData>
            </a:graphic>
          </wp:anchor>
        </w:drawing>
        <w:t xml:space="preserve">Rights of Eligible Participants and Participants </w:t>
      </w:r>
      <w:r>
        <w:rPr>
          <w:rFonts w:ascii="Arial" w:cs="Arial" w:eastAsia="Arial" w:hAnsi="Arial"/>
          <w:sz w:val="18"/>
          <w:szCs w:val="18"/>
          <w:color w:val="auto"/>
        </w:rPr>
        <w:t>Nothing in this Plan:</w:t>
      </w:r>
    </w:p>
    <w:p>
      <w:pPr>
        <w:ind w:left="1132" w:hanging="565"/>
        <w:spacing w:after="0"/>
        <w:tabs>
          <w:tab w:leader="none" w:pos="113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confers on any Eligible Participant the right to continue as a Director, an Employee or a Consultant;</w:t>
      </w:r>
    </w:p>
    <w:p>
      <w:pPr>
        <w:spacing w:after="0" w:line="198" w:lineRule="exact"/>
        <w:rPr>
          <w:rFonts w:ascii="Arial" w:cs="Arial" w:eastAsia="Arial" w:hAnsi="Arial"/>
          <w:sz w:val="18"/>
          <w:szCs w:val="18"/>
          <w:color w:val="auto"/>
        </w:rPr>
      </w:pPr>
    </w:p>
    <w:p>
      <w:pPr>
        <w:ind w:left="1132" w:right="300" w:hanging="565"/>
        <w:spacing w:after="0" w:line="246" w:lineRule="auto"/>
        <w:tabs>
          <w:tab w:leader="none" w:pos="113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affects any rights a member of the Group may have to terminate the employment of any Employee or any agreement with a Director or Consultant; or</w:t>
      </w:r>
    </w:p>
    <w:p>
      <w:pPr>
        <w:spacing w:after="0" w:line="183" w:lineRule="exact"/>
        <w:rPr>
          <w:rFonts w:ascii="Arial" w:cs="Arial" w:eastAsia="Arial" w:hAnsi="Arial"/>
          <w:sz w:val="18"/>
          <w:szCs w:val="18"/>
          <w:color w:val="auto"/>
        </w:rPr>
      </w:pPr>
    </w:p>
    <w:p>
      <w:pPr>
        <w:ind w:left="1132" w:right="180" w:hanging="565"/>
        <w:spacing w:after="0" w:line="246" w:lineRule="auto"/>
        <w:tabs>
          <w:tab w:leader="none" w:pos="113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may be used to increase damages in any action brought against the Company or any Related Body Corporate, other than an action arising solely out of a Participant’s rights under the Plan.</w:t>
      </w:r>
    </w:p>
    <w:p>
      <w:pPr>
        <w:spacing w:after="0" w:line="161" w:lineRule="exact"/>
        <w:rPr>
          <w:rFonts w:ascii="Arial" w:cs="Arial" w:eastAsia="Arial" w:hAnsi="Arial"/>
          <w:sz w:val="18"/>
          <w:szCs w:val="18"/>
          <w:color w:val="auto"/>
        </w:rPr>
      </w:pPr>
    </w:p>
    <w:p>
      <w:pPr>
        <w:ind w:left="572" w:hanging="572"/>
        <w:spacing w:after="0"/>
        <w:tabs>
          <w:tab w:leader="none" w:pos="572"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-1539240</wp:posOffset>
            </wp:positionV>
            <wp:extent cx="713232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713232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7"/>
          <w:szCs w:val="17"/>
          <w:b w:val="1"/>
          <w:bCs w:val="1"/>
          <w:color w:val="auto"/>
        </w:rPr>
        <w:t>Listing Rules and Constitution</w:t>
      </w:r>
    </w:p>
    <w:p>
      <w:pPr>
        <w:spacing w:after="0" w:line="220" w:lineRule="exact"/>
        <w:rPr>
          <w:sz w:val="20"/>
          <w:szCs w:val="20"/>
          <w:color w:val="auto"/>
        </w:rPr>
      </w:pPr>
    </w:p>
    <w:p>
      <w:pPr>
        <w:ind w:left="1132" w:right="40" w:hanging="565"/>
        <w:spacing w:after="0" w:line="246" w:lineRule="auto"/>
        <w:tabs>
          <w:tab w:leader="none" w:pos="113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This Plan, the entitlements of Participants, and any obligations of the Company, under this Plan are subject to the Constitution, the Listing Rules, the Corporations Act and any other applicable law.</w:t>
      </w:r>
    </w:p>
    <w:p>
      <w:pPr>
        <w:spacing w:after="0" w:line="183" w:lineRule="exact"/>
        <w:rPr>
          <w:rFonts w:ascii="Arial" w:cs="Arial" w:eastAsia="Arial" w:hAnsi="Arial"/>
          <w:sz w:val="18"/>
          <w:szCs w:val="18"/>
          <w:color w:val="auto"/>
        </w:rPr>
      </w:pPr>
    </w:p>
    <w:p>
      <w:pPr>
        <w:ind w:left="1132" w:right="100" w:hanging="565"/>
        <w:spacing w:after="0" w:line="238" w:lineRule="auto"/>
        <w:tabs>
          <w:tab w:leader="none" w:pos="113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Despite any other rule of this Plan, every covenant or other provision set out in an exemption from, or modification to, the provisions of the Corporations Act granted from time to time by ASIC in respect of the Plan, and required to be included in this Plan in order for the exemption or modification to have effect, is deemed to be contained in this Plan. To the extent that any covenant, or other provision deemed to be contained in this Plan is inconsistent with any other rule of this Plan, the deemed covenant or other provision will prevail.</w:t>
      </w:r>
    </w:p>
    <w:p>
      <w:pPr>
        <w:spacing w:after="0" w:line="167"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Costs</w:t>
      </w:r>
    </w:p>
    <w:p>
      <w:pPr>
        <w:spacing w:after="0" w:line="220" w:lineRule="exact"/>
        <w:rPr>
          <w:sz w:val="20"/>
          <w:szCs w:val="20"/>
          <w:color w:val="auto"/>
        </w:rPr>
      </w:pPr>
    </w:p>
    <w:p>
      <w:pPr>
        <w:ind w:left="1132" w:hanging="565"/>
        <w:spacing w:after="0"/>
        <w:tabs>
          <w:tab w:leader="none" w:pos="113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Company must pay all the expenses, costs and charges incurred in operating the Plan.</w:t>
      </w:r>
    </w:p>
    <w:p>
      <w:pPr>
        <w:spacing w:after="0" w:line="198" w:lineRule="exact"/>
        <w:rPr>
          <w:rFonts w:ascii="Arial" w:cs="Arial" w:eastAsia="Arial" w:hAnsi="Arial"/>
          <w:sz w:val="18"/>
          <w:szCs w:val="18"/>
          <w:color w:val="auto"/>
        </w:rPr>
      </w:pPr>
    </w:p>
    <w:p>
      <w:pPr>
        <w:jc w:val="both"/>
        <w:ind w:left="1132" w:right="80" w:hanging="565"/>
        <w:spacing w:after="0"/>
        <w:tabs>
          <w:tab w:leader="none" w:pos="113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Company is not responsible for any duties or taxes which may become payable in connection with the grant of Rights, the issue and allotment of Shares after Vesting or any other dealing with Rights or Shares (including, but not limited to, as a result of a transaction contemplated by rules 4.5(e) or 8.4).</w:t>
      </w:r>
    </w:p>
    <w:p>
      <w:pPr>
        <w:spacing w:after="0" w:line="167"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b w:val="1"/>
          <w:bCs w:val="1"/>
          <w:color w:val="auto"/>
        </w:rPr>
        <w:t>Advice</w:t>
      </w:r>
    </w:p>
    <w:p>
      <w:pPr>
        <w:spacing w:after="0" w:line="220" w:lineRule="exact"/>
        <w:rPr>
          <w:sz w:val="20"/>
          <w:szCs w:val="20"/>
          <w:color w:val="auto"/>
        </w:rPr>
      </w:pPr>
    </w:p>
    <w:p>
      <w:pPr>
        <w:ind w:left="572" w:right="300"/>
        <w:spacing w:after="0" w:line="246" w:lineRule="auto"/>
        <w:rPr>
          <w:sz w:val="20"/>
          <w:szCs w:val="20"/>
          <w:color w:val="auto"/>
        </w:rPr>
      </w:pPr>
      <w:r>
        <w:rPr>
          <w:rFonts w:ascii="Arial" w:cs="Arial" w:eastAsia="Arial" w:hAnsi="Arial"/>
          <w:sz w:val="18"/>
          <w:szCs w:val="18"/>
          <w:color w:val="auto"/>
        </w:rPr>
        <w:t>Participants should obtain their own independent advice at their own expense on the financial, taxation and other consequences to them of, or relating to, participating in the Plan.</w:t>
      </w:r>
    </w:p>
    <w:p>
      <w:pPr>
        <w:spacing w:after="0" w:line="161" w:lineRule="exact"/>
        <w:rPr>
          <w:sz w:val="20"/>
          <w:szCs w:val="20"/>
          <w:color w:val="auto"/>
        </w:rPr>
      </w:pPr>
    </w:p>
    <w:p>
      <w:pPr>
        <w:ind w:left="12"/>
        <w:spacing w:after="0"/>
        <w:tabs>
          <w:tab w:leader="none" w:pos="552"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7"/>
          <w:szCs w:val="17"/>
          <w:b w:val="1"/>
          <w:bCs w:val="1"/>
          <w:color w:val="auto"/>
        </w:rPr>
        <w:t>Governing law and jurisdiction</w:t>
      </w:r>
    </w:p>
    <w:p>
      <w:pPr>
        <w:spacing w:after="0" w:line="220" w:lineRule="exact"/>
        <w:rPr>
          <w:sz w:val="20"/>
          <w:szCs w:val="20"/>
          <w:color w:val="auto"/>
        </w:rPr>
      </w:pPr>
    </w:p>
    <w:p>
      <w:pPr>
        <w:ind w:left="1132" w:hanging="565"/>
        <w:spacing w:after="0"/>
        <w:tabs>
          <w:tab w:leader="none" w:pos="113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Queensland law governs this document and the rights of Participants under the Plan.</w:t>
      </w:r>
    </w:p>
    <w:p>
      <w:pPr>
        <w:spacing w:after="0" w:line="198" w:lineRule="exact"/>
        <w:rPr>
          <w:rFonts w:ascii="Arial" w:cs="Arial" w:eastAsia="Arial" w:hAnsi="Arial"/>
          <w:sz w:val="18"/>
          <w:szCs w:val="18"/>
          <w:color w:val="auto"/>
        </w:rPr>
      </w:pPr>
    </w:p>
    <w:p>
      <w:pPr>
        <w:ind w:left="1132" w:right="100" w:hanging="565"/>
        <w:spacing w:after="0" w:line="246" w:lineRule="auto"/>
        <w:tabs>
          <w:tab w:leader="none" w:pos="113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Participant, the Company and the Board (and their delegates) irrevocably submits to the non-exclusive jurisdiction of the Queensland courts and courts competent to hear appeals from those courts.</w:t>
      </w:r>
    </w:p>
    <w:p>
      <w:pPr>
        <w:spacing w:after="0" w:line="183" w:lineRule="exact"/>
        <w:rPr>
          <w:sz w:val="20"/>
          <w:szCs w:val="20"/>
          <w:color w:val="auto"/>
        </w:rPr>
      </w:pPr>
    </w:p>
    <w:p>
      <w:pPr>
        <w:jc w:val="both"/>
        <w:ind w:left="1352"/>
        <w:spacing w:after="0"/>
        <w:tabs>
          <w:tab w:leader="none" w:pos="1892" w:val="left"/>
          <w:tab w:leader="none" w:pos="1101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Performance and rights plan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323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45"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AND SALE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PURCHASE AND SALE AGREEMENT </w:t>
      </w:r>
      <w:r>
        <w:rPr>
          <w:rFonts w:ascii="Arial" w:cs="Arial" w:eastAsia="Arial" w:hAnsi="Arial"/>
          <w:sz w:val="18"/>
          <w:szCs w:val="18"/>
          <w:color w:val="auto"/>
        </w:rPr>
        <w:t>(this</w:t>
      </w:r>
      <w:r>
        <w:rPr>
          <w:rFonts w:ascii="Arial" w:cs="Arial" w:eastAsia="Arial" w:hAnsi="Arial"/>
          <w:sz w:val="18"/>
          <w:szCs w:val="18"/>
          <w:b w:val="1"/>
          <w:bCs w:val="1"/>
          <w:color w:val="auto"/>
        </w:rPr>
        <w:t xml:space="preserve"> “Agreement”) </w:t>
      </w:r>
      <w:r>
        <w:rPr>
          <w:rFonts w:ascii="Arial" w:cs="Arial" w:eastAsia="Arial" w:hAnsi="Arial"/>
          <w:sz w:val="18"/>
          <w:szCs w:val="18"/>
          <w:color w:val="auto"/>
        </w:rPr>
        <w:t>is made as of April 12, 2021 (the</w:t>
      </w:r>
      <w:r>
        <w:rPr>
          <w:rFonts w:ascii="Arial" w:cs="Arial" w:eastAsia="Arial" w:hAnsi="Arial"/>
          <w:sz w:val="18"/>
          <w:szCs w:val="18"/>
          <w:b w:val="1"/>
          <w:bCs w:val="1"/>
          <w:color w:val="auto"/>
        </w:rPr>
        <w:t xml:space="preserve"> “Effective Date”), </w:t>
      </w:r>
      <w:r>
        <w:rPr>
          <w:rFonts w:ascii="Arial" w:cs="Arial" w:eastAsia="Arial" w:hAnsi="Arial"/>
          <w:sz w:val="18"/>
          <w:szCs w:val="18"/>
          <w:color w:val="auto"/>
        </w:rPr>
        <w:t>between</w:t>
      </w:r>
      <w:r>
        <w:rPr>
          <w:rFonts w:ascii="Arial" w:cs="Arial" w:eastAsia="Arial" w:hAnsi="Arial"/>
          <w:sz w:val="18"/>
          <w:szCs w:val="18"/>
          <w:b w:val="1"/>
          <w:bCs w:val="1"/>
          <w:color w:val="auto"/>
        </w:rPr>
        <w:t xml:space="preserve"> WEST END PROPERTY II, LLC, </w:t>
      </w:r>
      <w:r>
        <w:rPr>
          <w:rFonts w:ascii="Arial" w:cs="Arial" w:eastAsia="Arial" w:hAnsi="Arial"/>
          <w:sz w:val="18"/>
          <w:szCs w:val="18"/>
          <w:color w:val="auto"/>
        </w:rPr>
        <w:t>a Tennessee limited liability company</w:t>
      </w:r>
      <w:r>
        <w:rPr>
          <w:rFonts w:ascii="Arial" w:cs="Arial" w:eastAsia="Arial" w:hAnsi="Arial"/>
          <w:sz w:val="18"/>
          <w:szCs w:val="18"/>
          <w:b w:val="1"/>
          <w:bCs w:val="1"/>
          <w:color w:val="auto"/>
        </w:rPr>
        <w:t xml:space="preserve"> (“Seller”), </w:t>
      </w:r>
      <w:r>
        <w:rPr>
          <w:rFonts w:ascii="Arial" w:cs="Arial" w:eastAsia="Arial" w:hAnsi="Arial"/>
          <w:sz w:val="18"/>
          <w:szCs w:val="18"/>
          <w:color w:val="auto"/>
        </w:rPr>
        <w:t>and</w:t>
      </w:r>
      <w:r>
        <w:rPr>
          <w:rFonts w:ascii="Arial" w:cs="Arial" w:eastAsia="Arial" w:hAnsi="Arial"/>
          <w:sz w:val="18"/>
          <w:szCs w:val="18"/>
          <w:b w:val="1"/>
          <w:bCs w:val="1"/>
          <w:color w:val="auto"/>
        </w:rPr>
        <w:t xml:space="preserve"> PUREGRAPHITE, LLC, </w:t>
      </w:r>
      <w:r>
        <w:rPr>
          <w:rFonts w:ascii="Arial" w:cs="Arial" w:eastAsia="Arial" w:hAnsi="Arial"/>
          <w:sz w:val="18"/>
          <w:szCs w:val="18"/>
          <w:color w:val="auto"/>
        </w:rPr>
        <w:t>a Delaware limited liability company</w:t>
      </w:r>
      <w:r>
        <w:rPr>
          <w:rFonts w:ascii="Arial" w:cs="Arial" w:eastAsia="Arial" w:hAnsi="Arial"/>
          <w:sz w:val="18"/>
          <w:szCs w:val="18"/>
          <w:b w:val="1"/>
          <w:bCs w:val="1"/>
          <w:color w:val="auto"/>
        </w:rPr>
        <w:t xml:space="preserve"> (“Purchaser”). </w:t>
      </w:r>
      <w:r>
        <w:rPr>
          <w:rFonts w:ascii="Arial" w:cs="Arial" w:eastAsia="Arial" w:hAnsi="Arial"/>
          <w:sz w:val="18"/>
          <w:szCs w:val="18"/>
          <w:color w:val="auto"/>
        </w:rPr>
        <w:t>This Agreement refers to Seller and Purchaser collectively as the</w:t>
      </w:r>
      <w:r>
        <w:rPr>
          <w:rFonts w:ascii="Arial" w:cs="Arial" w:eastAsia="Arial" w:hAnsi="Arial"/>
          <w:sz w:val="18"/>
          <w:szCs w:val="18"/>
          <w:b w:val="1"/>
          <w:bCs w:val="1"/>
          <w:color w:val="auto"/>
        </w:rPr>
        <w:t xml:space="preserve"> “Parties”.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CONSIDERATION OF </w:t>
      </w:r>
      <w:r>
        <w:rPr>
          <w:rFonts w:ascii="Arial" w:cs="Arial" w:eastAsia="Arial" w:hAnsi="Arial"/>
          <w:sz w:val="18"/>
          <w:szCs w:val="18"/>
          <w:color w:val="auto"/>
        </w:rPr>
        <w:t>the mutual covenants and conditions set forth below, the Parties agree as follows:</w:t>
      </w:r>
    </w:p>
    <w:p>
      <w:pPr>
        <w:spacing w:after="0" w:line="225" w:lineRule="exact"/>
        <w:rPr>
          <w:sz w:val="20"/>
          <w:szCs w:val="20"/>
          <w:color w:val="auto"/>
        </w:rPr>
      </w:pPr>
    </w:p>
    <w:p>
      <w:pPr>
        <w:jc w:val="both"/>
        <w:ind w:firstLine="656"/>
        <w:spacing w:after="0" w:line="256" w:lineRule="auto"/>
        <w:tabs>
          <w:tab w:leader="none" w:pos="1498" w:val="left"/>
        </w:tabs>
        <w:numPr>
          <w:ilvl w:val="0"/>
          <w:numId w:val="281"/>
        </w:numPr>
        <w:rPr>
          <w:rFonts w:ascii="Arial" w:cs="Arial" w:eastAsia="Arial" w:hAnsi="Arial"/>
          <w:sz w:val="16"/>
          <w:szCs w:val="16"/>
          <w:color w:val="auto"/>
        </w:rPr>
      </w:pPr>
      <w:r>
        <w:rPr>
          <w:rFonts w:ascii="Arial" w:cs="Arial" w:eastAsia="Arial" w:hAnsi="Arial"/>
          <w:sz w:val="16"/>
          <w:szCs w:val="16"/>
          <w:b w:val="1"/>
          <w:bCs w:val="1"/>
          <w:u w:val="single" w:color="auto"/>
          <w:color w:val="auto"/>
        </w:rPr>
        <w:t>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Agreement, Seller agrees to sell and Purchaser agrees to purchase certain real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consisting of an approximately 404,797 square foot manufacturing facility with on-site parking and with other improvements, commonly known as 1029 W. 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Chattanooga, Tennessee 37408, being a part of Tax Parcel No. 145G (the entire southern boundary having access to the public right of way of W. 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a portion of the western boundary being contiguous with the eastern line of the private “Front Street”, the northern boundary being contiguous with the southern line of the private portion of Main Street, and the eastern boundary being contiguous with the center line of an alley), and as generally shown on the attached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The Property shall include </w:t>
      </w:r>
      <w:r>
        <w:rPr>
          <w:rFonts w:ascii="Arial" w:cs="Arial" w:eastAsia="Arial" w:hAnsi="Arial"/>
          <w:sz w:val="16"/>
          <w:szCs w:val="16"/>
          <w:i w:val="1"/>
          <w:iCs w:val="1"/>
          <w:color w:val="auto"/>
        </w:rPr>
        <w:t>(a)</w:t>
      </w:r>
      <w:r>
        <w:rPr>
          <w:rFonts w:ascii="Arial" w:cs="Arial" w:eastAsia="Arial" w:hAnsi="Arial"/>
          <w:sz w:val="16"/>
          <w:szCs w:val="16"/>
          <w:color w:val="auto"/>
        </w:rPr>
        <w:t xml:space="preserve"> any and all buildings, structures, improvements, fixtures and other appurtenances situated on the real property; </w:t>
      </w:r>
      <w:r>
        <w:rPr>
          <w:rFonts w:ascii="Arial" w:cs="Arial" w:eastAsia="Arial" w:hAnsi="Arial"/>
          <w:sz w:val="16"/>
          <w:szCs w:val="16"/>
          <w:i w:val="1"/>
          <w:iCs w:val="1"/>
          <w:color w:val="auto"/>
        </w:rPr>
        <w:t>(b)</w:t>
      </w:r>
      <w:r>
        <w:rPr>
          <w:rFonts w:ascii="Arial" w:cs="Arial" w:eastAsia="Arial" w:hAnsi="Arial"/>
          <w:sz w:val="16"/>
          <w:szCs w:val="16"/>
          <w:color w:val="auto"/>
        </w:rPr>
        <w:t xml:space="preserve"> all furnishings, fixtures, equipment, and personalty used in connection with operation of and located on the Property to be identified by Purchaser during the Investigation Period (defined below) and which are reasonably acceptable to Seller; </w:t>
      </w:r>
      <w:r>
        <w:rPr>
          <w:rFonts w:ascii="Arial" w:cs="Arial" w:eastAsia="Arial" w:hAnsi="Arial"/>
          <w:sz w:val="16"/>
          <w:szCs w:val="16"/>
          <w:i w:val="1"/>
          <w:iCs w:val="1"/>
          <w:color w:val="auto"/>
        </w:rPr>
        <w:t>(c)</w:t>
      </w:r>
      <w:r>
        <w:rPr>
          <w:rFonts w:ascii="Arial" w:cs="Arial" w:eastAsia="Arial" w:hAnsi="Arial"/>
          <w:sz w:val="16"/>
          <w:szCs w:val="16"/>
          <w:color w:val="auto"/>
        </w:rPr>
        <w:t xml:space="preserve"> any and all access, utility, and other easements and rights contemplated in this Agreement, or specified on the Plat (hereinafter defined) or that benefit the Property, including reasonable truck access through the gate at the southeast corner of the Property and vehicular access along Front Street; and </w:t>
      </w:r>
      <w:r>
        <w:rPr>
          <w:rFonts w:ascii="Arial" w:cs="Arial" w:eastAsia="Arial" w:hAnsi="Arial"/>
          <w:sz w:val="16"/>
          <w:szCs w:val="16"/>
          <w:i w:val="1"/>
          <w:iCs w:val="1"/>
          <w:color w:val="auto"/>
        </w:rPr>
        <w:t>(d)</w:t>
      </w:r>
      <w:r>
        <w:rPr>
          <w:rFonts w:ascii="Arial" w:cs="Arial" w:eastAsia="Arial" w:hAnsi="Arial"/>
          <w:sz w:val="16"/>
          <w:szCs w:val="16"/>
          <w:color w:val="auto"/>
        </w:rPr>
        <w:t xml:space="preserve"> all other similar items that are located at the Property, used in connection with the Property, or otherwise benefit the Property.</w:t>
      </w:r>
    </w:p>
    <w:p>
      <w:pPr>
        <w:spacing w:after="0" w:line="187" w:lineRule="exact"/>
        <w:rPr>
          <w:rFonts w:ascii="Arial" w:cs="Arial" w:eastAsia="Arial" w:hAnsi="Arial"/>
          <w:sz w:val="16"/>
          <w:szCs w:val="16"/>
          <w:color w:val="auto"/>
        </w:rPr>
      </w:pPr>
    </w:p>
    <w:p>
      <w:pPr>
        <w:jc w:val="both"/>
        <w:ind w:firstLine="656"/>
        <w:spacing w:after="0" w:line="266" w:lineRule="auto"/>
        <w:tabs>
          <w:tab w:leader="none" w:pos="1674"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for the Property shall be Forty One Million Five Hundred Thousand and No/100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($41,500,000) (the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The Purchase Price, as adjusted by all prorations, charges and credits herein provided, shall be delivered at Closing (defined below) in immediately available funds, subject to the terms and conditions of this Agreement.</w:t>
      </w:r>
    </w:p>
    <w:p>
      <w:pPr>
        <w:spacing w:after="0" w:line="175" w:lineRule="exact"/>
        <w:rPr>
          <w:rFonts w:ascii="Arial" w:cs="Arial" w:eastAsia="Arial" w:hAnsi="Arial"/>
          <w:sz w:val="18"/>
          <w:szCs w:val="18"/>
          <w:color w:val="auto"/>
        </w:rPr>
      </w:pPr>
    </w:p>
    <w:p>
      <w:pPr>
        <w:jc w:val="both"/>
        <w:ind w:firstLine="656"/>
        <w:spacing w:after="0" w:line="303" w:lineRule="auto"/>
        <w:tabs>
          <w:tab w:leader="none" w:pos="1417" w:val="left"/>
        </w:tabs>
        <w:numPr>
          <w:ilvl w:val="0"/>
          <w:numId w:val="281"/>
        </w:numPr>
        <w:rPr>
          <w:rFonts w:ascii="Arial" w:cs="Arial" w:eastAsia="Arial" w:hAnsi="Arial"/>
          <w:sz w:val="16"/>
          <w:szCs w:val="16"/>
          <w:color w:val="auto"/>
        </w:rPr>
      </w:pPr>
      <w:r>
        <w:rPr>
          <w:rFonts w:ascii="Arial" w:cs="Arial" w:eastAsia="Arial" w:hAnsi="Arial"/>
          <w:sz w:val="16"/>
          <w:szCs w:val="16"/>
          <w:b w:val="1"/>
          <w:bCs w:val="1"/>
          <w:u w:val="single" w:color="auto"/>
          <w:color w:val="auto"/>
        </w:rPr>
        <w:t>Deposit</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days after the Effective Date, Purchaser shall deliver to Jones Title Agency, Inc., 518 Georgia Avenue, Suite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200, Chattanooga, Tennessee 37403 (the </w:t>
      </w:r>
      <w:r>
        <w:rPr>
          <w:rFonts w:ascii="Arial" w:cs="Arial" w:eastAsia="Arial" w:hAnsi="Arial"/>
          <w:sz w:val="16"/>
          <w:szCs w:val="16"/>
          <w:b w:val="1"/>
          <w:bCs w:val="1"/>
          <w:color w:val="auto"/>
        </w:rPr>
        <w:t>“Title Company”),</w:t>
      </w:r>
      <w:r>
        <w:rPr>
          <w:rFonts w:ascii="Arial" w:cs="Arial" w:eastAsia="Arial" w:hAnsi="Arial"/>
          <w:sz w:val="16"/>
          <w:szCs w:val="16"/>
          <w:color w:val="auto"/>
        </w:rPr>
        <w:t xml:space="preserve"> the sum of $400,000.00 by wire transfer or certified, cashier’s or corporate check (the </w:t>
      </w:r>
      <w:r>
        <w:rPr>
          <w:rFonts w:ascii="Arial" w:cs="Arial" w:eastAsia="Arial" w:hAnsi="Arial"/>
          <w:sz w:val="16"/>
          <w:szCs w:val="16"/>
          <w:b w:val="1"/>
          <w:bCs w:val="1"/>
          <w:color w:val="auto"/>
        </w:rPr>
        <w:t xml:space="preserve">“Deposit”). </w:t>
      </w:r>
      <w:r>
        <w:rPr>
          <w:rFonts w:ascii="Arial" w:cs="Arial" w:eastAsia="Arial" w:hAnsi="Arial"/>
          <w:sz w:val="16"/>
          <w:szCs w:val="16"/>
          <w:color w:val="auto"/>
        </w:rPr>
        <w:t>The Title Company shall hold the Deposit in escrow in an interest bearing account. The Deposit and any interest earned thereon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credited against the Purchase Price at Closing or released to Seller or Purchaser in accordance with the terms and conditions of this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36" w:name="page237"/>
    <w:bookmarkEnd w:id="236"/>
    <w:p>
      <w:pPr>
        <w:ind w:firstLine="656"/>
        <w:spacing w:after="0" w:line="312" w:lineRule="auto"/>
        <w:tabs>
          <w:tab w:leader="none" w:pos="1602"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Precedent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Purchaser’s obligation to close under this Agreement, shall be conditioned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satisfaction and fulfillment of the following conditions precedent </w:t>
      </w:r>
      <w:r>
        <w:rPr>
          <w:rFonts w:ascii="Arial" w:cs="Arial" w:eastAsia="Arial" w:hAnsi="Arial"/>
          <w:sz w:val="17"/>
          <w:szCs w:val="17"/>
          <w:b w:val="1"/>
          <w:bCs w:val="1"/>
          <w:color w:val="auto"/>
        </w:rPr>
        <w:t>(“Conditions Precedent”),</w:t>
      </w:r>
      <w:r>
        <w:rPr>
          <w:rFonts w:ascii="Arial" w:cs="Arial" w:eastAsia="Arial" w:hAnsi="Arial"/>
          <w:sz w:val="17"/>
          <w:szCs w:val="17"/>
          <w:color w:val="auto"/>
        </w:rPr>
        <w:t xml:space="preserve"> on or prior to the respective dates set forth hereinafter:</w:t>
      </w:r>
    </w:p>
    <w:p>
      <w:pPr>
        <w:spacing w:after="0" w:line="139" w:lineRule="exact"/>
        <w:rPr>
          <w:rFonts w:ascii="Arial" w:cs="Arial" w:eastAsia="Arial" w:hAnsi="Arial"/>
          <w:sz w:val="17"/>
          <w:szCs w:val="17"/>
          <w:b w:val="1"/>
          <w:bCs w:val="1"/>
          <w:color w:val="auto"/>
        </w:rPr>
      </w:pPr>
    </w:p>
    <w:p>
      <w:pPr>
        <w:jc w:val="both"/>
        <w:ind w:left="660" w:firstLine="644"/>
        <w:spacing w:after="0" w:line="284" w:lineRule="auto"/>
        <w:tabs>
          <w:tab w:leader="none" w:pos="2218" w:val="left"/>
        </w:tabs>
        <w:numPr>
          <w:ilvl w:val="1"/>
          <w:numId w:val="282"/>
        </w:numPr>
        <w:rPr>
          <w:rFonts w:ascii="Arial" w:cs="Arial" w:eastAsia="Arial" w:hAnsi="Arial"/>
          <w:sz w:val="16"/>
          <w:szCs w:val="16"/>
          <w:color w:val="auto"/>
        </w:rPr>
      </w:pPr>
      <w:r>
        <w:rPr>
          <w:rFonts w:ascii="Arial" w:cs="Arial" w:eastAsia="Arial" w:hAnsi="Arial"/>
          <w:sz w:val="16"/>
          <w:szCs w:val="16"/>
          <w:b w:val="1"/>
          <w:bCs w:val="1"/>
          <w:color w:val="auto"/>
        </w:rPr>
        <w:t xml:space="preserve">Investigations. </w:t>
      </w:r>
      <w:r>
        <w:rPr>
          <w:rFonts w:ascii="Arial" w:cs="Arial" w:eastAsia="Arial" w:hAnsi="Arial"/>
          <w:sz w:val="16"/>
          <w:szCs w:val="16"/>
          <w:color w:val="auto"/>
        </w:rPr>
        <w:t>Except as may be otherwise expressly provided in this Agreement, Purchaser acknowledges that Seller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conveying the Property to Purchaser in an “as is” condition, and Purchaser shall rely upon its own inspection and investigation in determining whether to proceed with this transaction. Purchaser, and Purchaser’s agents and representatives, shall have the right for a period expiring at 11:59 p.m. on May 11, 2021 </w:t>
      </w:r>
      <w:r>
        <w:rPr>
          <w:rFonts w:ascii="Arial" w:cs="Arial" w:eastAsia="Arial" w:hAnsi="Arial"/>
          <w:sz w:val="16"/>
          <w:szCs w:val="16"/>
          <w:b w:val="1"/>
          <w:bCs w:val="1"/>
          <w:color w:val="auto"/>
        </w:rPr>
        <w:t>(“Investigation Period”)</w:t>
      </w:r>
      <w:r>
        <w:rPr>
          <w:rFonts w:ascii="Arial" w:cs="Arial" w:eastAsia="Arial" w:hAnsi="Arial"/>
          <w:sz w:val="16"/>
          <w:szCs w:val="16"/>
          <w:color w:val="auto"/>
        </w:rPr>
        <w:t xml:space="preserve"> to enter onto the Property and to have the Property inspected, surveyed, evaluated, analyzed, tested, appraised and assessed for any matter whatsoever, including but not limited to (i) the condition of any improvements located on the Property, including the structure, plumbing and mechanical systems of such improvements, and the presence of wood-destroying insects; </w:t>
      </w:r>
      <w:r>
        <w:rPr>
          <w:rFonts w:ascii="Arial" w:cs="Arial" w:eastAsia="Arial" w:hAnsi="Arial"/>
          <w:sz w:val="16"/>
          <w:szCs w:val="16"/>
          <w:i w:val="1"/>
          <w:iCs w:val="1"/>
          <w:color w:val="auto"/>
        </w:rPr>
        <w:t>(ii)</w:t>
      </w:r>
      <w:r>
        <w:rPr>
          <w:rFonts w:ascii="Arial" w:cs="Arial" w:eastAsia="Arial" w:hAnsi="Arial"/>
          <w:sz w:val="16"/>
          <w:szCs w:val="16"/>
          <w:color w:val="auto"/>
        </w:rPr>
        <w:t xml:space="preserve"> soil conditions on the Property; </w:t>
      </w:r>
      <w:r>
        <w:rPr>
          <w:rFonts w:ascii="Arial" w:cs="Arial" w:eastAsia="Arial" w:hAnsi="Arial"/>
          <w:sz w:val="16"/>
          <w:szCs w:val="16"/>
          <w:i w:val="1"/>
          <w:iCs w:val="1"/>
          <w:color w:val="auto"/>
        </w:rPr>
        <w:t>(iii)</w:t>
      </w:r>
      <w:r>
        <w:rPr>
          <w:rFonts w:ascii="Arial" w:cs="Arial" w:eastAsia="Arial" w:hAnsi="Arial"/>
          <w:sz w:val="16"/>
          <w:szCs w:val="16"/>
          <w:color w:val="auto"/>
        </w:rPr>
        <w:t xml:space="preserve"> the location of flood plains on the Property; </w:t>
      </w:r>
      <w:r>
        <w:rPr>
          <w:rFonts w:ascii="Arial" w:cs="Arial" w:eastAsia="Arial" w:hAnsi="Arial"/>
          <w:sz w:val="16"/>
          <w:szCs w:val="16"/>
          <w:i w:val="1"/>
          <w:iCs w:val="1"/>
          <w:color w:val="auto"/>
        </w:rPr>
        <w:t>(iv)</w:t>
      </w:r>
      <w:r>
        <w:rPr>
          <w:rFonts w:ascii="Arial" w:cs="Arial" w:eastAsia="Arial" w:hAnsi="Arial"/>
          <w:sz w:val="16"/>
          <w:szCs w:val="16"/>
          <w:color w:val="auto"/>
        </w:rPr>
        <w:t xml:space="preserve"> the presence of wetlands, including any required mitigation, and the condition of storm water drainage systems located on the Property; (v) the presence of environmental contamination on the Property; </w:t>
      </w:r>
      <w:r>
        <w:rPr>
          <w:rFonts w:ascii="Arial" w:cs="Arial" w:eastAsia="Arial" w:hAnsi="Arial"/>
          <w:sz w:val="16"/>
          <w:szCs w:val="16"/>
          <w:i w:val="1"/>
          <w:iCs w:val="1"/>
          <w:color w:val="auto"/>
        </w:rPr>
        <w:t>(vi)</w:t>
      </w:r>
      <w:r>
        <w:rPr>
          <w:rFonts w:ascii="Arial" w:cs="Arial" w:eastAsia="Arial" w:hAnsi="Arial"/>
          <w:sz w:val="16"/>
          <w:szCs w:val="16"/>
          <w:color w:val="auto"/>
        </w:rPr>
        <w:t xml:space="preserve"> health and safety conditions; </w:t>
      </w:r>
      <w:r>
        <w:rPr>
          <w:rFonts w:ascii="Arial" w:cs="Arial" w:eastAsia="Arial" w:hAnsi="Arial"/>
          <w:sz w:val="16"/>
          <w:szCs w:val="16"/>
          <w:i w:val="1"/>
          <w:iCs w:val="1"/>
          <w:color w:val="auto"/>
        </w:rPr>
        <w:t>(vii)</w:t>
      </w:r>
      <w:r>
        <w:rPr>
          <w:rFonts w:ascii="Arial" w:cs="Arial" w:eastAsia="Arial" w:hAnsi="Arial"/>
          <w:sz w:val="16"/>
          <w:szCs w:val="16"/>
          <w:color w:val="auto"/>
        </w:rPr>
        <w:t xml:space="preserve"> access to existing and contemplated utilities; </w:t>
      </w:r>
      <w:r>
        <w:rPr>
          <w:rFonts w:ascii="Arial" w:cs="Arial" w:eastAsia="Arial" w:hAnsi="Arial"/>
          <w:sz w:val="16"/>
          <w:szCs w:val="16"/>
          <w:i w:val="1"/>
          <w:iCs w:val="1"/>
          <w:color w:val="auto"/>
        </w:rPr>
        <w:t>(viii)</w:t>
      </w:r>
      <w:r>
        <w:rPr>
          <w:rFonts w:ascii="Arial" w:cs="Arial" w:eastAsia="Arial" w:hAnsi="Arial"/>
          <w:sz w:val="16"/>
          <w:szCs w:val="16"/>
          <w:color w:val="auto"/>
        </w:rPr>
        <w:t xml:space="preserve"> access to public roads and to railway lines; </w:t>
      </w:r>
      <w:r>
        <w:rPr>
          <w:rFonts w:ascii="Arial" w:cs="Arial" w:eastAsia="Arial" w:hAnsi="Arial"/>
          <w:sz w:val="16"/>
          <w:szCs w:val="16"/>
          <w:i w:val="1"/>
          <w:iCs w:val="1"/>
          <w:color w:val="auto"/>
        </w:rPr>
        <w:t>(ix)</w:t>
      </w:r>
      <w:r>
        <w:rPr>
          <w:rFonts w:ascii="Arial" w:cs="Arial" w:eastAsia="Arial" w:hAnsi="Arial"/>
          <w:sz w:val="16"/>
          <w:szCs w:val="16"/>
          <w:color w:val="auto"/>
        </w:rPr>
        <w:t xml:space="preserve"> access to the Crane (defined below) as shown on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and the adjacent pier providing access to the Tennessee River, all of which must be examined and tested by Purchaser at its expense, and at Seller’s expense, the Crane and the adjacent pier, certified by qualified inspectors to be operational and in good working condition; </w:t>
      </w:r>
      <w:r>
        <w:rPr>
          <w:rFonts w:ascii="Arial" w:cs="Arial" w:eastAsia="Arial" w:hAnsi="Arial"/>
          <w:sz w:val="16"/>
          <w:szCs w:val="16"/>
          <w:i w:val="1"/>
          <w:iCs w:val="1"/>
          <w:color w:val="auto"/>
        </w:rPr>
        <w:t>(x)</w:t>
      </w:r>
      <w:r>
        <w:rPr>
          <w:rFonts w:ascii="Arial" w:cs="Arial" w:eastAsia="Arial" w:hAnsi="Arial"/>
          <w:sz w:val="16"/>
          <w:szCs w:val="16"/>
          <w:color w:val="auto"/>
        </w:rPr>
        <w:t xml:space="preserve"> signage; </w:t>
      </w:r>
      <w:r>
        <w:rPr>
          <w:rFonts w:ascii="Arial" w:cs="Arial" w:eastAsia="Arial" w:hAnsi="Arial"/>
          <w:sz w:val="16"/>
          <w:szCs w:val="16"/>
          <w:i w:val="1"/>
          <w:iCs w:val="1"/>
          <w:color w:val="auto"/>
        </w:rPr>
        <w:t>(xi)</w:t>
      </w:r>
      <w:r>
        <w:rPr>
          <w:rFonts w:ascii="Arial" w:cs="Arial" w:eastAsia="Arial" w:hAnsi="Arial"/>
          <w:sz w:val="16"/>
          <w:szCs w:val="16"/>
          <w:color w:val="auto"/>
        </w:rPr>
        <w:t xml:space="preserve"> zoning and compliance with other laws, codes and ordinances; </w:t>
      </w:r>
      <w:r>
        <w:rPr>
          <w:rFonts w:ascii="Arial" w:cs="Arial" w:eastAsia="Arial" w:hAnsi="Arial"/>
          <w:sz w:val="16"/>
          <w:szCs w:val="16"/>
          <w:i w:val="1"/>
          <w:iCs w:val="1"/>
          <w:color w:val="auto"/>
        </w:rPr>
        <w:t>(xii)</w:t>
      </w:r>
      <w:r>
        <w:rPr>
          <w:rFonts w:ascii="Arial" w:cs="Arial" w:eastAsia="Arial" w:hAnsi="Arial"/>
          <w:sz w:val="16"/>
          <w:szCs w:val="16"/>
          <w:color w:val="auto"/>
        </w:rPr>
        <w:t xml:space="preserve"> suitability for Purchaser’s intended use; and </w:t>
      </w:r>
      <w:r>
        <w:rPr>
          <w:rFonts w:ascii="Arial" w:cs="Arial" w:eastAsia="Arial" w:hAnsi="Arial"/>
          <w:sz w:val="16"/>
          <w:szCs w:val="16"/>
          <w:i w:val="1"/>
          <w:iCs w:val="1"/>
          <w:color w:val="auto"/>
        </w:rPr>
        <w:t>(xiii)</w:t>
      </w:r>
      <w:r>
        <w:rPr>
          <w:rFonts w:ascii="Arial" w:cs="Arial" w:eastAsia="Arial" w:hAnsi="Arial"/>
          <w:sz w:val="16"/>
          <w:szCs w:val="16"/>
          <w:color w:val="auto"/>
        </w:rPr>
        <w:t xml:space="preserve"> any other matter germane to Purchaser’s interest in the Property and/or the operation thereof. Any such inspections and testing shall be performed by companies selected by Purchaser. If any of the investigations are not satisfactory to Purchaser, for any reason whatsoever, then Purchaser shall have the right to terminate this Agreement in accordance with Section 5 below. Notwithstanding the foregoing, prior to entering the Property, Purchaser will obtain and maintain (and deliver to Seller sufficient evidence thereof) general liability insurance from an insurer reasonably acceptable to Seller, in an amount of at least One Million Dollars ($1,000,000) combined single limit for personal injury and property damage per occurrence, which insurer will provide coverage against any damage for personal injury or death or property damage caused by Purchaser or its designees in connection with such inspections and tests, and Seller will be named as an additional insured under an “additional insured endorsement.” Purchaser will not conduct any drilling or other invasive or structural testing without a representative of Seller having the opportunity to be present and without the written consent of Seller, which consent won’t be unreasonably withheld, conditioned, or delayed. Purchaser will be responsible for promptly repairing any damage that is caused by Purchaser, its employees, agents, or contractors. Purchaser indemnifies and holds Seller harmless from any and all loss, liability, claims and damages, including reasonable attorneys’ fees and expenses, arising out of Purchaser’s rights under this section, which indemnity will survive the termination of this Agreement. If, by May 11, 2021, notwithstanding the reasonable efforts of Seller and Purchaser, the access and utility easements burdening and benefiting the Property have not been resolved to the satisfaction of Purchaser, the Investigation Period may be extended by Purchaser, in its sole discretion, to the expiration of the Investigation Period Extension (defined in Section 4(j)), but only with respect to Purchaser’s approval of such easements. The extension will be made pursuant to the Investigation Period Extension Notice (defined in Section 4(j)).</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7" w:name="page238"/>
    <w:bookmarkEnd w:id="237"/>
    <w:p>
      <w:pPr>
        <w:jc w:val="both"/>
        <w:ind w:firstLine="644"/>
        <w:spacing w:after="0" w:line="298" w:lineRule="auto"/>
        <w:tabs>
          <w:tab w:leader="none" w:pos="1366"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Property Reports. </w:t>
      </w:r>
      <w:r>
        <w:rPr>
          <w:rFonts w:ascii="Arial" w:cs="Arial" w:eastAsia="Arial" w:hAnsi="Arial"/>
          <w:sz w:val="16"/>
          <w:szCs w:val="16"/>
          <w:color w:val="auto"/>
        </w:rPr>
        <w:t>Within two (2) business days after the Effective Date, Seller shall deliver to Purchaser all of the items listed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the attached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(collectively, the </w:t>
      </w:r>
      <w:r>
        <w:rPr>
          <w:rFonts w:ascii="Arial" w:cs="Arial" w:eastAsia="Arial" w:hAnsi="Arial"/>
          <w:sz w:val="16"/>
          <w:szCs w:val="16"/>
          <w:b w:val="1"/>
          <w:bCs w:val="1"/>
          <w:color w:val="auto"/>
        </w:rPr>
        <w:t>“Property Reports”).</w:t>
      </w:r>
      <w:r>
        <w:rPr>
          <w:rFonts w:ascii="Arial" w:cs="Arial" w:eastAsia="Arial" w:hAnsi="Arial"/>
          <w:sz w:val="16"/>
          <w:szCs w:val="16"/>
          <w:color w:val="auto"/>
        </w:rPr>
        <w:t xml:space="preserve"> Seller agrees to cooperate with Purchaser to have the Property Reports updated, renewed or certified to Purchaser, at Purchaser’s cost, if so desired by Purchaser. If any of the information disclosed in the Property Reports is not satisfactory to Purchaser, for any reason whatsoever, then Purchaser shall have the right to terminate this Agreement in accordance with Section 5 below. If this Agreement is terminated for any reason other than a Seller default, Purchaser promptly will return the Property Reports to Seller.</w:t>
      </w:r>
    </w:p>
    <w:p>
      <w:pPr>
        <w:spacing w:after="0" w:line="153" w:lineRule="exact"/>
        <w:rPr>
          <w:rFonts w:ascii="Arial" w:cs="Arial" w:eastAsia="Arial" w:hAnsi="Arial"/>
          <w:sz w:val="16"/>
          <w:szCs w:val="16"/>
          <w:color w:val="auto"/>
        </w:rPr>
      </w:pPr>
    </w:p>
    <w:p>
      <w:pPr>
        <w:jc w:val="both"/>
        <w:ind w:firstLine="644"/>
        <w:spacing w:after="0" w:line="285" w:lineRule="auto"/>
        <w:tabs>
          <w:tab w:leader="none" w:pos="1446"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Title. </w:t>
      </w:r>
      <w:r>
        <w:rPr>
          <w:rFonts w:ascii="Arial" w:cs="Arial" w:eastAsia="Arial" w:hAnsi="Arial"/>
          <w:sz w:val="16"/>
          <w:szCs w:val="16"/>
          <w:color w:val="auto"/>
        </w:rPr>
        <w:t>Purchaser shall, at Purchaser’s expense, promptly order a commitment for an ALTA owner’s policy of title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issued by the Title Company (the </w:t>
      </w:r>
      <w:r>
        <w:rPr>
          <w:rFonts w:ascii="Arial" w:cs="Arial" w:eastAsia="Arial" w:hAnsi="Arial"/>
          <w:sz w:val="16"/>
          <w:szCs w:val="16"/>
          <w:b w:val="1"/>
          <w:bCs w:val="1"/>
          <w:color w:val="auto"/>
        </w:rPr>
        <w:t>“Title Commitment”).</w:t>
      </w:r>
      <w:r>
        <w:rPr>
          <w:rFonts w:ascii="Arial" w:cs="Arial" w:eastAsia="Arial" w:hAnsi="Arial"/>
          <w:sz w:val="16"/>
          <w:szCs w:val="16"/>
          <w:color w:val="auto"/>
        </w:rPr>
        <w:t xml:space="preserve"> For a period of fifteen (15) days from the date that Purchaser receives both the Title Commitment and the Survey (defined below) in forms reasonably satisfactory to Purchaser (the </w:t>
      </w:r>
      <w:r>
        <w:rPr>
          <w:rFonts w:ascii="Arial" w:cs="Arial" w:eastAsia="Arial" w:hAnsi="Arial"/>
          <w:sz w:val="16"/>
          <w:szCs w:val="16"/>
          <w:b w:val="1"/>
          <w:bCs w:val="1"/>
          <w:color w:val="auto"/>
        </w:rPr>
        <w:t>“Review Period”),</w:t>
      </w:r>
      <w:r>
        <w:rPr>
          <w:rFonts w:ascii="Arial" w:cs="Arial" w:eastAsia="Arial" w:hAnsi="Arial"/>
          <w:sz w:val="16"/>
          <w:szCs w:val="16"/>
          <w:color w:val="auto"/>
        </w:rPr>
        <w:t xml:space="preserve"> Purchaser shall examine the Title Commitment and Survey and notify Seller in writing of any objections that Purchaser has, in Purchaser’s sole discretion, to specific matters identified in the Title Commitment or Survey or of any requirements which must be satisfied, in Purchaser’s sole discretion (the </w:t>
      </w:r>
      <w:r>
        <w:rPr>
          <w:rFonts w:ascii="Arial" w:cs="Arial" w:eastAsia="Arial" w:hAnsi="Arial"/>
          <w:sz w:val="16"/>
          <w:szCs w:val="16"/>
          <w:b w:val="1"/>
          <w:bCs w:val="1"/>
          <w:color w:val="auto"/>
        </w:rPr>
        <w:t>“Title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Objections”). </w:t>
      </w:r>
      <w:r>
        <w:rPr>
          <w:rFonts w:ascii="Arial" w:cs="Arial" w:eastAsia="Arial" w:hAnsi="Arial"/>
          <w:sz w:val="16"/>
          <w:szCs w:val="16"/>
          <w:color w:val="auto"/>
        </w:rPr>
        <w:t>Any matter identified in the Title Commitment or Survey to which Purchaser does not object within the Review Period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deemed to be permitted exceptions to the status of Seller’s title (the </w:t>
      </w:r>
      <w:r>
        <w:rPr>
          <w:rFonts w:ascii="Arial" w:cs="Arial" w:eastAsia="Arial" w:hAnsi="Arial"/>
          <w:sz w:val="16"/>
          <w:szCs w:val="16"/>
          <w:b w:val="1"/>
          <w:bCs w:val="1"/>
          <w:color w:val="auto"/>
        </w:rPr>
        <w:t>“Permitted Exceptions”).</w:t>
      </w:r>
      <w:r>
        <w:rPr>
          <w:rFonts w:ascii="Arial" w:cs="Arial" w:eastAsia="Arial" w:hAnsi="Arial"/>
          <w:sz w:val="16"/>
          <w:szCs w:val="16"/>
          <w:color w:val="auto"/>
        </w:rPr>
        <w:t xml:space="preserve"> If, however, Purchaser timely notifies Seller of Title Objections, then Seller shall have ten (10) days within which to notify Purchaser whether Seller will cause the Title Objections to be removed, corrected, remedied or insured over (by procuring appropriate endorsements, at Seller’s sole expense, to the Title Policy acceptable to Purchaser) to Purchaser’s reasonable satisfaction on or before Closing (defined below). If Seller does not give Purchaser notice of its election within such ten (10) day period, then Seller shall be deemed to have elected not to remedy, correct, remove or endorse over the Title Objections. If Seller elects to remedy, correct, remove or endorse over any of the Title Objections, then Seller shall use commercially reasonable efforts to remedy, cure, remove or endorse over the Title Objections. If Seller elects not to cure any Title Objections, or if Seller is unable to effect a cure of any such Title Objections on or prior to the expiration of the Investigation Period, then Purchaser shall have the right either (z) to proceed with the purchase and acquire the Property subject to such Title Objections (in which case such Title Objections shall be Permitted Exceptions); or </w:t>
      </w:r>
      <w:r>
        <w:rPr>
          <w:rFonts w:ascii="Arial" w:cs="Arial" w:eastAsia="Arial" w:hAnsi="Arial"/>
          <w:sz w:val="16"/>
          <w:szCs w:val="16"/>
          <w:i w:val="1"/>
          <w:iCs w:val="1"/>
          <w:color w:val="auto"/>
        </w:rPr>
        <w:t>(ii)</w:t>
      </w:r>
      <w:r>
        <w:rPr>
          <w:rFonts w:ascii="Arial" w:cs="Arial" w:eastAsia="Arial" w:hAnsi="Arial"/>
          <w:sz w:val="16"/>
          <w:szCs w:val="16"/>
          <w:color w:val="auto"/>
        </w:rPr>
        <w:t xml:space="preserve"> to terminate this Agreement by written notice to Seller, in which case the Deposit, and any interest accrued on the Deposit, shall be returned to Purchaser, and neither Party shall have any further rights, obligations or liability hereunder, except to the extent that any right, obligation or liability expressly survives the termination of this Agreement.</w:t>
      </w:r>
    </w:p>
    <w:p>
      <w:pPr>
        <w:spacing w:after="0" w:line="3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Notwithstanding the foregoing, Seller, at its sole expense, shall be obligated at Closing to discharge or satisfy any and all liens, judgments and assessments on the Property and remove from the public records any deed of trust, security interest or other monetary encumbrance affecting or encumbering the Property and which can be satisfied by monetary payment or otherwise at or prior to Closing, and failing the same, Purchaser shall be entitled to pay for and release such items and any amounts expended therefor shall be credited against the Purchase Price. In addition, with respect to any exception(s) first appearing on the Title Commitment and/or Survey or any update thereto after the effective date of the Title Commitment and/or Survey delivered to Purchaser pursuant to this Section, such additional exception(s) shall not be deemed to be a “Permitted Exception” hereunder unless and until Purchaser has reviewed and approved same in writing. Seller, at its sole expense, shall remove all encumbrances that are placed on the Property by Seller after the Effective Date, unless such encumbrances were reasonably approved by Purchaser.</w:t>
      </w:r>
    </w:p>
    <w:p>
      <w:pPr>
        <w:spacing w:after="0" w:line="37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38" w:name="page239"/>
    <w:bookmarkEnd w:id="238"/>
    <w:p>
      <w:pPr>
        <w:jc w:val="both"/>
        <w:ind w:left="-460" w:firstLine="644"/>
        <w:spacing w:after="0" w:line="254" w:lineRule="auto"/>
        <w:tabs>
          <w:tab w:leader="none" w:pos="974"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Survey. </w:t>
      </w:r>
      <w:r>
        <w:rPr>
          <w:rFonts w:ascii="Arial" w:cs="Arial" w:eastAsia="Arial" w:hAnsi="Arial"/>
          <w:sz w:val="18"/>
          <w:szCs w:val="18"/>
          <w:color w:val="auto"/>
        </w:rPr>
        <w:t>During the Investigation Period, Purchaser shall have the right at its sole expense, to order an ALTA/NSPS land title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survey (the </w:t>
      </w:r>
      <w:r>
        <w:rPr>
          <w:rFonts w:ascii="Arial" w:cs="Arial" w:eastAsia="Arial" w:hAnsi="Arial"/>
          <w:sz w:val="18"/>
          <w:szCs w:val="18"/>
          <w:b w:val="1"/>
          <w:bCs w:val="1"/>
          <w:color w:val="auto"/>
        </w:rPr>
        <w:t>“Survey”)</w:t>
      </w:r>
      <w:r>
        <w:rPr>
          <w:rFonts w:ascii="Arial" w:cs="Arial" w:eastAsia="Arial" w:hAnsi="Arial"/>
          <w:sz w:val="18"/>
          <w:szCs w:val="18"/>
          <w:color w:val="auto"/>
        </w:rPr>
        <w:t xml:space="preserve"> of the Property, showing the legal description of the Property, all easements affecting the Property, all structures and improvements on the Property, and such other matters desired by Purchaser. Purchaser shall also have the right to elect to take an assignment and re-certification of any existing Survey, in which case Seller shall reasonably cooperate with such assignment or re-certification. Purchaser shall have the further right to work with the engineer, Seller and any third parties to establish the final Survey and certifications in a manner that is acceptable to Purchaser, in its sole discretion. If Purchaser determines that it cannot obtain an acceptable Survey, then Purchaser shall have the right to terminate this Agreement in accordance with Section 5 below. Purchaser agrees to reasonably consider RLS Group for the preparation of the Survey.</w:t>
      </w:r>
    </w:p>
    <w:p>
      <w:pPr>
        <w:spacing w:after="0" w:line="191" w:lineRule="exact"/>
        <w:rPr>
          <w:rFonts w:ascii="Arial" w:cs="Arial" w:eastAsia="Arial" w:hAnsi="Arial"/>
          <w:sz w:val="18"/>
          <w:szCs w:val="18"/>
          <w:color w:val="auto"/>
        </w:rPr>
      </w:pPr>
    </w:p>
    <w:p>
      <w:pPr>
        <w:jc w:val="both"/>
        <w:ind w:left="-460" w:firstLine="644"/>
        <w:spacing w:after="0" w:line="271" w:lineRule="auto"/>
        <w:tabs>
          <w:tab w:leader="none" w:pos="963" w:val="left"/>
        </w:tabs>
        <w:numPr>
          <w:ilvl w:val="0"/>
          <w:numId w:val="284"/>
        </w:numPr>
        <w:rPr>
          <w:rFonts w:ascii="Arial" w:cs="Arial" w:eastAsia="Arial" w:hAnsi="Arial"/>
          <w:sz w:val="16"/>
          <w:szCs w:val="16"/>
          <w:color w:val="auto"/>
        </w:rPr>
      </w:pPr>
      <w:r>
        <w:rPr>
          <w:rFonts w:ascii="Arial" w:cs="Arial" w:eastAsia="Arial" w:hAnsi="Arial"/>
          <w:sz w:val="16"/>
          <w:szCs w:val="16"/>
          <w:b w:val="1"/>
          <w:bCs w:val="1"/>
          <w:color w:val="auto"/>
        </w:rPr>
        <w:t xml:space="preserve">Subdivision Plat. </w:t>
      </w:r>
      <w:r>
        <w:rPr>
          <w:rFonts w:ascii="Arial" w:cs="Arial" w:eastAsia="Arial" w:hAnsi="Arial"/>
          <w:sz w:val="16"/>
          <w:szCs w:val="16"/>
          <w:color w:val="auto"/>
        </w:rPr>
        <w:t>Within two (2) business days after the Effective Date, Seller, at its sole expense, will initiate and thereafter</w:t>
      </w:r>
      <w:r>
        <w:rPr>
          <w:rFonts w:ascii="Arial" w:cs="Arial" w:eastAsia="Arial" w:hAnsi="Arial"/>
          <w:sz w:val="16"/>
          <w:szCs w:val="16"/>
          <w:b w:val="1"/>
          <w:bCs w:val="1"/>
          <w:color w:val="auto"/>
        </w:rPr>
        <w:t xml:space="preserve"> </w:t>
      </w:r>
      <w:r>
        <w:rPr>
          <w:rFonts w:ascii="Arial" w:cs="Arial" w:eastAsia="Arial" w:hAnsi="Arial"/>
          <w:sz w:val="16"/>
          <w:szCs w:val="16"/>
          <w:color w:val="auto"/>
        </w:rPr>
        <w:t>diligently pursue, the subdivision of the Property with boundaries mutually acceptable to Purchaser and Seller and generally in accordance with the description of the Property in Section 1, so that Seller can convey the Property lawfully in accordance with a recorded subdivision plat (“Plat”). The Plat will provide for free (without charge) and unrestricted vehicular access from the Property to the public right of way of W. 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including by perpetual easement over the alley, the centerline of which forms the eastern boundary of the Property, and to the extent necessary, by perpetual easement over the private right of way known as “Front Street”, and by perpetual easement approved by Purchaser during the Investigation Period, the public rights of way of Main Street and Riverfront Parkway, and appropriate access to all public utilities (other than gas which is not present at the Property), that Purchaser requires to service the Property. Seller will utilize the services of RLS Group, LLC and Ragon Smith Civil Engineers to facilitate all surveying and engineering needs related to the subdivision, and Purchaser agrees to reasonably consider them for its surveying and civil engineering requirements with respect to the Property, and if Purchaser reasonably determines not to use their services, Seller will reasonably cooperate with Purchaser in selecting alternative professionals.</w:t>
      </w:r>
    </w:p>
    <w:p>
      <w:pPr>
        <w:spacing w:after="0" w:line="176" w:lineRule="exact"/>
        <w:rPr>
          <w:rFonts w:ascii="Arial" w:cs="Arial" w:eastAsia="Arial" w:hAnsi="Arial"/>
          <w:sz w:val="16"/>
          <w:szCs w:val="16"/>
          <w:color w:val="auto"/>
        </w:rPr>
      </w:pPr>
    </w:p>
    <w:p>
      <w:pPr>
        <w:ind w:left="-460" w:firstLine="644"/>
        <w:spacing w:after="0" w:line="282" w:lineRule="auto"/>
        <w:tabs>
          <w:tab w:leader="none" w:pos="962"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Tap Fees. </w:t>
      </w:r>
      <w:r>
        <w:rPr>
          <w:rFonts w:ascii="Arial" w:cs="Arial" w:eastAsia="Arial" w:hAnsi="Arial"/>
          <w:sz w:val="18"/>
          <w:szCs w:val="18"/>
          <w:color w:val="auto"/>
        </w:rPr>
        <w:t>Purchaser shall be responsible for and agrees to pay all utility tap fees payable to public utilities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This subsection (f) shall survive the Closing.</w:t>
      </w:r>
    </w:p>
    <w:p>
      <w:pPr>
        <w:spacing w:after="0" w:line="3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39" w:name="page240"/>
    <w:bookmarkEnd w:id="239"/>
    <w:p>
      <w:pPr>
        <w:jc w:val="both"/>
        <w:ind w:left="-460" w:firstLine="644"/>
        <w:spacing w:after="0" w:line="294" w:lineRule="auto"/>
        <w:tabs>
          <w:tab w:leader="none" w:pos="892" w:val="left"/>
        </w:tabs>
        <w:numPr>
          <w:ilvl w:val="0"/>
          <w:numId w:val="285"/>
        </w:numPr>
        <w:rPr>
          <w:rFonts w:ascii="Arial" w:cs="Arial" w:eastAsia="Arial" w:hAnsi="Arial"/>
          <w:sz w:val="16"/>
          <w:szCs w:val="16"/>
          <w:color w:val="auto"/>
        </w:rPr>
      </w:pPr>
      <w:r>
        <w:rPr>
          <w:rFonts w:ascii="Arial" w:cs="Arial" w:eastAsia="Arial" w:hAnsi="Arial"/>
          <w:sz w:val="16"/>
          <w:szCs w:val="16"/>
          <w:b w:val="1"/>
          <w:bCs w:val="1"/>
          <w:color w:val="auto"/>
        </w:rPr>
        <w:t xml:space="preserve">Utilities. </w:t>
      </w:r>
      <w:r>
        <w:rPr>
          <w:rFonts w:ascii="Arial" w:cs="Arial" w:eastAsia="Arial" w:hAnsi="Arial"/>
          <w:sz w:val="16"/>
          <w:szCs w:val="16"/>
          <w:color w:val="auto"/>
        </w:rPr>
        <w:t>To the extent water, sanitary and storm sewer, electric, internet and telephone lines are not available at the boundary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Property or in the right-of-way or access drive adjacent to the Property, Seller, at its sole cost and expense, shall extend such utilities to the boundary of the Property in locations reasonably acceptable to Purchaser. If not currently available, Seller shall be responsible for the installation of lines to connect the foregoing utilities in accordance with applicable utility company and governmental requirements and shall pay the cost thereof. To the extent necessary, Seller will provide Purchaser with all necessary construction and permanent easements for such utilities (including natural gas, should Purchaser desire its installation) without charge in order to install and maintain such easements.</w:t>
      </w:r>
    </w:p>
    <w:p>
      <w:pPr>
        <w:spacing w:after="0" w:line="159" w:lineRule="exact"/>
        <w:rPr>
          <w:rFonts w:ascii="Arial" w:cs="Arial" w:eastAsia="Arial" w:hAnsi="Arial"/>
          <w:sz w:val="16"/>
          <w:szCs w:val="16"/>
          <w:color w:val="auto"/>
        </w:rPr>
      </w:pPr>
    </w:p>
    <w:p>
      <w:pPr>
        <w:jc w:val="both"/>
        <w:ind w:left="-460" w:firstLine="644"/>
        <w:spacing w:after="0" w:line="271" w:lineRule="auto"/>
        <w:tabs>
          <w:tab w:leader="none" w:pos="933" w:val="left"/>
        </w:tabs>
        <w:numPr>
          <w:ilvl w:val="0"/>
          <w:numId w:val="285"/>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Matters. </w:t>
      </w:r>
      <w:r>
        <w:rPr>
          <w:rFonts w:ascii="Arial" w:cs="Arial" w:eastAsia="Arial" w:hAnsi="Arial"/>
          <w:sz w:val="17"/>
          <w:szCs w:val="17"/>
          <w:color w:val="auto"/>
        </w:rPr>
        <w:t>Subject to the provision of Section 4(a) hereof, Purchaser during the Investigation Period,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right, at its expense, to conduct such environmental site evaluations of the Property as Purchaser deems appropriate, including but not limited to, Phase I and Phase II environmental site assessments and baseline environmental assessments (collectively, the </w:t>
      </w:r>
      <w:r>
        <w:rPr>
          <w:rFonts w:ascii="Arial" w:cs="Arial" w:eastAsia="Arial" w:hAnsi="Arial"/>
          <w:sz w:val="17"/>
          <w:szCs w:val="17"/>
          <w:b w:val="1"/>
          <w:bCs w:val="1"/>
          <w:color w:val="auto"/>
        </w:rPr>
        <w:t>“Site Investigation Reports”).</w:t>
      </w:r>
      <w:r>
        <w:rPr>
          <w:rFonts w:ascii="Arial" w:cs="Arial" w:eastAsia="Arial" w:hAnsi="Arial"/>
          <w:sz w:val="17"/>
          <w:szCs w:val="17"/>
          <w:color w:val="auto"/>
        </w:rPr>
        <w:t xml:space="preserve"> Such evaluations may include but are not limited to, soil sampling, soil borings, vapor sampling, ground water sampling, including drilling, installing, maintaining, operating and removing ground water monitoring wells. If such investigations reveal or disclose conditions that are not acceptable to Purchaser in its sole discretion, and if Seller refuses or fails to remediate such conditions in a manner acceptable to Purchaser in its sole discretion, prior to Closing, then Purchaser shall have the right to terminate this Agreement in accordance with Section 5 below. Copies of all Site Investigation Reports will be delivered to Seller prior to the expiration of the Investigation Period, and if Purchaser terminates this Agreement, the originals thereof will be delivered to Seller upon request.</w:t>
      </w:r>
    </w:p>
    <w:p>
      <w:pPr>
        <w:spacing w:after="0" w:line="173" w:lineRule="exact"/>
        <w:rPr>
          <w:rFonts w:ascii="Arial" w:cs="Arial" w:eastAsia="Arial" w:hAnsi="Arial"/>
          <w:sz w:val="17"/>
          <w:szCs w:val="17"/>
          <w:color w:val="auto"/>
        </w:rPr>
      </w:pPr>
    </w:p>
    <w:p>
      <w:pPr>
        <w:jc w:val="both"/>
        <w:ind w:left="-460" w:firstLine="644"/>
        <w:spacing w:after="0" w:line="272" w:lineRule="auto"/>
        <w:tabs>
          <w:tab w:leader="none" w:pos="898" w:val="left"/>
        </w:tabs>
        <w:numPr>
          <w:ilvl w:val="0"/>
          <w:numId w:val="285"/>
        </w:numPr>
        <w:rPr>
          <w:rFonts w:ascii="Arial" w:cs="Arial" w:eastAsia="Arial" w:hAnsi="Arial"/>
          <w:sz w:val="17"/>
          <w:szCs w:val="17"/>
          <w:color w:val="auto"/>
        </w:rPr>
      </w:pPr>
      <w:r>
        <w:rPr>
          <w:rFonts w:ascii="Arial" w:cs="Arial" w:eastAsia="Arial" w:hAnsi="Arial"/>
          <w:sz w:val="17"/>
          <w:szCs w:val="17"/>
          <w:b w:val="1"/>
          <w:bCs w:val="1"/>
          <w:color w:val="auto"/>
        </w:rPr>
        <w:t xml:space="preserve">TDEC Agreements. </w:t>
      </w:r>
      <w:r>
        <w:rPr>
          <w:rFonts w:ascii="Arial" w:cs="Arial" w:eastAsia="Arial" w:hAnsi="Arial"/>
          <w:sz w:val="17"/>
          <w:szCs w:val="17"/>
          <w:color w:val="auto"/>
        </w:rPr>
        <w:t>Purchaser hereby acknowledges that the Property and adjacent parcels are subject to, and the Property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conveyed subject to that certain Notice of Land Use Restrictions effective May 25, 2018 between the Tennessee Department of Environment and Conservation (“TDEC”) and Alstom Power, Inc. recorded on May 30, 2018 in Book 11359, Page 240 in the Register’s Office of Hamilton County Tennessee (“ROHC”), as amended from time to time (the “Land Use Restrictions”), including without limitation the Site Management Plan attached thereto, as amended by that certain Site Management Plan, Revision 1.0, for Project Antares, Project Ceres, and Former SIAG Aerisyn, Terracon Project No. E2187007, prepared by Terracon Consultants, Inc., dated January 30, 2020 (“Site Management Plan”), and with that certain Brownfield Voluntary Agreement dated March 4, 2018 with TDEC for Site Number 33-762, as amended from time to time (the “Brownfield Agreement”). Purchaser will review the foregoing during the Investigation Period.</w:t>
      </w:r>
    </w:p>
    <w:p>
      <w:pPr>
        <w:spacing w:after="0" w:line="171" w:lineRule="exact"/>
        <w:rPr>
          <w:rFonts w:ascii="Arial" w:cs="Arial" w:eastAsia="Arial" w:hAnsi="Arial"/>
          <w:sz w:val="17"/>
          <w:szCs w:val="17"/>
          <w:color w:val="auto"/>
        </w:rPr>
      </w:pPr>
    </w:p>
    <w:p>
      <w:pPr>
        <w:jc w:val="both"/>
        <w:ind w:left="-460" w:firstLine="644"/>
        <w:spacing w:after="0" w:line="286" w:lineRule="auto"/>
        <w:tabs>
          <w:tab w:leader="none" w:pos="924" w:val="left"/>
        </w:tabs>
        <w:numPr>
          <w:ilvl w:val="0"/>
          <w:numId w:val="285"/>
        </w:numPr>
        <w:rPr>
          <w:rFonts w:ascii="Arial" w:cs="Arial" w:eastAsia="Arial" w:hAnsi="Arial"/>
          <w:sz w:val="16"/>
          <w:szCs w:val="16"/>
          <w:color w:val="auto"/>
        </w:rPr>
      </w:pPr>
      <w:r>
        <w:rPr>
          <w:rFonts w:ascii="Arial" w:cs="Arial" w:eastAsia="Arial" w:hAnsi="Arial"/>
          <w:sz w:val="16"/>
          <w:szCs w:val="16"/>
          <w:b w:val="1"/>
          <w:bCs w:val="1"/>
          <w:color w:val="auto"/>
        </w:rPr>
        <w:t xml:space="preserve">Governmental Incentives. </w:t>
      </w:r>
      <w:r>
        <w:rPr>
          <w:rFonts w:ascii="Arial" w:cs="Arial" w:eastAsia="Arial" w:hAnsi="Arial"/>
          <w:sz w:val="16"/>
          <w:szCs w:val="16"/>
          <w:color w:val="auto"/>
        </w:rPr>
        <w:t>During the Investigation Period, Purchaser will apply for, attempt to obtain or seek new or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governmental incentives, tax abatements, benefits, entitlements, approvals or permits related to Purchaser’s intended use of the Property, or which Purchaser otherwise deems necessary or desirable, in Purchaser’s sole discretion, in order to utilize the Property for Purchaser’s intended use (collectively, </w:t>
      </w:r>
      <w:r>
        <w:rPr>
          <w:rFonts w:ascii="Arial" w:cs="Arial" w:eastAsia="Arial" w:hAnsi="Arial"/>
          <w:sz w:val="16"/>
          <w:szCs w:val="16"/>
          <w:b w:val="1"/>
          <w:bCs w:val="1"/>
          <w:color w:val="auto"/>
        </w:rPr>
        <w:t>“Governmental Incentives”).</w:t>
      </w:r>
      <w:r>
        <w:rPr>
          <w:rFonts w:ascii="Arial" w:cs="Arial" w:eastAsia="Arial" w:hAnsi="Arial"/>
          <w:sz w:val="16"/>
          <w:szCs w:val="16"/>
          <w:color w:val="auto"/>
        </w:rPr>
        <w:t xml:space="preserve"> Purchaser’s obligations under this Agreement to close on the purchase of the Property shall be expressly contingent on Purchaser’s receipt of all such Governmental Incentives, including, but not limited to, property tax abatements on the Property and personal property additions to the Property and other incentives from the city of Chattanooga and Hamilton County, and grants, credits, and other incentives from the state of Tennessee and its Department of Economic and Community Development (“TN ECD”), and the Tennessee Valley Authority (“TVA”), all on terms satisfactory to Purchaser in its sole discretion. Seller agrees that, during the term of this Agreement, Seller will reasonably cooperate with (and will not oppose), any applications that Purchaser, at its sole expense, desires to submit to any governmental authorities in connection with obtaining any such Governmental Incentives or information in furtherance of Purchaser’s intended use of the Property. If, at any time during the Investigation Period, Purchaser determines that it cannot obtain the Governmental Incentives on terms and conditions acceptable to Purchaser, in Purchaser’s sole discretion, then Purchaser shall have the right to (i) terminate this Agreement in accordance with Section 5 below, or (ii) in addition to Purchaser’s extension rights under Section 4(a), unilaterally extend the Investigation Period until 11:59 p.m. on June 10, 2021 </w:t>
      </w:r>
      <w:r>
        <w:rPr>
          <w:rFonts w:ascii="Arial" w:cs="Arial" w:eastAsia="Arial" w:hAnsi="Arial"/>
          <w:sz w:val="16"/>
          <w:szCs w:val="16"/>
          <w:b w:val="1"/>
          <w:bCs w:val="1"/>
          <w:color w:val="auto"/>
        </w:rPr>
        <w:t>(“Investigation Period Extension”)</w:t>
      </w:r>
      <w:r>
        <w:rPr>
          <w:rFonts w:ascii="Arial" w:cs="Arial" w:eastAsia="Arial" w:hAnsi="Arial"/>
          <w:sz w:val="16"/>
          <w:szCs w:val="16"/>
          <w:color w:val="auto"/>
        </w:rPr>
        <w:t xml:space="preserve"> upon notice to Seller </w:t>
      </w:r>
      <w:r>
        <w:rPr>
          <w:rFonts w:ascii="Arial" w:cs="Arial" w:eastAsia="Arial" w:hAnsi="Arial"/>
          <w:sz w:val="16"/>
          <w:szCs w:val="16"/>
          <w:b w:val="1"/>
          <w:bCs w:val="1"/>
          <w:color w:val="auto"/>
        </w:rPr>
        <w:t>(“Investigation Period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Extension Notice”), </w:t>
      </w:r>
      <w:r>
        <w:rPr>
          <w:rFonts w:ascii="Arial" w:cs="Arial" w:eastAsia="Arial" w:hAnsi="Arial"/>
          <w:sz w:val="16"/>
          <w:szCs w:val="16"/>
          <w:color w:val="auto"/>
        </w:rPr>
        <w:t>said Investigation Period Extension Notice to be given to Seller prior to the expiration of the Investigation Period and to</w:t>
      </w:r>
      <w:r>
        <w:rPr>
          <w:rFonts w:ascii="Arial" w:cs="Arial" w:eastAsia="Arial" w:hAnsi="Arial"/>
          <w:sz w:val="16"/>
          <w:szCs w:val="16"/>
          <w:b w:val="1"/>
          <w:bCs w:val="1"/>
          <w:color w:val="auto"/>
        </w:rPr>
        <w:t xml:space="preserve"> </w:t>
      </w:r>
      <w:r>
        <w:rPr>
          <w:rFonts w:ascii="Arial" w:cs="Arial" w:eastAsia="Arial" w:hAnsi="Arial"/>
          <w:sz w:val="16"/>
          <w:szCs w:val="16"/>
          <w:color w:val="auto"/>
        </w:rPr>
        <w:t>specify which of the Governmental Incentives have not been obtained.</w:t>
      </w:r>
    </w:p>
    <w:p>
      <w:pPr>
        <w:spacing w:after="0" w:line="34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40" w:name="page241"/>
    <w:bookmarkEnd w:id="240"/>
    <w:p>
      <w:pPr>
        <w:jc w:val="both"/>
        <w:ind w:left="660" w:firstLine="644"/>
        <w:spacing w:after="0" w:line="289" w:lineRule="auto"/>
        <w:tabs>
          <w:tab w:leader="none" w:pos="2269" w:val="left"/>
        </w:tabs>
        <w:numPr>
          <w:ilvl w:val="0"/>
          <w:numId w:val="286"/>
        </w:numPr>
        <w:rPr>
          <w:rFonts w:ascii="Arial" w:cs="Arial" w:eastAsia="Arial" w:hAnsi="Arial"/>
          <w:sz w:val="16"/>
          <w:szCs w:val="16"/>
          <w:color w:val="auto"/>
        </w:rPr>
      </w:pPr>
      <w:r>
        <w:rPr>
          <w:rFonts w:ascii="Arial" w:cs="Arial" w:eastAsia="Arial" w:hAnsi="Arial"/>
          <w:sz w:val="16"/>
          <w:szCs w:val="16"/>
          <w:b w:val="1"/>
          <w:bCs w:val="1"/>
          <w:color w:val="auto"/>
        </w:rPr>
        <w:t xml:space="preserve">Governmental Approvals. </w:t>
      </w:r>
      <w:r>
        <w:rPr>
          <w:rFonts w:ascii="Arial" w:cs="Arial" w:eastAsia="Arial" w:hAnsi="Arial"/>
          <w:sz w:val="16"/>
          <w:szCs w:val="16"/>
          <w:color w:val="auto"/>
        </w:rPr>
        <w:t>Purchaser’s obligations under this Agreement to close the purchase of the Property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conditioned on receipt during the Investigation Period of all governmental, zoning, architectural, design, and building code approvals necessary or desirable for Purchaser’s operation of the Properly for Purchaser’s intended use, including, but not limited to, special use permits, demolition permits, site plan approval, land division approvals, building permits and certificates of occupancy (collectively, </w:t>
      </w:r>
      <w:r>
        <w:rPr>
          <w:rFonts w:ascii="Arial" w:cs="Arial" w:eastAsia="Arial" w:hAnsi="Arial"/>
          <w:sz w:val="16"/>
          <w:szCs w:val="16"/>
          <w:b w:val="1"/>
          <w:bCs w:val="1"/>
          <w:color w:val="auto"/>
        </w:rPr>
        <w:t>“Governmental Approvals”).</w:t>
      </w:r>
      <w:r>
        <w:rPr>
          <w:rFonts w:ascii="Arial" w:cs="Arial" w:eastAsia="Arial" w:hAnsi="Arial"/>
          <w:sz w:val="16"/>
          <w:szCs w:val="16"/>
          <w:color w:val="auto"/>
        </w:rPr>
        <w:t xml:space="preserve"> Such Governmental Approvals shall include, but are not limited to, site plan, zoning, special use and any other approvals desired by Purchaser of the Property by governmental bodies or agencies that have jurisdiction over or otherwise govern the Property. Seller agrees that, during the term of this Agreement, Seller reasonably will sign and support (and will not oppose) any applications that Purchaser desires to submit to any governmental authorities in connection with obtaining any such Governmental Approvals or information in furtherance of Purchaser’s intended use and development of the Property. If Purchaser is unable to obtain all desired Governmental Approvals on terms and conditions acceptable to Purchaser, in its sole discretion, then Purchaser shall have the right to terminate this Agreement in accordance with Section 5 below.</w:t>
      </w:r>
    </w:p>
    <w:p>
      <w:pPr>
        <w:spacing w:after="0" w:line="161" w:lineRule="exact"/>
        <w:rPr>
          <w:sz w:val="20"/>
          <w:szCs w:val="20"/>
          <w:color w:val="auto"/>
        </w:rPr>
      </w:pPr>
    </w:p>
    <w:p>
      <w:pPr>
        <w:jc w:val="both"/>
        <w:ind w:left="660" w:firstLine="644"/>
        <w:spacing w:after="0" w:line="261" w:lineRule="auto"/>
        <w:tabs>
          <w:tab w:leader="none" w:pos="2188" w:val="left"/>
        </w:tabs>
        <w:numPr>
          <w:ilvl w:val="1"/>
          <w:numId w:val="287"/>
        </w:numPr>
        <w:rPr>
          <w:rFonts w:ascii="Arial" w:cs="Arial" w:eastAsia="Arial" w:hAnsi="Arial"/>
          <w:sz w:val="18"/>
          <w:szCs w:val="18"/>
          <w:color w:val="auto"/>
        </w:rPr>
      </w:pPr>
      <w:r>
        <w:rPr>
          <w:rFonts w:ascii="Arial" w:cs="Arial" w:eastAsia="Arial" w:hAnsi="Arial"/>
          <w:sz w:val="18"/>
          <w:szCs w:val="18"/>
          <w:b w:val="1"/>
          <w:bCs w:val="1"/>
          <w:color w:val="auto"/>
        </w:rPr>
        <w:t xml:space="preserve">Existing Leases or Occupancy Agreements. </w:t>
      </w:r>
      <w:r>
        <w:rPr>
          <w:rFonts w:ascii="Arial" w:cs="Arial" w:eastAsia="Arial" w:hAnsi="Arial"/>
          <w:sz w:val="18"/>
          <w:szCs w:val="18"/>
          <w:color w:val="auto"/>
        </w:rPr>
        <w:t>Purchaser’s obligations under this Agreement shall be conditioned on Seller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terminating any lease or other occupancy rights with regard to the Property prior to Closing. If Seller is unable to secure the termination of such leases or other occupancy rights prior to Closing on terms and conditions acceptable to Purchaser, in its sole discretion, then Purchaser shall have the right to terminate this Agreement in accordance with Section 5 below.</w:t>
      </w:r>
    </w:p>
    <w:p>
      <w:pPr>
        <w:spacing w:after="0" w:line="179" w:lineRule="exact"/>
        <w:rPr>
          <w:rFonts w:ascii="Arial" w:cs="Arial" w:eastAsia="Arial" w:hAnsi="Arial"/>
          <w:sz w:val="18"/>
          <w:szCs w:val="18"/>
          <w:color w:val="auto"/>
        </w:rPr>
      </w:pPr>
    </w:p>
    <w:p>
      <w:pPr>
        <w:jc w:val="both"/>
        <w:ind w:firstLine="656"/>
        <w:spacing w:after="0" w:line="269" w:lineRule="auto"/>
        <w:tabs>
          <w:tab w:leader="none" w:pos="1467" w:val="left"/>
        </w:tabs>
        <w:numPr>
          <w:ilvl w:val="0"/>
          <w:numId w:val="288"/>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Terminate; Refundability of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If any of the Conditions Precedent set forth in Section 4 above are not fulfilled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satisfied in accordance with their respective terms, or if Purchaser is dissatisfied with the Property or Purchaser’s intended use of the Property, for any reason whatsoever, then Purchaser shall have the right to either </w:t>
      </w:r>
      <w:r>
        <w:rPr>
          <w:rFonts w:ascii="Arial" w:cs="Arial" w:eastAsia="Arial" w:hAnsi="Arial"/>
          <w:sz w:val="17"/>
          <w:szCs w:val="17"/>
          <w:i w:val="1"/>
          <w:iCs w:val="1"/>
          <w:color w:val="auto"/>
        </w:rPr>
        <w:t>(a)</w:t>
      </w:r>
      <w:r>
        <w:rPr>
          <w:rFonts w:ascii="Arial" w:cs="Arial" w:eastAsia="Arial" w:hAnsi="Arial"/>
          <w:sz w:val="17"/>
          <w:szCs w:val="17"/>
          <w:color w:val="auto"/>
        </w:rPr>
        <w:t xml:space="preserve"> waive such condition and proceed to Closing; or </w:t>
      </w:r>
      <w:r>
        <w:rPr>
          <w:rFonts w:ascii="Arial" w:cs="Arial" w:eastAsia="Arial" w:hAnsi="Arial"/>
          <w:sz w:val="17"/>
          <w:szCs w:val="17"/>
          <w:i w:val="1"/>
          <w:iCs w:val="1"/>
          <w:color w:val="auto"/>
        </w:rPr>
        <w:t>(b)</w:t>
      </w:r>
      <w:r>
        <w:rPr>
          <w:rFonts w:ascii="Arial" w:cs="Arial" w:eastAsia="Arial" w:hAnsi="Arial"/>
          <w:sz w:val="17"/>
          <w:szCs w:val="17"/>
          <w:color w:val="auto"/>
        </w:rPr>
        <w:t xml:space="preserve"> terminate this Agreement by delivery of written notice of termination to Seller and the Title Company (the </w:t>
      </w:r>
      <w:r>
        <w:rPr>
          <w:rFonts w:ascii="Arial" w:cs="Arial" w:eastAsia="Arial" w:hAnsi="Arial"/>
          <w:sz w:val="17"/>
          <w:szCs w:val="17"/>
          <w:b w:val="1"/>
          <w:bCs w:val="1"/>
          <w:color w:val="auto"/>
        </w:rPr>
        <w:t>“Termination Notice”).</w:t>
      </w:r>
      <w:r>
        <w:rPr>
          <w:rFonts w:ascii="Arial" w:cs="Arial" w:eastAsia="Arial" w:hAnsi="Arial"/>
          <w:sz w:val="17"/>
          <w:szCs w:val="17"/>
          <w:color w:val="auto"/>
        </w:rPr>
        <w:t xml:space="preserve"> If Purchaser terminates this Agreement pursuant to its rights under this Section 5, and the Termination Notice is sent on or before the expiration of the Investigation Period, or solely with respect to the Governmental Incentives prior to the expiration of the Investigation Period Extension, then the full amount of the Deposit shall be immediately refunded to Purchaser by Escrow Agent. On such termination of this Agreement by Purchaser, all rights and obligations of the Parties shall immediately and forever terminate, with the exception of those rights and obligations that are expressly intended to survive termination of this Agreement. If Purchaser does not terminate this Agreement on or before the expiration of the Investigation Period, or solely with respect to the Governmental Incentives, prior to the expiration of the Investigation Period Extension, then the Deposit will be non-refundable to Purchaser except in the event of a default by Seller as provided in Section 15 hereof.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1" w:name="page242"/>
    <w:bookmarkEnd w:id="241"/>
    <w:p>
      <w:pPr>
        <w:jc w:val="both"/>
        <w:ind w:firstLine="656"/>
        <w:spacing w:after="0" w:line="258" w:lineRule="auto"/>
        <w:tabs>
          <w:tab w:leader="none" w:pos="1359" w:val="left"/>
        </w:tabs>
        <w:numPr>
          <w:ilvl w:val="0"/>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consummation of the purchase and sale contemplated by this Agreement (the</w:t>
      </w:r>
      <w:r>
        <w:rPr>
          <w:rFonts w:ascii="Arial" w:cs="Arial" w:eastAsia="Arial" w:hAnsi="Arial"/>
          <w:sz w:val="18"/>
          <w:szCs w:val="18"/>
          <w:b w:val="1"/>
          <w:bCs w:val="1"/>
          <w:color w:val="auto"/>
        </w:rPr>
        <w:t xml:space="preserve"> “Closing”) </w:t>
      </w:r>
      <w:r>
        <w:rPr>
          <w:rFonts w:ascii="Arial" w:cs="Arial" w:eastAsia="Arial" w:hAnsi="Arial"/>
          <w:sz w:val="18"/>
          <w:szCs w:val="18"/>
          <w:color w:val="auto"/>
        </w:rPr>
        <w:t>shall be held in escrow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Title Company, as mutually agreed by the Parties, on a date mutually agreed to by the Parties within thirty (30) days after the expiration of the Investigation Period, or, if applicable, within two (2) business days after the expiration of the Extended Investigation Period, but not later than June 15, 2021 (the </w:t>
      </w:r>
      <w:r>
        <w:rPr>
          <w:rFonts w:ascii="Arial" w:cs="Arial" w:eastAsia="Arial" w:hAnsi="Arial"/>
          <w:sz w:val="18"/>
          <w:szCs w:val="18"/>
          <w:b w:val="1"/>
          <w:bCs w:val="1"/>
          <w:color w:val="auto"/>
        </w:rPr>
        <w:t>“Closing Deadline”).</w:t>
      </w:r>
      <w:r>
        <w:rPr>
          <w:rFonts w:ascii="Arial" w:cs="Arial" w:eastAsia="Arial" w:hAnsi="Arial"/>
          <w:sz w:val="18"/>
          <w:szCs w:val="18"/>
          <w:color w:val="auto"/>
        </w:rPr>
        <w:t xml:space="preserve"> At Closing, Seller shall make the Seller Closing Deliveries described in Section 7 below and Purchaser shall make the Purchaser Closing Deliveries described Section 8 below.</w:t>
      </w:r>
    </w:p>
    <w:p>
      <w:pPr>
        <w:spacing w:after="0" w:line="183" w:lineRule="exact"/>
        <w:rPr>
          <w:rFonts w:ascii="Arial" w:cs="Arial" w:eastAsia="Arial" w:hAnsi="Arial"/>
          <w:sz w:val="18"/>
          <w:szCs w:val="18"/>
          <w:color w:val="auto"/>
        </w:rPr>
      </w:pPr>
    </w:p>
    <w:p>
      <w:pPr>
        <w:ind w:firstLine="656"/>
        <w:spacing w:after="0" w:line="282" w:lineRule="auto"/>
        <w:tabs>
          <w:tab w:leader="none" w:pos="1426" w:val="left"/>
        </w:tabs>
        <w:numPr>
          <w:ilvl w:val="0"/>
          <w:numId w:val="289"/>
        </w:numPr>
        <w:rPr>
          <w:rFonts w:ascii="Arial" w:cs="Arial" w:eastAsia="Arial" w:hAnsi="Arial"/>
          <w:sz w:val="18"/>
          <w:szCs w:val="18"/>
          <w:color w:val="auto"/>
        </w:rPr>
      </w:pPr>
      <w:r>
        <w:rPr>
          <w:rFonts w:ascii="Arial" w:cs="Arial" w:eastAsia="Arial" w:hAnsi="Arial"/>
          <w:sz w:val="18"/>
          <w:szCs w:val="18"/>
          <w:b w:val="1"/>
          <w:bCs w:val="1"/>
          <w:u w:val="single" w:color="auto"/>
          <w:color w:val="auto"/>
        </w:rPr>
        <w:t>Seller’s Closing Deliveries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Seller shall deliver to the Title Company, for delivery to Purchaser, the following items,</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in a form and substance reasonably satisfactory to Purchaser:</w:t>
      </w:r>
    </w:p>
    <w:p>
      <w:pPr>
        <w:spacing w:after="0" w:line="165" w:lineRule="exact"/>
        <w:rPr>
          <w:rFonts w:ascii="Arial" w:cs="Arial" w:eastAsia="Arial" w:hAnsi="Arial"/>
          <w:sz w:val="18"/>
          <w:szCs w:val="18"/>
          <w:color w:val="auto"/>
        </w:rPr>
      </w:pPr>
    </w:p>
    <w:p>
      <w:pPr>
        <w:ind w:left="2000" w:hanging="696"/>
        <w:spacing w:after="0"/>
        <w:tabs>
          <w:tab w:leader="none" w:pos="200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Plat recorded in the ROHC.</w:t>
      </w:r>
    </w:p>
    <w:p>
      <w:pPr>
        <w:spacing w:after="0" w:line="221" w:lineRule="exact"/>
        <w:rPr>
          <w:rFonts w:ascii="Arial" w:cs="Arial" w:eastAsia="Arial" w:hAnsi="Arial"/>
          <w:sz w:val="18"/>
          <w:szCs w:val="18"/>
          <w:color w:val="auto"/>
        </w:rPr>
      </w:pPr>
    </w:p>
    <w:p>
      <w:pPr>
        <w:jc w:val="both"/>
        <w:ind w:left="660" w:firstLine="644"/>
        <w:spacing w:after="0" w:line="266" w:lineRule="auto"/>
        <w:tabs>
          <w:tab w:leader="none" w:pos="2015"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A limited warranty deed (“Deed”)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b w:val="1"/>
          <w:bCs w:val="1"/>
          <w:color w:val="auto"/>
        </w:rPr>
        <w:t>,</w:t>
      </w:r>
      <w:r>
        <w:rPr>
          <w:rFonts w:ascii="Arial" w:cs="Arial" w:eastAsia="Arial" w:hAnsi="Arial"/>
          <w:sz w:val="18"/>
          <w:szCs w:val="18"/>
          <w:color w:val="auto"/>
        </w:rPr>
        <w:t xml:space="preserve"> conveying to Purchaser title to the Property subject only to the lien of ad valorem property taxes not yet due and payable, the Permitted Exceptions, and any other exceptions to title approved by Purchaser in its sole discretion, executed and acknowledged by Seller and in recordable form;</w:t>
      </w:r>
    </w:p>
    <w:p>
      <w:pPr>
        <w:spacing w:after="0" w:line="179" w:lineRule="exact"/>
        <w:rPr>
          <w:rFonts w:ascii="Arial" w:cs="Arial" w:eastAsia="Arial" w:hAnsi="Arial"/>
          <w:sz w:val="18"/>
          <w:szCs w:val="18"/>
          <w:color w:val="auto"/>
        </w:rPr>
      </w:pPr>
    </w:p>
    <w:p>
      <w:pPr>
        <w:jc w:val="both"/>
        <w:ind w:left="660" w:firstLine="644"/>
        <w:spacing w:after="0" w:line="296" w:lineRule="auto"/>
        <w:tabs>
          <w:tab w:leader="none" w:pos="2079"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A permanent and perpetual non-exclusive easement in form and content to be reviewed and accepted by Purchaser and Seller prior to the end of the Inspection Period (or Investigation Period Extension), from Seller’s affiliate, West End Loading LLC (“Seller Affiliate”) (and other property owners, if necessary) granting vehicular and truck access between the Property and the River Barge Crane (“Crane”) as shown on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and also providing for Purchaser’s periodic use and operation, without charge, of the Crane and the adjacent pier and for the maintenance, repair and replacement thereof by the Seller Affiliate and its successors in interest (“Crane Easement”).</w:t>
      </w:r>
    </w:p>
    <w:p>
      <w:pPr>
        <w:spacing w:after="0" w:line="161" w:lineRule="exact"/>
        <w:rPr>
          <w:rFonts w:ascii="Arial" w:cs="Arial" w:eastAsia="Arial" w:hAnsi="Arial"/>
          <w:sz w:val="16"/>
          <w:szCs w:val="16"/>
          <w:color w:val="auto"/>
        </w:rPr>
      </w:pPr>
    </w:p>
    <w:p>
      <w:pPr>
        <w:jc w:val="both"/>
        <w:ind w:left="660" w:firstLine="644"/>
        <w:spacing w:after="0" w:line="259" w:lineRule="auto"/>
        <w:tabs>
          <w:tab w:leader="none" w:pos="2349"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 mutual environmental indemnity agreement (the “Mutual Indemnity Agreement”) (which also is to be executed by Purchaser), running with the land, under which Seller and Purchaser mutually indemnify each other with respect to losses, costs and damages caused by the activities of Seller or Purchaser on their respective properties, which both (i) adversely affect the other’s property, and (ii) are in violation of the Land Use Restrictions, the Site Management Plan or the Brownfield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2" w:name="page243"/>
    <w:bookmarkEnd w:id="242"/>
    <w:p>
      <w:pPr>
        <w:jc w:val="both"/>
        <w:ind w:left="-460" w:firstLine="644"/>
        <w:spacing w:after="0" w:line="263" w:lineRule="auto"/>
        <w:tabs>
          <w:tab w:leader="none" w:pos="97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All easements, covenants, and restrictions contemplated in this Agreement, or specified in the Plat, or necessary to remove, correct, remedy, or insure over, the Title Objections and provide for stormwater drainage and access which Seller is obligated to resolve with Purchaser’s reasonable cooperation.</w:t>
      </w:r>
    </w:p>
    <w:p>
      <w:pPr>
        <w:spacing w:after="0" w:line="183" w:lineRule="exact"/>
        <w:rPr>
          <w:rFonts w:ascii="Arial" w:cs="Arial" w:eastAsia="Arial" w:hAnsi="Arial"/>
          <w:sz w:val="18"/>
          <w:szCs w:val="18"/>
          <w:color w:val="auto"/>
        </w:rPr>
      </w:pPr>
    </w:p>
    <w:p>
      <w:pPr>
        <w:jc w:val="both"/>
        <w:ind w:left="-460" w:firstLine="644"/>
        <w:spacing w:after="0" w:line="273" w:lineRule="auto"/>
        <w:tabs>
          <w:tab w:leader="none" w:pos="865"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At Purchaser’s expense, an ALTA owner’s policy of title insurance from the Title Company based on the Title Commitment that is reasonably acceptable to Purchaser, in an amount not less than the Purchase Price, insuring Purchaser as owner of fee simple, indefeasible title to the Property and the appurtenant Crane Easement, with full extended coverage over all general exceptions, free and clear of any and all liens and other encumbrances, and subject only to the lien of ad valorem property taxes not yet due and payable, the Permitted Exceptions, and any exceptions to title approved by Purchaser in its sole discretion and such other endorsements ordered and paid for by Purchaser except as required to be paid by Seller to cure or remedy any Title Objections (the </w:t>
      </w:r>
      <w:r>
        <w:rPr>
          <w:rFonts w:ascii="Arial" w:cs="Arial" w:eastAsia="Arial" w:hAnsi="Arial"/>
          <w:sz w:val="17"/>
          <w:szCs w:val="17"/>
          <w:b w:val="1"/>
          <w:bCs w:val="1"/>
          <w:color w:val="auto"/>
        </w:rPr>
        <w:t>“Title Policy”);</w:t>
      </w:r>
    </w:p>
    <w:p>
      <w:pPr>
        <w:spacing w:after="0" w:line="177" w:lineRule="exact"/>
        <w:rPr>
          <w:rFonts w:ascii="Arial" w:cs="Arial" w:eastAsia="Arial" w:hAnsi="Arial"/>
          <w:sz w:val="17"/>
          <w:szCs w:val="17"/>
          <w:color w:val="auto"/>
        </w:rPr>
      </w:pPr>
    </w:p>
    <w:p>
      <w:pPr>
        <w:ind w:left="-460" w:firstLine="644"/>
        <w:spacing w:after="0" w:line="342" w:lineRule="auto"/>
        <w:tabs>
          <w:tab w:leader="none" w:pos="84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Such evidence as the Title Company may reasonably require as to the authority of the person or persons executing documents on behalf of Seller or to satisfy all other requirements set forth in the Title Commitment which are reasonably required by the Title Company;</w:t>
      </w:r>
    </w:p>
    <w:p>
      <w:pPr>
        <w:spacing w:after="0" w:line="123" w:lineRule="exact"/>
        <w:rPr>
          <w:rFonts w:ascii="Arial" w:cs="Arial" w:eastAsia="Arial" w:hAnsi="Arial"/>
          <w:sz w:val="16"/>
          <w:szCs w:val="16"/>
          <w:color w:val="auto"/>
        </w:rPr>
      </w:pPr>
    </w:p>
    <w:p>
      <w:pPr>
        <w:ind w:left="-460" w:right="20" w:firstLine="644"/>
        <w:spacing w:after="0" w:line="277" w:lineRule="auto"/>
        <w:tabs>
          <w:tab w:leader="none" w:pos="103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 affidavit of ownership as reasonably required by the Title Company in order to induce the Title Company to omit the standard exceptions from its policy of owner’s title insurance;</w:t>
      </w:r>
    </w:p>
    <w:p>
      <w:pPr>
        <w:spacing w:after="0" w:line="170" w:lineRule="exact"/>
        <w:rPr>
          <w:rFonts w:ascii="Arial" w:cs="Arial" w:eastAsia="Arial" w:hAnsi="Arial"/>
          <w:sz w:val="18"/>
          <w:szCs w:val="18"/>
          <w:color w:val="auto"/>
        </w:rPr>
      </w:pPr>
    </w:p>
    <w:p>
      <w:pPr>
        <w:ind w:left="-460" w:right="20" w:firstLine="644"/>
        <w:spacing w:after="0" w:line="308" w:lineRule="auto"/>
        <w:tabs>
          <w:tab w:leader="none" w:pos="86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 certificate in such form as may be required by the Internal Revenue Service pursuant to Section 1445 of the Internal Revenue Code of 1986, as amended, or the regulations issued pursuant thereto, certifying as to the non-foreign status of a transferor;</w:t>
      </w:r>
    </w:p>
    <w:p>
      <w:pPr>
        <w:spacing w:after="0" w:line="146" w:lineRule="exact"/>
        <w:rPr>
          <w:rFonts w:ascii="Arial" w:cs="Arial" w:eastAsia="Arial" w:hAnsi="Arial"/>
          <w:sz w:val="17"/>
          <w:szCs w:val="17"/>
          <w:color w:val="auto"/>
        </w:rPr>
      </w:pPr>
    </w:p>
    <w:p>
      <w:pPr>
        <w:ind w:left="900" w:hanging="716"/>
        <w:spacing w:after="0"/>
        <w:tabs>
          <w:tab w:leader="none" w:pos="9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Terminations of any lease or other occupancy agreement affecting the Property;</w:t>
      </w:r>
    </w:p>
    <w:p>
      <w:pPr>
        <w:spacing w:after="0" w:line="225" w:lineRule="exact"/>
        <w:rPr>
          <w:rFonts w:ascii="Arial" w:cs="Arial" w:eastAsia="Arial" w:hAnsi="Arial"/>
          <w:sz w:val="18"/>
          <w:szCs w:val="18"/>
          <w:color w:val="auto"/>
        </w:rPr>
      </w:pPr>
    </w:p>
    <w:p>
      <w:pPr>
        <w:ind w:left="880" w:hanging="696"/>
        <w:spacing w:after="0"/>
        <w:tabs>
          <w:tab w:leader="none" w:pos="8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Possession and occupancy of the Property to Purchaser;</w:t>
      </w:r>
    </w:p>
    <w:p>
      <w:pPr>
        <w:spacing w:after="0" w:line="225" w:lineRule="exact"/>
        <w:rPr>
          <w:sz w:val="20"/>
          <w:szCs w:val="20"/>
          <w:color w:val="auto"/>
        </w:rPr>
      </w:pPr>
    </w:p>
    <w:p>
      <w:pPr>
        <w:jc w:val="both"/>
        <w:ind w:left="-460" w:firstLine="644"/>
        <w:spacing w:after="0" w:line="259" w:lineRule="auto"/>
        <w:tabs>
          <w:tab w:leader="none" w:pos="96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 assignment and delivery of all claims, guaranties, warranties, indemnities and all other rights, if any, that Seller may have against suppliers, laborers, materialmen, contractors or subcontractors arising out of or in connection with the installation, construction and maintenance of the improvements, fixtures and personal property on or about the Property, together with the originals of all such guaranties, warranties and such similar instruments and copies of any prior assignments thereof to Seller;</w:t>
      </w:r>
    </w:p>
    <w:p>
      <w:pPr>
        <w:spacing w:after="0" w:line="187" w:lineRule="exact"/>
        <w:rPr>
          <w:sz w:val="20"/>
          <w:szCs w:val="20"/>
          <w:color w:val="auto"/>
        </w:rPr>
      </w:pPr>
    </w:p>
    <w:p>
      <w:pPr>
        <w:jc w:val="both"/>
        <w:ind w:left="-460" w:firstLine="644"/>
        <w:spacing w:after="0" w:line="259" w:lineRule="auto"/>
        <w:tabs>
          <w:tab w:leader="none" w:pos="99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 assignment of all Property Reports, if any, including all plans and specifications relating to the Property and all licenses, permits, and certificates of occupancy, or such other comparable certificates or documents issued by the appropriate governmental authority, with respect to the Property or any part of the Property or the operation thereof as well as any other documentation as may be required by any statute, law, ordinance or regulation to allow the consummation of this sale;</w:t>
      </w:r>
    </w:p>
    <w:p>
      <w:pPr>
        <w:spacing w:after="0" w:line="3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43" w:name="page244"/>
    <w:bookmarkEnd w:id="243"/>
    <w:p>
      <w:pPr>
        <w:ind w:left="1344" w:hanging="696"/>
        <w:spacing w:after="0"/>
        <w:tabs>
          <w:tab w:leader="none" w:pos="134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 limited warranty bill of sale in a form and substance reasonably acceptable to Purchaser;</w:t>
      </w:r>
    </w:p>
    <w:p>
      <w:pPr>
        <w:spacing w:after="0" w:line="225" w:lineRule="exact"/>
        <w:rPr>
          <w:rFonts w:ascii="Arial" w:cs="Arial" w:eastAsia="Arial" w:hAnsi="Arial"/>
          <w:sz w:val="18"/>
          <w:szCs w:val="18"/>
          <w:color w:val="auto"/>
        </w:rPr>
      </w:pPr>
    </w:p>
    <w:p>
      <w:pPr>
        <w:jc w:val="both"/>
        <w:ind w:left="4" w:firstLine="644"/>
        <w:spacing w:after="0" w:line="255" w:lineRule="auto"/>
        <w:tabs>
          <w:tab w:leader="none" w:pos="1481"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 non-exclusive easement expiring June 30, 2023, in form and content reasonably acceptable to Purchaser, from Seller and Seller’s affiliates having ownership interests in the TDEC regulatory sites which are subject to the Site Management Plan (collectively, the “Site”) granting access to and use of the Site for the purposes described in the Site Management Plan, including the use of other portions of the Site, in locations reasonably acceptable to Seller, for the relocation of soils removed from the Property as a result of grading or excavation activities from time to time, in accordance with the Site Management Plan and in coordination with Seller (or its affiliates) and TDEC (the “Environmental Easement”); and</w:t>
      </w:r>
    </w:p>
    <w:p>
      <w:pPr>
        <w:spacing w:after="0" w:line="192" w:lineRule="exact"/>
        <w:rPr>
          <w:rFonts w:ascii="Arial" w:cs="Arial" w:eastAsia="Arial" w:hAnsi="Arial"/>
          <w:sz w:val="18"/>
          <w:szCs w:val="18"/>
          <w:color w:val="auto"/>
        </w:rPr>
      </w:pPr>
    </w:p>
    <w:p>
      <w:pPr>
        <w:ind w:left="4" w:firstLine="644"/>
        <w:spacing w:after="0" w:line="277" w:lineRule="auto"/>
        <w:tabs>
          <w:tab w:leader="none" w:pos="1471" w:val="left"/>
        </w:tabs>
        <w:numPr>
          <w:ilvl w:val="1"/>
          <w:numId w:val="293"/>
        </w:numPr>
        <w:rPr>
          <w:rFonts w:ascii="Arial" w:cs="Arial" w:eastAsia="Arial" w:hAnsi="Arial"/>
          <w:sz w:val="18"/>
          <w:szCs w:val="18"/>
          <w:color w:val="auto"/>
        </w:rPr>
      </w:pPr>
      <w:r>
        <w:rPr>
          <w:rFonts w:ascii="Arial" w:cs="Arial" w:eastAsia="Arial" w:hAnsi="Arial"/>
          <w:sz w:val="18"/>
          <w:szCs w:val="18"/>
          <w:color w:val="auto"/>
        </w:rPr>
        <w:t>Such other documents, including a signed Closing Statement, as are necessary and appropriate for the consummation of this transaction by Seller or reasonably requested by Purchaser or the Title Company.</w:t>
      </w:r>
    </w:p>
    <w:p>
      <w:pPr>
        <w:spacing w:after="0" w:line="166" w:lineRule="exact"/>
        <w:rPr>
          <w:rFonts w:ascii="Arial" w:cs="Arial" w:eastAsia="Arial" w:hAnsi="Arial"/>
          <w:sz w:val="18"/>
          <w:szCs w:val="18"/>
          <w:color w:val="auto"/>
        </w:rPr>
      </w:pPr>
    </w:p>
    <w:p>
      <w:pPr>
        <w:ind w:left="684" w:hanging="684"/>
        <w:spacing w:after="0"/>
        <w:tabs>
          <w:tab w:leader="none" w:pos="684" w:val="left"/>
        </w:tabs>
        <w:numPr>
          <w:ilvl w:val="0"/>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Purchaser’s Closing Deliveries</w:t>
      </w:r>
      <w:r>
        <w:rPr>
          <w:rFonts w:ascii="Arial" w:cs="Arial" w:eastAsia="Arial" w:hAnsi="Arial"/>
          <w:sz w:val="18"/>
          <w:szCs w:val="18"/>
          <w:b w:val="1"/>
          <w:bCs w:val="1"/>
          <w:color w:val="auto"/>
        </w:rPr>
        <w:t xml:space="preserve">. </w:t>
      </w:r>
      <w:r>
        <w:rPr>
          <w:rFonts w:ascii="Arial" w:cs="Arial" w:eastAsia="Arial" w:hAnsi="Arial"/>
          <w:sz w:val="18"/>
          <w:szCs w:val="18"/>
          <w:color w:val="auto"/>
        </w:rPr>
        <w:t>At Closing, Purchaser shall deliver to the Title Company:</w:t>
      </w:r>
    </w:p>
    <w:p>
      <w:pPr>
        <w:spacing w:after="0" w:line="229" w:lineRule="exact"/>
        <w:rPr>
          <w:rFonts w:ascii="Arial" w:cs="Arial" w:eastAsia="Arial" w:hAnsi="Arial"/>
          <w:sz w:val="18"/>
          <w:szCs w:val="18"/>
          <w:color w:val="auto"/>
        </w:rPr>
      </w:pPr>
    </w:p>
    <w:p>
      <w:pPr>
        <w:ind w:left="1324" w:hanging="676"/>
        <w:spacing w:after="0"/>
        <w:tabs>
          <w:tab w:leader="none" w:pos="132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 agreement in form reasonably acceptable to Seller:</w:t>
      </w:r>
    </w:p>
    <w:p>
      <w:pPr>
        <w:spacing w:after="0" w:line="225" w:lineRule="exact"/>
        <w:rPr>
          <w:rFonts w:ascii="Arial" w:cs="Arial" w:eastAsia="Arial" w:hAnsi="Arial"/>
          <w:sz w:val="18"/>
          <w:szCs w:val="18"/>
          <w:color w:val="auto"/>
        </w:rPr>
      </w:pPr>
    </w:p>
    <w:p>
      <w:pPr>
        <w:jc w:val="both"/>
        <w:ind w:left="644" w:firstLine="1300"/>
        <w:spacing w:after="0" w:line="286" w:lineRule="auto"/>
        <w:tabs>
          <w:tab w:leader="none" w:pos="2712" w:val="left"/>
        </w:tabs>
        <w:numPr>
          <w:ilvl w:val="2"/>
          <w:numId w:val="294"/>
        </w:numPr>
        <w:rPr>
          <w:rFonts w:ascii="Arial" w:cs="Arial" w:eastAsia="Arial" w:hAnsi="Arial"/>
          <w:sz w:val="17"/>
          <w:szCs w:val="17"/>
          <w:color w:val="auto"/>
        </w:rPr>
      </w:pPr>
      <w:r>
        <w:rPr>
          <w:rFonts w:ascii="Arial" w:cs="Arial" w:eastAsia="Arial" w:hAnsi="Arial"/>
          <w:sz w:val="17"/>
          <w:szCs w:val="17"/>
          <w:color w:val="auto"/>
        </w:rPr>
        <w:t>not to amend (so long as Seller owns any parcel of real property adjacent to the Property) the Land Use Restrictions, the Site Management Plan or the Brownfield Agreement in any manner that would affect Seller’s remaining property which is subject thereto, without Seller’s prior written consent, which won’t be unreasonably withheld, conditioned or delayed;</w:t>
      </w:r>
    </w:p>
    <w:p>
      <w:pPr>
        <w:spacing w:after="0" w:line="165" w:lineRule="exact"/>
        <w:rPr>
          <w:rFonts w:ascii="Arial" w:cs="Arial" w:eastAsia="Arial" w:hAnsi="Arial"/>
          <w:sz w:val="17"/>
          <w:szCs w:val="17"/>
          <w:color w:val="auto"/>
        </w:rPr>
      </w:pPr>
    </w:p>
    <w:p>
      <w:pPr>
        <w:jc w:val="both"/>
        <w:ind w:left="644" w:firstLine="1300"/>
        <w:spacing w:after="0" w:line="279" w:lineRule="auto"/>
        <w:tabs>
          <w:tab w:leader="none" w:pos="2808" w:val="left"/>
        </w:tabs>
        <w:numPr>
          <w:ilvl w:val="2"/>
          <w:numId w:val="294"/>
        </w:numPr>
        <w:rPr>
          <w:rFonts w:ascii="Arial" w:cs="Arial" w:eastAsia="Arial" w:hAnsi="Arial"/>
          <w:sz w:val="17"/>
          <w:szCs w:val="17"/>
          <w:color w:val="auto"/>
        </w:rPr>
      </w:pPr>
      <w:r>
        <w:rPr>
          <w:rFonts w:ascii="Arial" w:cs="Arial" w:eastAsia="Arial" w:hAnsi="Arial"/>
          <w:sz w:val="17"/>
          <w:szCs w:val="17"/>
          <w:color w:val="auto"/>
        </w:rPr>
        <w:t>to pay TDEC or reimburse Seller, as applicable, for post-closing fees charged by TDEC for approvals, oversight and administration of the Land Use Restrictions, the Site Management Plan and the Brownfield Agreement with respect to the Property (but not Seller’s remaining property) and any penalties imposed by TDEC with respect to the Property which are caused by activities of Purchaser or Purchaser’s agents, tenants, contractors or other representatives;</w:t>
      </w:r>
    </w:p>
    <w:p>
      <w:pPr>
        <w:spacing w:after="0" w:line="171" w:lineRule="exact"/>
        <w:rPr>
          <w:rFonts w:ascii="Arial" w:cs="Arial" w:eastAsia="Arial" w:hAnsi="Arial"/>
          <w:sz w:val="17"/>
          <w:szCs w:val="17"/>
          <w:color w:val="auto"/>
        </w:rPr>
      </w:pPr>
    </w:p>
    <w:p>
      <w:pPr>
        <w:ind w:left="1344" w:hanging="696"/>
        <w:spacing w:after="0"/>
        <w:tabs>
          <w:tab w:leader="none" w:pos="134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Mutual Indemnity Agreement;</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61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 agreement that, provided that Seller has not breached its representations contained in Section 10 of this Agreement, Purchaser will not bring or initiate any claim for damages against Seller with respect to Hazardous Materials which are located on or under the Property as of the date of the Closing;</w:t>
      </w:r>
    </w:p>
    <w:p>
      <w:pPr>
        <w:spacing w:after="0" w:line="35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244" w:name="page245"/>
    <w:bookmarkEnd w:id="244"/>
    <w:p>
      <w:pPr>
        <w:ind w:left="660" w:right="20" w:firstLine="644"/>
        <w:spacing w:after="0" w:line="277" w:lineRule="auto"/>
        <w:tabs>
          <w:tab w:leader="none" w:pos="201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for disbursement to Seller, the Purchase Price, as adjusted by the Deposit and other credits and debits as set forth on the Closing Statement to be prepared by the Title Company; and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217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such other documents, including a signed Closing Statement, as are necessary and appropriate for the consummation of this transaction by Purchaser.</w:t>
      </w:r>
    </w:p>
    <w:p>
      <w:pPr>
        <w:spacing w:after="0" w:line="166" w:lineRule="exact"/>
        <w:rPr>
          <w:rFonts w:ascii="Arial" w:cs="Arial" w:eastAsia="Arial" w:hAnsi="Arial"/>
          <w:sz w:val="18"/>
          <w:szCs w:val="18"/>
          <w:color w:val="auto"/>
        </w:rPr>
      </w:pPr>
    </w:p>
    <w:p>
      <w:pPr>
        <w:jc w:val="both"/>
        <w:ind w:firstLine="656"/>
        <w:spacing w:after="0" w:line="268" w:lineRule="auto"/>
        <w:tabs>
          <w:tab w:leader="none" w:pos="1386" w:val="left"/>
        </w:tabs>
        <w:numPr>
          <w:ilvl w:val="0"/>
          <w:numId w:val="296"/>
        </w:numPr>
        <w:rPr>
          <w:rFonts w:ascii="Arial" w:cs="Arial" w:eastAsia="Arial" w:hAnsi="Arial"/>
          <w:sz w:val="17"/>
          <w:szCs w:val="17"/>
          <w:color w:val="auto"/>
        </w:rPr>
      </w:pPr>
      <w:r>
        <w:rPr>
          <w:rFonts w:ascii="Arial" w:cs="Arial" w:eastAsia="Arial" w:hAnsi="Arial"/>
          <w:sz w:val="17"/>
          <w:szCs w:val="17"/>
          <w:b w:val="1"/>
          <w:bCs w:val="1"/>
          <w:u w:val="single" w:color="auto"/>
          <w:color w:val="auto"/>
        </w:rPr>
        <w:t>Closing Costs and Prorations</w:t>
      </w:r>
      <w:r>
        <w:rPr>
          <w:rFonts w:ascii="Arial" w:cs="Arial" w:eastAsia="Arial" w:hAnsi="Arial"/>
          <w:sz w:val="17"/>
          <w:szCs w:val="17"/>
          <w:b w:val="1"/>
          <w:bCs w:val="1"/>
          <w:color w:val="auto"/>
        </w:rPr>
        <w:t xml:space="preserve">. </w:t>
      </w:r>
      <w:r>
        <w:rPr>
          <w:rFonts w:ascii="Arial" w:cs="Arial" w:eastAsia="Arial" w:hAnsi="Arial"/>
          <w:sz w:val="17"/>
          <w:szCs w:val="17"/>
          <w:color w:val="auto"/>
        </w:rPr>
        <w:t>Seller shall pay</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w:t>
      </w:r>
      <w:r>
        <w:rPr>
          <w:rFonts w:ascii="Arial" w:cs="Arial" w:eastAsia="Arial" w:hAnsi="Arial"/>
          <w:sz w:val="17"/>
          <w:szCs w:val="17"/>
          <w:b w:val="1"/>
          <w:bCs w:val="1"/>
          <w:color w:val="auto"/>
        </w:rPr>
        <w:t xml:space="preserve"> </w:t>
      </w:r>
      <w:r>
        <w:rPr>
          <w:rFonts w:ascii="Arial" w:cs="Arial" w:eastAsia="Arial" w:hAnsi="Arial"/>
          <w:sz w:val="17"/>
          <w:szCs w:val="17"/>
          <w:color w:val="auto"/>
        </w:rPr>
        <w:t>all county and state transfer and conveyance taxes assessed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Closing and recording the Deed, and all recording costs for recordation of the Deed, the Crane Easement, and any easements, covenants, and restrictions contemplated under this Agreement or necessary to remove, correct, or remedy, the Title Objections which Seller is obligated to resolve, </w:t>
      </w:r>
      <w:r>
        <w:rPr>
          <w:rFonts w:ascii="Arial" w:cs="Arial" w:eastAsia="Arial" w:hAnsi="Arial"/>
          <w:sz w:val="17"/>
          <w:szCs w:val="17"/>
          <w:i w:val="1"/>
          <w:iCs w:val="1"/>
          <w:color w:val="auto"/>
        </w:rPr>
        <w:t>(b)</w:t>
      </w:r>
      <w:r>
        <w:rPr>
          <w:rFonts w:ascii="Arial" w:cs="Arial" w:eastAsia="Arial" w:hAnsi="Arial"/>
          <w:sz w:val="17"/>
          <w:szCs w:val="17"/>
          <w:color w:val="auto"/>
        </w:rPr>
        <w:t xml:space="preserve"> any endorsements to the Title Policy, if any, necessary to cure Title Objections, </w:t>
      </w:r>
      <w:r>
        <w:rPr>
          <w:rFonts w:ascii="Arial" w:cs="Arial" w:eastAsia="Arial" w:hAnsi="Arial"/>
          <w:sz w:val="17"/>
          <w:szCs w:val="17"/>
          <w:i w:val="1"/>
          <w:iCs w:val="1"/>
          <w:color w:val="auto"/>
        </w:rPr>
        <w:t>(c)</w:t>
      </w:r>
      <w:r>
        <w:rPr>
          <w:rFonts w:ascii="Arial" w:cs="Arial" w:eastAsia="Arial" w:hAnsi="Arial"/>
          <w:sz w:val="17"/>
          <w:szCs w:val="17"/>
          <w:color w:val="auto"/>
        </w:rPr>
        <w:t xml:space="preserve"> the cost of preparation and recording of the Plat, and </w:t>
      </w:r>
      <w:r>
        <w:rPr>
          <w:rFonts w:ascii="Arial" w:cs="Arial" w:eastAsia="Arial" w:hAnsi="Arial"/>
          <w:sz w:val="17"/>
          <w:szCs w:val="17"/>
          <w:i w:val="1"/>
          <w:iCs w:val="1"/>
          <w:color w:val="auto"/>
        </w:rPr>
        <w:t>(d)</w:t>
      </w:r>
      <w:r>
        <w:rPr>
          <w:rFonts w:ascii="Arial" w:cs="Arial" w:eastAsia="Arial" w:hAnsi="Arial"/>
          <w:sz w:val="17"/>
          <w:szCs w:val="17"/>
          <w:color w:val="auto"/>
        </w:rPr>
        <w:t xml:space="preserve"> one half (½) of the Title Company’s closing fee in connection with this transaction. Purchaser shall pay </w:t>
      </w:r>
      <w:r>
        <w:rPr>
          <w:rFonts w:ascii="Arial" w:cs="Arial" w:eastAsia="Arial" w:hAnsi="Arial"/>
          <w:sz w:val="17"/>
          <w:szCs w:val="17"/>
          <w:i w:val="1"/>
          <w:iCs w:val="1"/>
          <w:color w:val="auto"/>
        </w:rPr>
        <w:t>(i)</w:t>
      </w:r>
      <w:r>
        <w:rPr>
          <w:rFonts w:ascii="Arial" w:cs="Arial" w:eastAsia="Arial" w:hAnsi="Arial"/>
          <w:sz w:val="17"/>
          <w:szCs w:val="17"/>
          <w:color w:val="auto"/>
        </w:rPr>
        <w:t xml:space="preserve"> the cost of the Title Commitment and the Title Policy, </w:t>
      </w:r>
      <w:r>
        <w:rPr>
          <w:rFonts w:ascii="Arial" w:cs="Arial" w:eastAsia="Arial" w:hAnsi="Arial"/>
          <w:sz w:val="17"/>
          <w:szCs w:val="17"/>
          <w:i w:val="1"/>
          <w:iCs w:val="1"/>
          <w:color w:val="auto"/>
        </w:rPr>
        <w:t>(ii)</w:t>
      </w:r>
      <w:r>
        <w:rPr>
          <w:rFonts w:ascii="Arial" w:cs="Arial" w:eastAsia="Arial" w:hAnsi="Arial"/>
          <w:sz w:val="17"/>
          <w:szCs w:val="17"/>
          <w:color w:val="auto"/>
        </w:rPr>
        <w:t xml:space="preserve"> the cost of the Survey, and </w:t>
      </w:r>
      <w:r>
        <w:rPr>
          <w:rFonts w:ascii="Arial" w:cs="Arial" w:eastAsia="Arial" w:hAnsi="Arial"/>
          <w:sz w:val="17"/>
          <w:szCs w:val="17"/>
          <w:i w:val="1"/>
          <w:iCs w:val="1"/>
          <w:color w:val="auto"/>
        </w:rPr>
        <w:t>(iii)</w:t>
      </w:r>
      <w:r>
        <w:rPr>
          <w:rFonts w:ascii="Arial" w:cs="Arial" w:eastAsia="Arial" w:hAnsi="Arial"/>
          <w:sz w:val="17"/>
          <w:szCs w:val="17"/>
          <w:color w:val="auto"/>
        </w:rPr>
        <w:t xml:space="preserve"> one half (½) of the Title Company’s closing fee in connection with this transaction. Seller shall be responsible for and pay all past due taxes at or prior to Closing. Taxes and installments of special assessments for the year of Closing shall be prorated as of the date of Closing on a calendar year basis and shall be based on taxes coming due and payable in the calendar year of Closing. If the actual assessed value or tax rate for any taxes or assessments are not known on the date of Closing, the taxes shall be prorated based upon the most recently published tax rates and assessments for the Property. Should Seller appeal or begin the appeal process for any taxes or fees for any time period prior to the Closing, Seller shall be entitled to such funds should Seller’s appeal be successful. Seller shall be solely and exclusively responsible for payment in full of all special assessments against the Property due prior to Closing, if any. Other regular and customary costs and expenses related to the Property shall also be prorated based on the date of Closing, including, without limitation, water, sewer, utility charges and other payables. To the extent appropriate for the adjustment of the foregoing amounts to achieve the requirements of this Section 9, the terms of this Section 9 shall survive Closing. Each Party shall pay its own attorneys’ fees in connection with this transaction.</w:t>
      </w:r>
    </w:p>
    <w:p>
      <w:pPr>
        <w:spacing w:after="0" w:line="181" w:lineRule="exact"/>
        <w:rPr>
          <w:rFonts w:ascii="Arial" w:cs="Arial" w:eastAsia="Arial" w:hAnsi="Arial"/>
          <w:sz w:val="17"/>
          <w:szCs w:val="17"/>
          <w:color w:val="auto"/>
        </w:rPr>
      </w:pPr>
    </w:p>
    <w:p>
      <w:pPr>
        <w:ind w:firstLine="656"/>
        <w:spacing w:after="0" w:line="282" w:lineRule="auto"/>
        <w:tabs>
          <w:tab w:leader="none" w:pos="1386" w:val="left"/>
        </w:tabs>
        <w:numPr>
          <w:ilvl w:val="0"/>
          <w:numId w:val="296"/>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Seller</w:t>
      </w:r>
      <w:r>
        <w:rPr>
          <w:rFonts w:ascii="Arial" w:cs="Arial" w:eastAsia="Arial" w:hAnsi="Arial"/>
          <w:sz w:val="18"/>
          <w:szCs w:val="18"/>
          <w:b w:val="1"/>
          <w:bCs w:val="1"/>
          <w:color w:val="auto"/>
        </w:rPr>
        <w:t xml:space="preserve">. </w:t>
      </w:r>
      <w:r>
        <w:rPr>
          <w:rFonts w:ascii="Arial" w:cs="Arial" w:eastAsia="Arial" w:hAnsi="Arial"/>
          <w:sz w:val="18"/>
          <w:szCs w:val="18"/>
          <w:color w:val="auto"/>
        </w:rPr>
        <w:t>Seller hereby covenants, represents and warrants to Purchaser, which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shall survive Closing for a period of one (1) year, that as of the Effective Date, and on the date of Closing:</w:t>
      </w:r>
    </w:p>
    <w:p>
      <w:pPr>
        <w:spacing w:after="0" w:line="165" w:lineRule="exact"/>
        <w:rPr>
          <w:rFonts w:ascii="Arial" w:cs="Arial" w:eastAsia="Arial" w:hAnsi="Arial"/>
          <w:sz w:val="18"/>
          <w:szCs w:val="18"/>
          <w:color w:val="auto"/>
        </w:rPr>
      </w:pPr>
    </w:p>
    <w:p>
      <w:pPr>
        <w:jc w:val="both"/>
        <w:ind w:left="660" w:firstLine="644"/>
        <w:spacing w:after="0" w:line="279" w:lineRule="auto"/>
        <w:tabs>
          <w:tab w:leader="none" w:pos="2085" w:val="left"/>
        </w:tabs>
        <w:numPr>
          <w:ilvl w:val="1"/>
          <w:numId w:val="296"/>
        </w:numPr>
        <w:rPr>
          <w:rFonts w:ascii="Arial" w:cs="Arial" w:eastAsia="Arial" w:hAnsi="Arial"/>
          <w:sz w:val="17"/>
          <w:szCs w:val="17"/>
          <w:color w:val="auto"/>
        </w:rPr>
      </w:pPr>
      <w:r>
        <w:rPr>
          <w:rFonts w:ascii="Arial" w:cs="Arial" w:eastAsia="Arial" w:hAnsi="Arial"/>
          <w:sz w:val="17"/>
          <w:szCs w:val="17"/>
          <w:color w:val="auto"/>
        </w:rPr>
        <w:t>Seller has the full right, power and authority to enter into this Agreement and to sell the Property in accordance with the terms of this Agreement. Seller has the full right, power and authority to enter into all of the agreements, assignments and other documents contemplated by this Agreement. The individuals signing this Agreement and all other documents executed or to be executed pursuant hereto on behalf of Seller are and shall be duly authorized to sign the same on Seller’s behalf and to bind Seller to such documents.</w:t>
      </w:r>
    </w:p>
    <w:p>
      <w:pPr>
        <w:spacing w:after="0" w:line="171" w:lineRule="exact"/>
        <w:rPr>
          <w:rFonts w:ascii="Arial" w:cs="Arial" w:eastAsia="Arial" w:hAnsi="Arial"/>
          <w:sz w:val="17"/>
          <w:szCs w:val="17"/>
          <w:color w:val="auto"/>
        </w:rPr>
      </w:pPr>
    </w:p>
    <w:p>
      <w:pPr>
        <w:ind w:left="660" w:firstLine="644"/>
        <w:spacing w:after="0" w:line="308" w:lineRule="auto"/>
        <w:tabs>
          <w:tab w:leader="none" w:pos="2136" w:val="left"/>
        </w:tabs>
        <w:numPr>
          <w:ilvl w:val="1"/>
          <w:numId w:val="296"/>
        </w:numPr>
        <w:rPr>
          <w:rFonts w:ascii="Arial" w:cs="Arial" w:eastAsia="Arial" w:hAnsi="Arial"/>
          <w:sz w:val="17"/>
          <w:szCs w:val="17"/>
          <w:color w:val="auto"/>
        </w:rPr>
      </w:pPr>
      <w:r>
        <w:rPr>
          <w:rFonts w:ascii="Arial" w:cs="Arial" w:eastAsia="Arial" w:hAnsi="Arial"/>
          <w:sz w:val="17"/>
          <w:szCs w:val="17"/>
          <w:color w:val="auto"/>
        </w:rPr>
        <w:t>Seller has not received any notice of, and has no Knowledge of, existing material violations on the Property, of any zoning, building, fire, health, pollution, environmental protection, hazardous or toxic substance or waste disposal law or ordinance.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5" w:name="page246"/>
    <w:bookmarkEnd w:id="245"/>
    <w:p>
      <w:pPr>
        <w:jc w:val="both"/>
        <w:ind w:left="-460" w:firstLine="644"/>
        <w:spacing w:after="0" w:line="263" w:lineRule="auto"/>
        <w:tabs>
          <w:tab w:leader="none" w:pos="8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There are no existing leases, rights of first refusal, rights of first offer, options or other lease agreements in effect with respect to occupancy or ownership of the Property, other than Hamilton County Health Department and Micronics (which will be limited to a location reasonably acceptable to Purchaser), which will be terminated prior to Closing.</w:t>
      </w:r>
    </w:p>
    <w:p>
      <w:pPr>
        <w:spacing w:after="0" w:line="183" w:lineRule="exact"/>
        <w:rPr>
          <w:rFonts w:ascii="Arial" w:cs="Arial" w:eastAsia="Arial" w:hAnsi="Arial"/>
          <w:sz w:val="18"/>
          <w:szCs w:val="18"/>
          <w:color w:val="auto"/>
        </w:rPr>
      </w:pPr>
    </w:p>
    <w:p>
      <w:pPr>
        <w:ind w:left="-460" w:firstLine="644"/>
        <w:spacing w:after="0" w:line="277" w:lineRule="auto"/>
        <w:tabs>
          <w:tab w:leader="none" w:pos="9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Except as disclosed in the Property Reports, there are no agreements, or to Seller’s Knowledge, obligations or other rights of third parties against the Property.</w:t>
      </w:r>
    </w:p>
    <w:p>
      <w:pPr>
        <w:spacing w:after="0" w:line="170" w:lineRule="exact"/>
        <w:rPr>
          <w:rFonts w:ascii="Arial" w:cs="Arial" w:eastAsia="Arial" w:hAnsi="Arial"/>
          <w:sz w:val="18"/>
          <w:szCs w:val="18"/>
          <w:color w:val="auto"/>
        </w:rPr>
      </w:pPr>
    </w:p>
    <w:p>
      <w:pPr>
        <w:ind w:left="840" w:hanging="656"/>
        <w:spacing w:after="0"/>
        <w:tabs>
          <w:tab w:leader="none" w:pos="8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Seller has no Knowledge of any persons or entities claiming a right to possession of the Property.</w:t>
      </w:r>
    </w:p>
    <w:p>
      <w:pPr>
        <w:spacing w:after="0" w:line="225" w:lineRule="exact"/>
        <w:rPr>
          <w:rFonts w:ascii="Arial" w:cs="Arial" w:eastAsia="Arial" w:hAnsi="Arial"/>
          <w:sz w:val="18"/>
          <w:szCs w:val="18"/>
          <w:color w:val="auto"/>
        </w:rPr>
      </w:pPr>
    </w:p>
    <w:p>
      <w:pPr>
        <w:jc w:val="both"/>
        <w:ind w:left="-460" w:firstLine="644"/>
        <w:spacing w:after="0" w:line="257" w:lineRule="auto"/>
        <w:tabs>
          <w:tab w:leader="none" w:pos="97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Except for the necessary easements to be created during the subdivision process, to Seller’s Knowledge, Seller’s title to the Property will be disclosed accurately in the Title Commitment; and to Seller’s Knowledge, except as disclosed in the Property Reports, there are no assessments presently outstanding or unpaid for improvements on the Property or otherwise that have or may become a lien against the Property. Further, Seller has no Knowledge of public improvements that have been ordered to be made for the benefit of the Property or that have not been completed, assessed and paid for.</w:t>
      </w:r>
    </w:p>
    <w:p>
      <w:pPr>
        <w:spacing w:after="0" w:line="187" w:lineRule="exact"/>
        <w:rPr>
          <w:rFonts w:ascii="Arial" w:cs="Arial" w:eastAsia="Arial" w:hAnsi="Arial"/>
          <w:sz w:val="18"/>
          <w:szCs w:val="18"/>
          <w:color w:val="auto"/>
        </w:rPr>
      </w:pPr>
    </w:p>
    <w:p>
      <w:pPr>
        <w:jc w:val="both"/>
        <w:ind w:left="-460" w:firstLine="644"/>
        <w:spacing w:after="0" w:line="263" w:lineRule="auto"/>
        <w:tabs>
          <w:tab w:leader="none" w:pos="84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Except to the extent disclosed in the Property Reports, performance of the obligations under this Agreement by Seller do not and will not require any consent or approval of any person or entity which is not a party to this Agreement, and do not and will not result in a breach of any agreement or instrument to which Seller is a party.</w:t>
      </w:r>
    </w:p>
    <w:p>
      <w:pPr>
        <w:spacing w:after="0" w:line="183" w:lineRule="exact"/>
        <w:rPr>
          <w:rFonts w:ascii="Arial" w:cs="Arial" w:eastAsia="Arial" w:hAnsi="Arial"/>
          <w:sz w:val="18"/>
          <w:szCs w:val="18"/>
          <w:color w:val="auto"/>
        </w:rPr>
      </w:pPr>
    </w:p>
    <w:p>
      <w:pPr>
        <w:jc w:val="both"/>
        <w:ind w:left="-460" w:firstLine="644"/>
        <w:spacing w:after="0" w:line="286" w:lineRule="auto"/>
        <w:tabs>
          <w:tab w:leader="none" w:pos="1074"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There is no litigation, proceeding or governmental investigation pending or, to Seller’s Knowledge, threatened against or involving the Property or Seller’s interest in the Property, and Seller does not know of any grounds for any such litigation, proceeding or investigation that would have a material adverse impact on Purchaser or Seller’s interest in or title to or use of the Property.</w:t>
      </w:r>
    </w:p>
    <w:p>
      <w:pPr>
        <w:spacing w:after="0" w:line="165" w:lineRule="exact"/>
        <w:rPr>
          <w:rFonts w:ascii="Arial" w:cs="Arial" w:eastAsia="Arial" w:hAnsi="Arial"/>
          <w:sz w:val="17"/>
          <w:szCs w:val="17"/>
          <w:color w:val="auto"/>
        </w:rPr>
      </w:pPr>
    </w:p>
    <w:p>
      <w:pPr>
        <w:jc w:val="both"/>
        <w:ind w:left="-460" w:firstLine="644"/>
        <w:spacing w:after="0" w:line="285" w:lineRule="auto"/>
        <w:tabs>
          <w:tab w:leader="none" w:pos="1162"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Seller represents and warrants that, to Seller’s Knowledge, the Property and Seller are in material compliance with all requirements of applicable federal, state and local environmental, health or safety laws, regulations and administrative or judicial decrees, as amended (the </w:t>
      </w:r>
      <w:r>
        <w:rPr>
          <w:rFonts w:ascii="Arial" w:cs="Arial" w:eastAsia="Arial" w:hAnsi="Arial"/>
          <w:sz w:val="16"/>
          <w:szCs w:val="16"/>
          <w:b w:val="1"/>
          <w:bCs w:val="1"/>
          <w:color w:val="auto"/>
        </w:rPr>
        <w:t>“Environmental Laws”)</w:t>
      </w:r>
      <w:r>
        <w:rPr>
          <w:rFonts w:ascii="Arial" w:cs="Arial" w:eastAsia="Arial" w:hAnsi="Arial"/>
          <w:sz w:val="16"/>
          <w:szCs w:val="16"/>
          <w:color w:val="auto"/>
        </w:rPr>
        <w:t xml:space="preserve"> with respect to the Property, including without limitation, the TDEC agreements described in Section 4(i) hereof; are not the subject of any “Superfund” evaluation or investigation with respect to the Property; and to Seller’s Knowledge, are not the subject of any federal or state investigation or administrative proceeding evaluating whether any remedial action is necessary to respond to a release of any Hazardous Substance (defined below) with respect to the Property. In addition, Seller, to its Knowledge, (</w:t>
      </w:r>
      <w:r>
        <w:rPr>
          <w:rFonts w:ascii="Arial" w:cs="Arial" w:eastAsia="Arial" w:hAnsi="Arial"/>
          <w:sz w:val="16"/>
          <w:szCs w:val="16"/>
          <w:i w:val="1"/>
          <w:iCs w:val="1"/>
          <w:color w:val="auto"/>
        </w:rPr>
        <w:t>i</w:t>
      </w:r>
      <w:r>
        <w:rPr>
          <w:rFonts w:ascii="Arial" w:cs="Arial" w:eastAsia="Arial" w:hAnsi="Arial"/>
          <w:sz w:val="16"/>
          <w:szCs w:val="16"/>
          <w:color w:val="auto"/>
        </w:rPr>
        <w:t>) has not used, generated, stored, transported, disposed of, produced or processed any Hazardous Substance on the Property, except in material compliance with applicable Environmental Laws; (</w:t>
      </w:r>
      <w:r>
        <w:rPr>
          <w:rFonts w:ascii="Arial" w:cs="Arial" w:eastAsia="Arial" w:hAnsi="Arial"/>
          <w:sz w:val="16"/>
          <w:szCs w:val="16"/>
          <w:i w:val="1"/>
          <w:iCs w:val="1"/>
          <w:color w:val="auto"/>
        </w:rPr>
        <w:t>ii</w:t>
      </w:r>
      <w:r>
        <w:rPr>
          <w:rFonts w:ascii="Arial" w:cs="Arial" w:eastAsia="Arial" w:hAnsi="Arial"/>
          <w:sz w:val="16"/>
          <w:szCs w:val="16"/>
          <w:color w:val="auto"/>
        </w:rPr>
        <w:t>) has not caused or permitted or has any knowledge of any release, disposal or discharge of any Hazardous Substance on the Property in violation of applicable Environmental Laws; (</w:t>
      </w:r>
      <w:r>
        <w:rPr>
          <w:rFonts w:ascii="Arial" w:cs="Arial" w:eastAsia="Arial" w:hAnsi="Arial"/>
          <w:sz w:val="16"/>
          <w:szCs w:val="16"/>
          <w:i w:val="1"/>
          <w:iCs w:val="1"/>
          <w:color w:val="auto"/>
        </w:rPr>
        <w:t>iii</w:t>
      </w:r>
      <w:r>
        <w:rPr>
          <w:rFonts w:ascii="Arial" w:cs="Arial" w:eastAsia="Arial" w:hAnsi="Arial"/>
          <w:sz w:val="16"/>
          <w:szCs w:val="16"/>
          <w:color w:val="auto"/>
        </w:rPr>
        <w:t>) has obtained all material permits, licenses and other authorizations for the Property which are required under the Environmental Laws and has at all times been in material compliance with the Environmental Laws for the Property, except to the extent failure to have any such permit, license or authorization would not, individually or in the aggregate, have a material adverse effect; (</w:t>
      </w:r>
      <w:r>
        <w:rPr>
          <w:rFonts w:ascii="Arial" w:cs="Arial" w:eastAsia="Arial" w:hAnsi="Arial"/>
          <w:sz w:val="16"/>
          <w:szCs w:val="16"/>
          <w:i w:val="1"/>
          <w:iCs w:val="1"/>
          <w:color w:val="auto"/>
        </w:rPr>
        <w:t>iv</w:t>
      </w:r>
      <w:r>
        <w:rPr>
          <w:rFonts w:ascii="Arial" w:cs="Arial" w:eastAsia="Arial" w:hAnsi="Arial"/>
          <w:sz w:val="16"/>
          <w:szCs w:val="16"/>
          <w:color w:val="auto"/>
        </w:rPr>
        <w:t>) has not transported or arranged for the transportation from the Property of any Hazardous Substance to any location which is listed, or listed for possible inclusion, on the National Priorities List under CERCLA or on any similar state list or which is the subject of federal, state or local enforcement actions or other investigations; and (</w:t>
      </w:r>
      <w:r>
        <w:rPr>
          <w:rFonts w:ascii="Arial" w:cs="Arial" w:eastAsia="Arial" w:hAnsi="Arial"/>
          <w:sz w:val="16"/>
          <w:szCs w:val="16"/>
          <w:i w:val="1"/>
          <w:iCs w:val="1"/>
          <w:color w:val="auto"/>
        </w:rPr>
        <w:t>v</w:t>
      </w:r>
      <w:r>
        <w:rPr>
          <w:rFonts w:ascii="Arial" w:cs="Arial" w:eastAsia="Arial" w:hAnsi="Arial"/>
          <w:sz w:val="16"/>
          <w:szCs w:val="16"/>
          <w:color w:val="auto"/>
        </w:rPr>
        <w:t xml:space="preserve">) with respect to the Property, has not filed any notice of claim or presented any claim to any insurance company for coverage related to any environmental matters. As used in this Section 10(i), the term </w:t>
      </w:r>
      <w:r>
        <w:rPr>
          <w:rFonts w:ascii="Arial" w:cs="Arial" w:eastAsia="Arial" w:hAnsi="Arial"/>
          <w:sz w:val="16"/>
          <w:szCs w:val="16"/>
          <w:b w:val="1"/>
          <w:bCs w:val="1"/>
          <w:color w:val="auto"/>
        </w:rPr>
        <w:t>“Hazardous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Substance” </w:t>
      </w:r>
      <w:r>
        <w:rPr>
          <w:rFonts w:ascii="Arial" w:cs="Arial" w:eastAsia="Arial" w:hAnsi="Arial"/>
          <w:sz w:val="16"/>
          <w:szCs w:val="16"/>
          <w:color w:val="auto"/>
        </w:rPr>
        <w:t>means any toxic or hazardous waste, pollutants or substances, including, but without limitation, asbestos, PCBs, petroleum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and byproducts, substances defined or listed as “hazardous substances” or “toxic substances” or similarly identified pursuant to the Comprehensive Environmental Response, Compensation and Liability Act of 1980, as amended, 42 U.S.C. § 9601 et. seq., and any other hazardous or toxic substances or pollutants regulated under other applicable Environmental Laws.</w:t>
      </w:r>
    </w:p>
    <w:p>
      <w:pPr>
        <w:spacing w:after="0" w:line="200" w:lineRule="exact"/>
        <w:rPr>
          <w:sz w:val="20"/>
          <w:szCs w:val="20"/>
          <w:color w:val="auto"/>
        </w:rPr>
      </w:pP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246" w:name="page247"/>
    <w:bookmarkEnd w:id="246"/>
    <w:p>
      <w:pPr>
        <w:jc w:val="both"/>
        <w:ind w:left="660" w:firstLine="644"/>
        <w:spacing w:after="0" w:line="286" w:lineRule="auto"/>
        <w:tabs>
          <w:tab w:leader="none" w:pos="2118" w:val="left"/>
        </w:tabs>
        <w:numPr>
          <w:ilvl w:val="0"/>
          <w:numId w:val="298"/>
        </w:numPr>
        <w:rPr>
          <w:rFonts w:ascii="Arial" w:cs="Arial" w:eastAsia="Arial" w:hAnsi="Arial"/>
          <w:sz w:val="17"/>
          <w:szCs w:val="17"/>
          <w:color w:val="auto"/>
        </w:rPr>
      </w:pPr>
      <w:r>
        <w:rPr>
          <w:rFonts w:ascii="Arial" w:cs="Arial" w:eastAsia="Arial" w:hAnsi="Arial"/>
          <w:sz w:val="17"/>
          <w:szCs w:val="17"/>
          <w:color w:val="auto"/>
        </w:rPr>
        <w:t>With the exception of the Property Reports that will be delivered to Purchaser, to Seller’s Knowledge, there are no material reports, studies, appraisals, engineering reports, correspondence, agreements with governmental authorities, wetland studies or reports, flood plain studies or reports or other written information related to the Property that are in Seller’s reasonable possession or control.</w:t>
      </w:r>
    </w:p>
    <w:p>
      <w:pPr>
        <w:spacing w:after="0" w:line="165" w:lineRule="exact"/>
        <w:rPr>
          <w:rFonts w:ascii="Arial" w:cs="Arial" w:eastAsia="Arial" w:hAnsi="Arial"/>
          <w:sz w:val="17"/>
          <w:szCs w:val="17"/>
          <w:color w:val="auto"/>
        </w:rPr>
      </w:pPr>
    </w:p>
    <w:p>
      <w:pPr>
        <w:jc w:val="both"/>
        <w:ind w:left="660" w:firstLine="644"/>
        <w:spacing w:after="0" w:line="301" w:lineRule="auto"/>
        <w:tabs>
          <w:tab w:leader="none" w:pos="217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If any claim is made against the Property by any party for the payment of any amount due for the furnishing of labor or materials to the Property or Seller prior to Closing, or if any lien is filed against the Property subsequent to Closing as a result of the furnishing of such materials or labor prior to Closing, then Seller promptly shall pay said claim and discharge said lien; provided, however, that if Seller desires to challenge or contest any such claim, then Seller must first bond over or place into escrow the amount reasonably necessary to pay such claim.</w:t>
      </w:r>
    </w:p>
    <w:p>
      <w:pPr>
        <w:spacing w:after="0" w:line="157" w:lineRule="exact"/>
        <w:rPr>
          <w:sz w:val="20"/>
          <w:szCs w:val="20"/>
          <w:color w:val="auto"/>
        </w:rPr>
      </w:pPr>
    </w:p>
    <w:p>
      <w:pPr>
        <w:ind w:left="2000" w:hanging="696"/>
        <w:spacing w:after="0"/>
        <w:tabs>
          <w:tab w:leader="none" w:pos="200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Property is insured under a policy of comprehensive liability insurance, which will be kept in full force and effect until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Closing.</w:t>
      </w:r>
    </w:p>
    <w:p>
      <w:pPr>
        <w:spacing w:after="0" w:line="211" w:lineRule="exact"/>
        <w:rPr>
          <w:sz w:val="20"/>
          <w:szCs w:val="20"/>
          <w:color w:val="auto"/>
        </w:rPr>
      </w:pPr>
    </w:p>
    <w:p>
      <w:pPr>
        <w:ind w:left="660" w:firstLine="644"/>
        <w:spacing w:after="0" w:line="277" w:lineRule="auto"/>
        <w:tabs>
          <w:tab w:leader="none" w:pos="208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Neither Seller, nor any principals or partners or members of Seller, is a “Foreign Person” within the meaning of the Internal Revenue Code Section 1445(f)(3).</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Seller has no Knowledge of material latent defects to the structural improvements located on the Property.</w:t>
      </w:r>
    </w:p>
    <w:p>
      <w:pPr>
        <w:spacing w:after="0" w:line="225" w:lineRule="exact"/>
        <w:rPr>
          <w:rFonts w:ascii="Arial" w:cs="Arial" w:eastAsia="Arial" w:hAnsi="Arial"/>
          <w:sz w:val="18"/>
          <w:szCs w:val="18"/>
          <w:color w:val="auto"/>
        </w:rPr>
      </w:pPr>
    </w:p>
    <w:p>
      <w:pPr>
        <w:ind w:left="660" w:firstLine="644"/>
        <w:spacing w:after="0" w:line="277" w:lineRule="auto"/>
        <w:tabs>
          <w:tab w:leader="none" w:pos="210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Seller’s Knowledge, all electrical, mechanical, water, storm water, sewer, elevator and other utility systems servicing the Property are in serviceable condition, reasonable wear and tear excepted.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Between the Effective Date and the Closing, Seller shall not commit any action that constitutes material waste of the Property.</w:t>
      </w: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For purposes of this Section 10 and as used throughout this Agreement, the phrase </w:t>
      </w:r>
      <w:r>
        <w:rPr>
          <w:rFonts w:ascii="Arial" w:cs="Arial" w:eastAsia="Arial" w:hAnsi="Arial"/>
          <w:sz w:val="18"/>
          <w:szCs w:val="18"/>
          <w:b w:val="1"/>
          <w:bCs w:val="1"/>
          <w:color w:val="auto"/>
        </w:rPr>
        <w:t>“Seller’s Knowledge”</w:t>
      </w:r>
      <w:r>
        <w:rPr>
          <w:rFonts w:ascii="Arial" w:cs="Arial" w:eastAsia="Arial" w:hAnsi="Arial"/>
          <w:sz w:val="18"/>
          <w:szCs w:val="18"/>
          <w:color w:val="auto"/>
        </w:rPr>
        <w:t xml:space="preserve"> or words of similar import as used in this Agreement shall mean the current, actual knowledge of James K. White III </w:t>
      </w:r>
      <w:r>
        <w:rPr>
          <w:rFonts w:ascii="Arial" w:cs="Arial" w:eastAsia="Arial" w:hAnsi="Arial"/>
          <w:sz w:val="18"/>
          <w:szCs w:val="18"/>
          <w:b w:val="1"/>
          <w:bCs w:val="1"/>
          <w:color w:val="auto"/>
        </w:rPr>
        <w:t>(“Seller’s Designated Representative”),</w:t>
      </w:r>
      <w:r>
        <w:rPr>
          <w:rFonts w:ascii="Arial" w:cs="Arial" w:eastAsia="Arial" w:hAnsi="Arial"/>
          <w:sz w:val="18"/>
          <w:szCs w:val="18"/>
          <w:color w:val="auto"/>
        </w:rPr>
        <w:t xml:space="preserve"> who Seller represents, and warrants is in a reasonable position to know the truth or the falsity of each representation and warranty of Seller contained in this Agreement. This reference to such Seller’s Designated Representative does not impose personal liability on such Seller’s Designated Representative for the representations and warranties contained herein; provided, however, such limitation of liability shall in no way limit Seller’s liability for any breach of Seller’s representation and warranties contained herein.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7" w:name="page248"/>
    <w:bookmarkEnd w:id="247"/>
    <w:p>
      <w:pPr>
        <w:jc w:val="both"/>
        <w:ind w:left="20" w:right="20"/>
        <w:spacing w:after="0" w:line="257" w:lineRule="auto"/>
        <w:rPr>
          <w:sz w:val="20"/>
          <w:szCs w:val="20"/>
          <w:color w:val="auto"/>
        </w:rPr>
      </w:pPr>
      <w:r>
        <w:rPr>
          <w:rFonts w:ascii="Arial" w:cs="Arial" w:eastAsia="Arial" w:hAnsi="Arial"/>
          <w:sz w:val="18"/>
          <w:szCs w:val="18"/>
          <w:color w:val="auto"/>
        </w:rPr>
        <w:t>In addition to the Indemnification remedies set forth in Section 12 below, if prior to the Closing, Purchaser shall discover that any of Seller’s representations and warranties are incorrect in any material respect, Purchaser, at its option, shall have the right to terminate this Agreement by giving written notice to Seller with no liability on its part and recover from Seller all reasonable costs and expenses necessarily incurred and actually paid by Purchaser as a result of Seller’s material breach of such representations and warranties and shall receive a refund of the Deposit and any interest accrued thereon.</w:t>
      </w:r>
    </w:p>
    <w:p>
      <w:pPr>
        <w:spacing w:after="0" w:line="184" w:lineRule="exact"/>
        <w:rPr>
          <w:sz w:val="20"/>
          <w:szCs w:val="20"/>
          <w:color w:val="auto"/>
        </w:rPr>
      </w:pPr>
    </w:p>
    <w:p>
      <w:pPr>
        <w:ind w:firstLine="656"/>
        <w:spacing w:after="0" w:line="282" w:lineRule="auto"/>
        <w:tabs>
          <w:tab w:leader="none" w:pos="1613"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hereby represents and warrants to Seller, which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shall survive Closing, that as of the Effective Date, and on the date of Closing:</w:t>
      </w:r>
    </w:p>
    <w:p>
      <w:pPr>
        <w:spacing w:after="0" w:line="165" w:lineRule="exact"/>
        <w:rPr>
          <w:rFonts w:ascii="Arial" w:cs="Arial" w:eastAsia="Arial" w:hAnsi="Arial"/>
          <w:sz w:val="18"/>
          <w:szCs w:val="18"/>
          <w:color w:val="auto"/>
        </w:rPr>
      </w:pPr>
    </w:p>
    <w:p>
      <w:pPr>
        <w:ind w:left="660" w:right="20" w:firstLine="644"/>
        <w:spacing w:after="0" w:line="277" w:lineRule="auto"/>
        <w:tabs>
          <w:tab w:leader="none" w:pos="211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Purchaser has the full power and authority to execute, deliver and perform this Agreement and all of Purchaser’s obligations under this Agreement.</w:t>
      </w:r>
    </w:p>
    <w:p>
      <w:pPr>
        <w:spacing w:after="0" w:line="170" w:lineRule="exact"/>
        <w:rPr>
          <w:rFonts w:ascii="Arial" w:cs="Arial" w:eastAsia="Arial" w:hAnsi="Arial"/>
          <w:sz w:val="18"/>
          <w:szCs w:val="18"/>
          <w:color w:val="auto"/>
        </w:rPr>
      </w:pPr>
    </w:p>
    <w:p>
      <w:pPr>
        <w:ind w:left="660" w:firstLine="644"/>
        <w:spacing w:after="0" w:line="308" w:lineRule="auto"/>
        <w:tabs>
          <w:tab w:leader="none" w:pos="2124"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individuals signing this Agreement and all other documents executed or to be executed pursuant to this Agreement on behalf of Purchaser are and shall be duly authorized to sign the same on Purchaser’s behalf and to bind Purchaser to such documents.</w:t>
      </w:r>
    </w:p>
    <w:p>
      <w:pPr>
        <w:spacing w:after="0" w:line="146" w:lineRule="exact"/>
        <w:rPr>
          <w:rFonts w:ascii="Arial" w:cs="Arial" w:eastAsia="Arial" w:hAnsi="Arial"/>
          <w:sz w:val="17"/>
          <w:szCs w:val="17"/>
          <w:color w:val="auto"/>
        </w:rPr>
      </w:pPr>
    </w:p>
    <w:p>
      <w:pPr>
        <w:jc w:val="both"/>
        <w:ind w:left="660" w:firstLine="644"/>
        <w:spacing w:after="0" w:line="296" w:lineRule="auto"/>
        <w:tabs>
          <w:tab w:leader="none" w:pos="204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Purchaser acknowledges that the Property is part of a master development known as the Bend, and it will reasonably cooperate with Seller during Seller’s ongoing construction and development of the Bend with respect to the temporary closures of the drives and streets that are located to the North of the Property and over which Purchaser has access easements. Purchaser also agrees to reasonably cooperate with Seller for future events within the Bend provided Seller gives adequate notice of such to Purchaser, and such events do not interfere with Purchaser’s business on, and reasonable access to, the Property. Purchaser’s hereinabove agreement regarding cooperation shall survive Closing.</w:t>
      </w:r>
    </w:p>
    <w:p>
      <w:pPr>
        <w:spacing w:after="0" w:line="157" w:lineRule="exact"/>
        <w:rPr>
          <w:rFonts w:ascii="Arial" w:cs="Arial" w:eastAsia="Arial" w:hAnsi="Arial"/>
          <w:sz w:val="16"/>
          <w:szCs w:val="16"/>
          <w:color w:val="auto"/>
        </w:rPr>
      </w:pPr>
    </w:p>
    <w:p>
      <w:pPr>
        <w:ind w:left="1340" w:hanging="684"/>
        <w:spacing w:after="0"/>
        <w:tabs>
          <w:tab w:leader="none" w:pos="1340" w:val="left"/>
        </w:tabs>
        <w:numPr>
          <w:ilvl w:val="0"/>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left="660" w:firstLine="644"/>
        <w:spacing w:after="0" w:line="261" w:lineRule="auto"/>
        <w:tabs>
          <w:tab w:leader="none" w:pos="2077" w:val="left"/>
        </w:tabs>
        <w:numPr>
          <w:ilvl w:val="1"/>
          <w:numId w:val="301"/>
        </w:numPr>
        <w:rPr>
          <w:rFonts w:ascii="Arial" w:cs="Arial" w:eastAsia="Arial" w:hAnsi="Arial"/>
          <w:sz w:val="18"/>
          <w:szCs w:val="18"/>
          <w:color w:val="auto"/>
        </w:rPr>
      </w:pPr>
      <w:r>
        <w:rPr>
          <w:rFonts w:ascii="Arial" w:cs="Arial" w:eastAsia="Arial" w:hAnsi="Arial"/>
          <w:sz w:val="18"/>
          <w:szCs w:val="18"/>
          <w:color w:val="auto"/>
        </w:rPr>
        <w:t xml:space="preserve">For a period of one (1) year after Closing </w:t>
      </w:r>
      <w:r>
        <w:rPr>
          <w:rFonts w:ascii="Arial" w:cs="Arial" w:eastAsia="Arial" w:hAnsi="Arial"/>
          <w:sz w:val="18"/>
          <w:szCs w:val="18"/>
          <w:b w:val="1"/>
          <w:bCs w:val="1"/>
          <w:color w:val="auto"/>
        </w:rPr>
        <w:t>(“Warranty Expiration”),</w:t>
      </w:r>
      <w:r>
        <w:rPr>
          <w:rFonts w:ascii="Arial" w:cs="Arial" w:eastAsia="Arial" w:hAnsi="Arial"/>
          <w:sz w:val="18"/>
          <w:szCs w:val="18"/>
          <w:color w:val="auto"/>
        </w:rPr>
        <w:t xml:space="preserve"> Seller agrees to indemnify and hold Purchaser harmless from and against any and all liabilities, claims, demands, and expenses, of any kind or nature, (including court costs and reasonable attorneys’ fees) arising from or related to the material inaccuracy or breach of any of Seller’s representations and warranties set forth in Section 10 hereof. Purchaser must notify Seller in writing of any claim prior to the Warranty Expiration.</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2025" w:val="left"/>
        </w:tabs>
        <w:numPr>
          <w:ilvl w:val="1"/>
          <w:numId w:val="301"/>
        </w:numPr>
        <w:rPr>
          <w:rFonts w:ascii="Arial" w:cs="Arial" w:eastAsia="Arial" w:hAnsi="Arial"/>
          <w:sz w:val="18"/>
          <w:szCs w:val="18"/>
          <w:color w:val="auto"/>
        </w:rPr>
      </w:pPr>
      <w:r>
        <w:rPr>
          <w:rFonts w:ascii="Arial" w:cs="Arial" w:eastAsia="Arial" w:hAnsi="Arial"/>
          <w:sz w:val="18"/>
          <w:szCs w:val="18"/>
          <w:color w:val="auto"/>
        </w:rPr>
        <w:t>Purchaser agrees to indemnify and hold Seller harmless from and against any and all liabilities, claims, demands, and expenses, of any kind or nature, including but not limited to, all expenses related thereto, including, without limitation, court costs and reasonable attorneys’ fees for matters arising from or related to (</w:t>
      </w:r>
      <w:r>
        <w:rPr>
          <w:rFonts w:ascii="Arial" w:cs="Arial" w:eastAsia="Arial" w:hAnsi="Arial"/>
          <w:sz w:val="18"/>
          <w:szCs w:val="18"/>
          <w:i w:val="1"/>
          <w:iCs w:val="1"/>
          <w:color w:val="auto"/>
        </w:rPr>
        <w:t>i</w:t>
      </w:r>
      <w:r>
        <w:rPr>
          <w:rFonts w:ascii="Arial" w:cs="Arial" w:eastAsia="Arial" w:hAnsi="Arial"/>
          <w:sz w:val="18"/>
          <w:szCs w:val="18"/>
          <w:color w:val="auto"/>
        </w:rPr>
        <w:t>) the inaccuracy or breach of any of Purchaser’s representations and warranties; or (</w:t>
      </w:r>
      <w:r>
        <w:rPr>
          <w:rFonts w:ascii="Arial" w:cs="Arial" w:eastAsia="Arial" w:hAnsi="Arial"/>
          <w:sz w:val="18"/>
          <w:szCs w:val="18"/>
          <w:i w:val="1"/>
          <w:iCs w:val="1"/>
          <w:color w:val="auto"/>
        </w:rPr>
        <w:t>ii</w:t>
      </w:r>
      <w:r>
        <w:rPr>
          <w:rFonts w:ascii="Arial" w:cs="Arial" w:eastAsia="Arial" w:hAnsi="Arial"/>
          <w:sz w:val="18"/>
          <w:szCs w:val="18"/>
          <w:color w:val="auto"/>
        </w:rPr>
        <w:t>) Purchaser’s investigation of the Property under Sections 4(a) and 4(c) of this Agreement, or otherwise, or Purchaser’s use or ownership of the Property subsequent to Closing.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8" w:name="page249"/>
    <w:bookmarkEnd w:id="248"/>
    <w:p>
      <w:pPr>
        <w:ind w:left="2000" w:hanging="696"/>
        <w:spacing w:after="0"/>
        <w:tabs>
          <w:tab w:leader="none" w:pos="20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This Section 12 will survive Closing as provided in this Agreement.</w:t>
      </w:r>
    </w:p>
    <w:p>
      <w:pPr>
        <w:spacing w:after="0" w:line="221" w:lineRule="exact"/>
        <w:rPr>
          <w:rFonts w:ascii="Arial" w:cs="Arial" w:eastAsia="Arial" w:hAnsi="Arial"/>
          <w:sz w:val="18"/>
          <w:szCs w:val="18"/>
          <w:color w:val="auto"/>
        </w:rPr>
      </w:pPr>
    </w:p>
    <w:p>
      <w:pPr>
        <w:jc w:val="both"/>
        <w:ind w:firstLine="656"/>
        <w:spacing w:after="0" w:line="289" w:lineRule="auto"/>
        <w:tabs>
          <w:tab w:leader="none" w:pos="1390" w:val="left"/>
        </w:tabs>
        <w:numPr>
          <w:ilvl w:val="0"/>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Use of the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of this Agreement, other than those easements provided for under this Agreement or necessarily</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with the subdivision of the Property and in either case acceptable to Purchaser, Seller warrants and covenants that it shall not, without Purchaser’s written consent, (</w:t>
      </w:r>
      <w:r>
        <w:rPr>
          <w:rFonts w:ascii="Arial" w:cs="Arial" w:eastAsia="Arial" w:hAnsi="Arial"/>
          <w:sz w:val="16"/>
          <w:szCs w:val="16"/>
          <w:i w:val="1"/>
          <w:iCs w:val="1"/>
          <w:color w:val="auto"/>
        </w:rPr>
        <w:t>a</w:t>
      </w:r>
      <w:r>
        <w:rPr>
          <w:rFonts w:ascii="Arial" w:cs="Arial" w:eastAsia="Arial" w:hAnsi="Arial"/>
          <w:sz w:val="16"/>
          <w:szCs w:val="16"/>
          <w:color w:val="auto"/>
        </w:rPr>
        <w:t>) grant, convey or enter, any easement, lease, license or other legal or beneficial interest in or to the Property, (</w:t>
      </w:r>
      <w:r>
        <w:rPr>
          <w:rFonts w:ascii="Arial" w:cs="Arial" w:eastAsia="Arial" w:hAnsi="Arial"/>
          <w:sz w:val="16"/>
          <w:szCs w:val="16"/>
          <w:i w:val="1"/>
          <w:iCs w:val="1"/>
          <w:color w:val="auto"/>
        </w:rPr>
        <w:t>b</w:t>
      </w:r>
      <w:r>
        <w:rPr>
          <w:rFonts w:ascii="Arial" w:cs="Arial" w:eastAsia="Arial" w:hAnsi="Arial"/>
          <w:sz w:val="16"/>
          <w:szCs w:val="16"/>
          <w:color w:val="auto"/>
        </w:rPr>
        <w:t>) enter into any contract, service contract, option agreement to transfer, convey or encumber the Property or any portion of the Property, or (</w:t>
      </w:r>
      <w:r>
        <w:rPr>
          <w:rFonts w:ascii="Arial" w:cs="Arial" w:eastAsia="Arial" w:hAnsi="Arial"/>
          <w:sz w:val="16"/>
          <w:szCs w:val="16"/>
          <w:i w:val="1"/>
          <w:iCs w:val="1"/>
          <w:color w:val="auto"/>
        </w:rPr>
        <w:t>c</w:t>
      </w:r>
      <w:r>
        <w:rPr>
          <w:rFonts w:ascii="Arial" w:cs="Arial" w:eastAsia="Arial" w:hAnsi="Arial"/>
          <w:sz w:val="16"/>
          <w:szCs w:val="16"/>
          <w:color w:val="auto"/>
        </w:rPr>
        <w:t>) materially change the physical condition of the Property or, except as otherwise provided in this Agreement, allow a material change in the physical condition of the Property to occur. Seller further warrants that, on receipt of any knowledge or notice of any threatened or pending condemnation, action in lieu of condemnation, zoning change, assessment, lien, claim, encumbrance or other similar matter that may affect the Property, its operation or development, Seller shall promptly notify Purchaser of such matter. After the Effective Date and until the earlier of the termination of this Agreement or the Closing, Seller shall continue to operate and maintain the Property in all material respects, in the same manner as prior to the Effective Date.</w:t>
      </w:r>
    </w:p>
    <w:p>
      <w:pPr>
        <w:spacing w:after="0" w:line="166" w:lineRule="exact"/>
        <w:rPr>
          <w:rFonts w:ascii="Arial" w:cs="Arial" w:eastAsia="Arial" w:hAnsi="Arial"/>
          <w:sz w:val="16"/>
          <w:szCs w:val="16"/>
          <w:color w:val="auto"/>
        </w:rPr>
      </w:pPr>
    </w:p>
    <w:p>
      <w:pPr>
        <w:jc w:val="both"/>
        <w:ind w:firstLine="656"/>
        <w:spacing w:after="0" w:line="256" w:lineRule="auto"/>
        <w:tabs>
          <w:tab w:leader="none" w:pos="1471"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Condemnation; Casualty</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Closing, Purchaser shall have the right to terminate this Agreement if the Property is materially</w:t>
      </w:r>
      <w:r>
        <w:rPr>
          <w:rFonts w:ascii="Arial" w:cs="Arial" w:eastAsia="Arial" w:hAnsi="Arial"/>
          <w:sz w:val="18"/>
          <w:szCs w:val="18"/>
          <w:b w:val="1"/>
          <w:bCs w:val="1"/>
          <w:color w:val="auto"/>
        </w:rPr>
        <w:t xml:space="preserve"> </w:t>
      </w:r>
      <w:r>
        <w:rPr>
          <w:rFonts w:ascii="Arial" w:cs="Arial" w:eastAsia="Arial" w:hAnsi="Arial"/>
          <w:sz w:val="18"/>
          <w:szCs w:val="18"/>
          <w:color w:val="auto"/>
        </w:rPr>
        <w:t>damaged by fire, flood or if the Property is destroyed without fault of Purchaser or any part of the Property is taken or is threatened to be taken by eminent domain. Purchaser shall give written notice of Purchaser’s election to terminate this Agreement within ten (10) business days after Purchaser receives written notice from Seller or otherwise of any such damage or threatened condemnation. In the event of such a termination by Purchaser, the Title Company or Seller shall immediately refund to Purchaser the Deposit, and any interest accrued thereon, and the rights and obligations of the Parties shall terminate.</w:t>
      </w:r>
    </w:p>
    <w:p>
      <w:pPr>
        <w:spacing w:after="0" w:line="187" w:lineRule="exact"/>
        <w:rPr>
          <w:rFonts w:ascii="Arial" w:cs="Arial" w:eastAsia="Arial" w:hAnsi="Arial"/>
          <w:sz w:val="18"/>
          <w:szCs w:val="18"/>
          <w:color w:val="auto"/>
        </w:rPr>
      </w:pPr>
    </w:p>
    <w:p>
      <w:pPr>
        <w:ind w:left="1380" w:hanging="724"/>
        <w:spacing w:after="0"/>
        <w:tabs>
          <w:tab w:leader="none" w:pos="1380"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 and Remedies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left="660" w:firstLine="644"/>
        <w:spacing w:after="0" w:line="271" w:lineRule="auto"/>
        <w:tabs>
          <w:tab w:leader="none" w:pos="2215" w:val="left"/>
        </w:tabs>
        <w:numPr>
          <w:ilvl w:val="1"/>
          <w:numId w:val="303"/>
        </w:numPr>
        <w:rPr>
          <w:rFonts w:ascii="Arial" w:cs="Arial" w:eastAsia="Arial" w:hAnsi="Arial"/>
          <w:sz w:val="17"/>
          <w:szCs w:val="17"/>
          <w:color w:val="auto"/>
        </w:rPr>
      </w:pPr>
      <w:r>
        <w:rPr>
          <w:rFonts w:ascii="Arial" w:cs="Arial" w:eastAsia="Arial" w:hAnsi="Arial"/>
          <w:sz w:val="17"/>
          <w:szCs w:val="17"/>
          <w:b w:val="1"/>
          <w:bCs w:val="1"/>
          <w:color w:val="auto"/>
        </w:rPr>
        <w:t xml:space="preserve">Purchaser’s Default; Seller’s Remedy. </w:t>
      </w:r>
      <w:r>
        <w:rPr>
          <w:rFonts w:ascii="Arial" w:cs="Arial" w:eastAsia="Arial" w:hAnsi="Arial"/>
          <w:sz w:val="17"/>
          <w:szCs w:val="17"/>
          <w:color w:val="auto"/>
        </w:rPr>
        <w:t>If all of the Conditions Precedent set forth in Section 4 above are fulfilled and</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fails to close on the purchase of the Property due to Purchaser’s material default under this Agreement, and if Seller is not otherwise in material default of this Agreement, then Seller shall be entitled to the full amount of the Deposit, and any interest accrued thereon, as liquidated damages as Seller’s sole and exclusive remedy, and on payment to Seller of such amount, this Agreement and all rights and obligations of the Parties shall terminate except as otherwise set forth in this Agreement. The Parties agree that it would be impracticable and extremely difficult to ascertain the actual damages suffered by Seller as a result of Purchaser’s failure to complete the purchase of the Property and that under the circumstances existing as of the Effective Date, the liquidated damages provided for in this Section represents a reasonable estimate of the damages that Seller will incur as a result of such failure. The Parties acknowledge that the payment of such liquidated damages is not intended as a forfeiture or penalty, but is intended to constitute liquidated damages to Seller.</w:t>
      </w:r>
    </w:p>
    <w:p>
      <w:pPr>
        <w:spacing w:after="0" w:line="173" w:lineRule="exact"/>
        <w:rPr>
          <w:rFonts w:ascii="Arial" w:cs="Arial" w:eastAsia="Arial" w:hAnsi="Arial"/>
          <w:sz w:val="17"/>
          <w:szCs w:val="17"/>
          <w:color w:val="auto"/>
        </w:rPr>
      </w:pPr>
    </w:p>
    <w:p>
      <w:pPr>
        <w:jc w:val="both"/>
        <w:ind w:left="660" w:firstLine="644"/>
        <w:spacing w:after="0" w:line="258" w:lineRule="auto"/>
        <w:tabs>
          <w:tab w:leader="none" w:pos="1968" w:val="left"/>
        </w:tabs>
        <w:numPr>
          <w:ilvl w:val="1"/>
          <w:numId w:val="303"/>
        </w:numPr>
        <w:rPr>
          <w:rFonts w:ascii="Arial" w:cs="Arial" w:eastAsia="Arial" w:hAnsi="Arial"/>
          <w:sz w:val="18"/>
          <w:szCs w:val="18"/>
          <w:color w:val="auto"/>
        </w:rPr>
      </w:pPr>
      <w:r>
        <w:rPr>
          <w:rFonts w:ascii="Arial" w:cs="Arial" w:eastAsia="Arial" w:hAnsi="Arial"/>
          <w:sz w:val="18"/>
          <w:szCs w:val="18"/>
          <w:b w:val="1"/>
          <w:bCs w:val="1"/>
          <w:color w:val="auto"/>
        </w:rPr>
        <w:t xml:space="preserve">Seller’s Default; Purchaser’s Remedies. </w:t>
      </w:r>
      <w:r>
        <w:rPr>
          <w:rFonts w:ascii="Arial" w:cs="Arial" w:eastAsia="Arial" w:hAnsi="Arial"/>
          <w:sz w:val="18"/>
          <w:szCs w:val="18"/>
          <w:color w:val="auto"/>
        </w:rPr>
        <w:t>If Seller fails to timely perform any material act, or provide any material document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required to be provided by Seller, or if any material representation and warranty made by Seller pursuant to this Agreement is untrue when made, then Purchaser shall be entitled to either (</w:t>
      </w:r>
      <w:r>
        <w:rPr>
          <w:rFonts w:ascii="Arial" w:cs="Arial" w:eastAsia="Arial" w:hAnsi="Arial"/>
          <w:sz w:val="18"/>
          <w:szCs w:val="18"/>
          <w:i w:val="1"/>
          <w:iCs w:val="1"/>
          <w:color w:val="auto"/>
        </w:rPr>
        <w:t>i</w:t>
      </w:r>
      <w:r>
        <w:rPr>
          <w:rFonts w:ascii="Arial" w:cs="Arial" w:eastAsia="Arial" w:hAnsi="Arial"/>
          <w:sz w:val="18"/>
          <w:szCs w:val="18"/>
          <w:color w:val="auto"/>
        </w:rPr>
        <w:t>) terminate this Agreement, receive a refund of the Deposit and any interest earned thereon and seek Purchaser’s actual direct and reasonably verifiable third-party expenses arising from Seller’s breach; or (</w:t>
      </w:r>
      <w:r>
        <w:rPr>
          <w:rFonts w:ascii="Arial" w:cs="Arial" w:eastAsia="Arial" w:hAnsi="Arial"/>
          <w:sz w:val="18"/>
          <w:szCs w:val="18"/>
          <w:i w:val="1"/>
          <w:iCs w:val="1"/>
          <w:color w:val="auto"/>
        </w:rPr>
        <w:t>ii</w:t>
      </w:r>
      <w:r>
        <w:rPr>
          <w:rFonts w:ascii="Arial" w:cs="Arial" w:eastAsia="Arial" w:hAnsi="Arial"/>
          <w:sz w:val="18"/>
          <w:szCs w:val="18"/>
          <w:color w:val="auto"/>
        </w:rPr>
        <w:t>) seek specific performance of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9" w:name="page250"/>
    <w:bookmarkEnd w:id="249"/>
    <w:p>
      <w:pPr>
        <w:jc w:val="both"/>
        <w:ind w:left="660" w:firstLine="644"/>
        <w:spacing w:after="0" w:line="266" w:lineRule="auto"/>
        <w:tabs>
          <w:tab w:leader="none" w:pos="2056" w:val="left"/>
        </w:tabs>
        <w:numPr>
          <w:ilvl w:val="1"/>
          <w:numId w:val="304"/>
        </w:numPr>
        <w:rPr>
          <w:rFonts w:ascii="Arial" w:cs="Arial" w:eastAsia="Arial" w:hAnsi="Arial"/>
          <w:sz w:val="18"/>
          <w:szCs w:val="18"/>
          <w:color w:val="auto"/>
        </w:rPr>
      </w:pPr>
      <w:r>
        <w:rPr>
          <w:rFonts w:ascii="Arial" w:cs="Arial" w:eastAsia="Arial" w:hAnsi="Arial"/>
          <w:sz w:val="18"/>
          <w:szCs w:val="18"/>
          <w:b w:val="1"/>
          <w:bCs w:val="1"/>
          <w:color w:val="auto"/>
        </w:rPr>
        <w:t xml:space="preserve">Attorneys’ Fees. </w:t>
      </w:r>
      <w:r>
        <w:rPr>
          <w:rFonts w:ascii="Arial" w:cs="Arial" w:eastAsia="Arial" w:hAnsi="Arial"/>
          <w:sz w:val="18"/>
          <w:szCs w:val="18"/>
          <w:color w:val="auto"/>
        </w:rPr>
        <w:t>The prevailing party (</w:t>
      </w:r>
      <w:r>
        <w:rPr>
          <w:rFonts w:ascii="Arial" w:cs="Arial" w:eastAsia="Arial" w:hAnsi="Arial"/>
          <w:sz w:val="18"/>
          <w:szCs w:val="18"/>
          <w:i w:val="1"/>
          <w:iCs w:val="1"/>
          <w:color w:val="auto"/>
        </w:rPr>
        <w:t>i.e.,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party recovering substantially the relief sought, if any) in any legal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brought under or with relation to this Agreement or transaction shall be entitled to recover court costs, reasonable attorneys’ fees and all other litigation expenses from the non-prevailing party.</w:t>
      </w:r>
    </w:p>
    <w:p>
      <w:pPr>
        <w:spacing w:after="0" w:line="175" w:lineRule="exact"/>
        <w:rPr>
          <w:rFonts w:ascii="Arial" w:cs="Arial" w:eastAsia="Arial" w:hAnsi="Arial"/>
          <w:sz w:val="18"/>
          <w:szCs w:val="18"/>
          <w:color w:val="auto"/>
        </w:rPr>
      </w:pPr>
    </w:p>
    <w:p>
      <w:pPr>
        <w:jc w:val="both"/>
        <w:ind w:firstLine="656"/>
        <w:spacing w:after="0" w:line="289" w:lineRule="auto"/>
        <w:tabs>
          <w:tab w:leader="none" w:pos="1444" w:val="left"/>
        </w:tabs>
        <w:numPr>
          <w:ilvl w:val="0"/>
          <w:numId w:val="305"/>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has executed this Agreement subject to its absolute and unconditional right to assign all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right, title and interest in this Agreement to an existing entity, an entity to be formed, or an individual if the entity or individual is affiliated with Purchaser. Seller agrees to consummate this transaction with any such assignee, provided that Purchaser will continue to be liable hereunder.</w:t>
      </w:r>
    </w:p>
    <w:p>
      <w:pPr>
        <w:spacing w:after="0" w:line="157" w:lineRule="exact"/>
        <w:rPr>
          <w:rFonts w:ascii="Arial" w:cs="Arial" w:eastAsia="Arial" w:hAnsi="Arial"/>
          <w:sz w:val="17"/>
          <w:szCs w:val="17"/>
          <w:color w:val="auto"/>
        </w:rPr>
      </w:pPr>
    </w:p>
    <w:p>
      <w:pPr>
        <w:jc w:val="both"/>
        <w:ind w:firstLine="656"/>
        <w:spacing w:after="0" w:line="258" w:lineRule="auto"/>
        <w:tabs>
          <w:tab w:leader="none" w:pos="1377" w:val="left"/>
        </w:tabs>
        <w:numPr>
          <w:ilvl w:val="0"/>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each agree to execute, acknowledge, deliver and do all such further acts, instruments and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and to take all such further action before or after the Closing as shall be reasonably necessary to fully carry out this Agreement and to fully consummate and effect the transactions, rights and obligations set forth in and contemplated by this Agreement. Such assurances shall include working together in good faith and cooperating, both prior to and after Closing, with regard to achieving the prorations contemplated by this Agreement. This provision shall survive Closing.</w:t>
      </w:r>
    </w:p>
    <w:p>
      <w:pPr>
        <w:spacing w:after="0" w:line="183" w:lineRule="exact"/>
        <w:rPr>
          <w:rFonts w:ascii="Arial" w:cs="Arial" w:eastAsia="Arial" w:hAnsi="Arial"/>
          <w:sz w:val="18"/>
          <w:szCs w:val="18"/>
          <w:color w:val="auto"/>
        </w:rPr>
      </w:pPr>
    </w:p>
    <w:p>
      <w:pPr>
        <w:jc w:val="both"/>
        <w:ind w:firstLine="656"/>
        <w:spacing w:after="0" w:line="258" w:lineRule="auto"/>
        <w:tabs>
          <w:tab w:leader="none" w:pos="1471" w:val="left"/>
        </w:tabs>
        <w:numPr>
          <w:ilvl w:val="0"/>
          <w:numId w:val="305"/>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and Purchaser represent and warrant to each other that neither has had dealings with any realtor or other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broker or agent in connection with the sale of the Property or the negotiation of this Agreement, other than Rise Partners, LLC which is Purchaser’s broker (</w:t>
      </w:r>
      <w:r>
        <w:rPr>
          <w:rFonts w:ascii="Arial" w:cs="Arial" w:eastAsia="Arial" w:hAnsi="Arial"/>
          <w:sz w:val="18"/>
          <w:szCs w:val="18"/>
          <w:b w:val="1"/>
          <w:bCs w:val="1"/>
          <w:color w:val="auto"/>
        </w:rPr>
        <w:t>“Purchaser’s Broker”</w:t>
      </w:r>
      <w:r>
        <w:rPr>
          <w:rFonts w:ascii="Arial" w:cs="Arial" w:eastAsia="Arial" w:hAnsi="Arial"/>
          <w:sz w:val="18"/>
          <w:szCs w:val="18"/>
          <w:color w:val="auto"/>
        </w:rPr>
        <w:t>). Seller shall pay and hold Purchaser harmless with respect to any compensation owing to Purchaser’s Broker in connection with the transaction contemplated by this Agreement pursuant to a separate written agreement. The obligations contained in this Section will survive Closing or any other termination of this Agreement.</w:t>
      </w:r>
    </w:p>
    <w:p>
      <w:pPr>
        <w:spacing w:after="0" w:line="183" w:lineRule="exact"/>
        <w:rPr>
          <w:rFonts w:ascii="Arial" w:cs="Arial" w:eastAsia="Arial" w:hAnsi="Arial"/>
          <w:sz w:val="18"/>
          <w:szCs w:val="18"/>
          <w:color w:val="auto"/>
        </w:rPr>
      </w:pPr>
    </w:p>
    <w:p>
      <w:pPr>
        <w:jc w:val="both"/>
        <w:ind w:firstLine="656"/>
        <w:spacing w:after="0" w:line="271" w:lineRule="auto"/>
        <w:tabs>
          <w:tab w:leader="none" w:pos="1417" w:val="left"/>
        </w:tabs>
        <w:numPr>
          <w:ilvl w:val="0"/>
          <w:numId w:val="305"/>
        </w:numPr>
        <w:rPr>
          <w:rFonts w:ascii="Arial" w:cs="Arial" w:eastAsia="Arial" w:hAnsi="Arial"/>
          <w:sz w:val="17"/>
          <w:szCs w:val="17"/>
          <w:color w:val="auto"/>
        </w:rPr>
      </w:pPr>
      <w:r>
        <w:rPr>
          <w:rFonts w:ascii="Arial" w:cs="Arial" w:eastAsia="Arial" w:hAnsi="Arial"/>
          <w:sz w:val="17"/>
          <w:szCs w:val="17"/>
          <w:b w:val="1"/>
          <w:bCs w:val="1"/>
          <w:u w:val="single" w:color="auto"/>
          <w:color w:val="auto"/>
        </w:rPr>
        <w:t>Tax Free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If Seller elects to close the sale of the Property as part of a Section 1031 tax-free exchange, Purchaser agrees to</w:t>
      </w:r>
      <w:r>
        <w:rPr>
          <w:rFonts w:ascii="Arial" w:cs="Arial" w:eastAsia="Arial" w:hAnsi="Arial"/>
          <w:sz w:val="17"/>
          <w:szCs w:val="17"/>
          <w:b w:val="1"/>
          <w:bCs w:val="1"/>
          <w:color w:val="auto"/>
        </w:rPr>
        <w:t xml:space="preserve"> </w:t>
      </w:r>
      <w:r>
        <w:rPr>
          <w:rFonts w:ascii="Arial" w:cs="Arial" w:eastAsia="Arial" w:hAnsi="Arial"/>
          <w:sz w:val="17"/>
          <w:szCs w:val="17"/>
          <w:color w:val="auto"/>
        </w:rPr>
        <w:t>cooperate with Seller as reasonably requested, so long as Purchaser is not required to enter into the chain of title of any property other than the Property or to incur any costs, expense obligations or liabilities with reference to such exchange or exchange property or properties, the party performing such exchange shall bear all costs and expenses generated by such election (including, but not limited to, any increase in legal fees associated therewith), and the Closing Deadline is not delayed, and the Purchase Price is not affected. Seller and Purchaser agree that (</w:t>
      </w:r>
      <w:r>
        <w:rPr>
          <w:rFonts w:ascii="Arial" w:cs="Arial" w:eastAsia="Arial" w:hAnsi="Arial"/>
          <w:sz w:val="17"/>
          <w:szCs w:val="17"/>
          <w:i w:val="1"/>
          <w:iCs w:val="1"/>
          <w:color w:val="auto"/>
        </w:rPr>
        <w:t>i</w:t>
      </w:r>
      <w:r>
        <w:rPr>
          <w:rFonts w:ascii="Arial" w:cs="Arial" w:eastAsia="Arial" w:hAnsi="Arial"/>
          <w:sz w:val="17"/>
          <w:szCs w:val="17"/>
          <w:color w:val="auto"/>
        </w:rPr>
        <w:t>) Seller may assign its right, title and interest in this Agreement to a qualified intermediary in order to facilitate a deferred like-kind exchange, provided that such assignment does not release Seller from its obligations hereunder; (</w:t>
      </w:r>
      <w:r>
        <w:rPr>
          <w:rFonts w:ascii="Arial" w:cs="Arial" w:eastAsia="Arial" w:hAnsi="Arial"/>
          <w:sz w:val="17"/>
          <w:szCs w:val="17"/>
          <w:i w:val="1"/>
          <w:iCs w:val="1"/>
          <w:color w:val="auto"/>
        </w:rPr>
        <w:t>ii</w:t>
      </w:r>
      <w:r>
        <w:rPr>
          <w:rFonts w:ascii="Arial" w:cs="Arial" w:eastAsia="Arial" w:hAnsi="Arial"/>
          <w:sz w:val="17"/>
          <w:szCs w:val="17"/>
          <w:color w:val="auto"/>
        </w:rPr>
        <w:t>) that Purchaser shall have no recourse whatsoever against the qualified intermediary under this Agreement; and (</w:t>
      </w:r>
      <w:r>
        <w:rPr>
          <w:rFonts w:ascii="Arial" w:cs="Arial" w:eastAsia="Arial" w:hAnsi="Arial"/>
          <w:sz w:val="17"/>
          <w:szCs w:val="17"/>
          <w:i w:val="1"/>
          <w:iCs w:val="1"/>
          <w:color w:val="auto"/>
        </w:rPr>
        <w:t>iii</w:t>
      </w:r>
      <w:r>
        <w:rPr>
          <w:rFonts w:ascii="Arial" w:cs="Arial" w:eastAsia="Arial" w:hAnsi="Arial"/>
          <w:sz w:val="17"/>
          <w:szCs w:val="17"/>
          <w:color w:val="auto"/>
        </w:rPr>
        <w:t>) Purchaser shall execute any and all documents reasonably necessary to consummate the assignment of Seller’s right, title and interest in this Agreement to the qualified intermediary.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0" w:name="page251"/>
    <w:bookmarkEnd w:id="250"/>
    <w:p>
      <w:pPr>
        <w:jc w:val="both"/>
        <w:ind w:firstLine="648"/>
        <w:spacing w:after="0" w:line="273" w:lineRule="auto"/>
        <w:rPr>
          <w:sz w:val="20"/>
          <w:szCs w:val="20"/>
          <w:color w:val="auto"/>
        </w:rPr>
      </w:pPr>
      <w:r>
        <w:rPr>
          <w:rFonts w:ascii="Arial" w:cs="Arial" w:eastAsia="Arial" w:hAnsi="Arial"/>
          <w:sz w:val="17"/>
          <w:szCs w:val="17"/>
          <w:color w:val="auto"/>
        </w:rPr>
        <w:t>If Purchaser elects to close the sale of the Property as part of a Section 1031 tax-free exchange, Seller agrees to cooperate with Purchaser as reasonably requested, so long as Seller does not incur any additional costs, the Closing Deadline is not delayed, and the Purchase Price is not affected. Seller and Purchaser agree that (</w:t>
      </w:r>
      <w:r>
        <w:rPr>
          <w:rFonts w:ascii="Arial" w:cs="Arial" w:eastAsia="Arial" w:hAnsi="Arial"/>
          <w:sz w:val="17"/>
          <w:szCs w:val="17"/>
          <w:i w:val="1"/>
          <w:iCs w:val="1"/>
          <w:color w:val="auto"/>
        </w:rPr>
        <w:t>i</w:t>
      </w:r>
      <w:r>
        <w:rPr>
          <w:rFonts w:ascii="Arial" w:cs="Arial" w:eastAsia="Arial" w:hAnsi="Arial"/>
          <w:sz w:val="17"/>
          <w:szCs w:val="17"/>
          <w:color w:val="auto"/>
        </w:rPr>
        <w:t>) Purchaser may assign its right, title and interest in this Agreement to a qualified intermediary in order to facilitate a deferred like-kind exchange, provided that such assignment does not release Purchaser from its obligations hereunder; (</w:t>
      </w:r>
      <w:r>
        <w:rPr>
          <w:rFonts w:ascii="Arial" w:cs="Arial" w:eastAsia="Arial" w:hAnsi="Arial"/>
          <w:sz w:val="17"/>
          <w:szCs w:val="17"/>
          <w:i w:val="1"/>
          <w:iCs w:val="1"/>
          <w:color w:val="auto"/>
        </w:rPr>
        <w:t>ii</w:t>
      </w:r>
      <w:r>
        <w:rPr>
          <w:rFonts w:ascii="Arial" w:cs="Arial" w:eastAsia="Arial" w:hAnsi="Arial"/>
          <w:sz w:val="17"/>
          <w:szCs w:val="17"/>
          <w:color w:val="auto"/>
        </w:rPr>
        <w:t>) that Seller shall have no recourse whatsoever against the qualified intermediary under this Agreement; and (</w:t>
      </w:r>
      <w:r>
        <w:rPr>
          <w:rFonts w:ascii="Arial" w:cs="Arial" w:eastAsia="Arial" w:hAnsi="Arial"/>
          <w:sz w:val="17"/>
          <w:szCs w:val="17"/>
          <w:i w:val="1"/>
          <w:iCs w:val="1"/>
          <w:color w:val="auto"/>
        </w:rPr>
        <w:t>iii</w:t>
      </w:r>
      <w:r>
        <w:rPr>
          <w:rFonts w:ascii="Arial" w:cs="Arial" w:eastAsia="Arial" w:hAnsi="Arial"/>
          <w:sz w:val="17"/>
          <w:szCs w:val="17"/>
          <w:color w:val="auto"/>
        </w:rPr>
        <w:t>) Seller shall execute any and all documents necessary to consummate the assignment of Purchaser’s right, title and interest in this Agreement to the qualified intermediary.</w:t>
      </w:r>
    </w:p>
    <w:p>
      <w:pPr>
        <w:spacing w:after="0" w:line="174" w:lineRule="exact"/>
        <w:rPr>
          <w:sz w:val="20"/>
          <w:szCs w:val="20"/>
          <w:color w:val="auto"/>
        </w:rPr>
      </w:pPr>
    </w:p>
    <w:p>
      <w:pPr>
        <w:ind w:left="1380" w:hanging="724"/>
        <w:spacing w:after="0"/>
        <w:tabs>
          <w:tab w:leader="none" w:pos="1380"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2000" w:hanging="696"/>
        <w:spacing w:after="0"/>
        <w:tabs>
          <w:tab w:leader="none" w:pos="20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TIME IS OF THE ESSENCE OF ALL UNDERTAKINGS AND AGREEMENTS OF THE PARTIES HERETO.</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under the laws of the state of Tennessee.</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296"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This Agreement may be executed in several counterparts, each of which shall be deemed an original and all of which counterparts together shall constitute one and the same instrument.</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207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Should any provision of this Agreement require judicial interpretation, it is agreed that the court interpreting or construing the same shall not apply a presumption that the terms of this Agreement shall be more strictly construed against one party by reason of the rule of construction that a document is to be construed more strictly against the party who itself or through its agent prepared the same, it being agreed that the agents of all Parties have participated in the preparation of this Agreement.</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061"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This Agreement supersedes all prior discussions and agreements between Seller and Purchaser with respect to the conveyance of the Property and all other matters contained in this Agreement and constitutes the sole and entire agreement between Seller and Purchaser with respect thereto. This Agreement may not be modified or amended unless such amendment is set forth in writing and signed by both Seller and Purchaser.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1" w:name="page252"/>
    <w:bookmarkEnd w:id="251"/>
    <w:p>
      <w:pPr>
        <w:jc w:val="both"/>
        <w:ind w:left="-460" w:firstLine="644"/>
        <w:spacing w:after="0" w:line="266" w:lineRule="auto"/>
        <w:tabs>
          <w:tab w:leader="none" w:pos="89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All notices, payments, demands or requests required or permitted to be given pursuant to this Agreement shall be in writing and shall be deemed to have been properly given or served and shall be effective on (</w:t>
      </w:r>
      <w:r>
        <w:rPr>
          <w:rFonts w:ascii="Arial" w:cs="Arial" w:eastAsia="Arial" w:hAnsi="Arial"/>
          <w:sz w:val="16"/>
          <w:szCs w:val="16"/>
          <w:i w:val="1"/>
          <w:iCs w:val="1"/>
          <w:color w:val="auto"/>
        </w:rPr>
        <w:t>i</w:t>
      </w:r>
      <w:r>
        <w:rPr>
          <w:rFonts w:ascii="Arial" w:cs="Arial" w:eastAsia="Arial" w:hAnsi="Arial"/>
          <w:sz w:val="16"/>
          <w:szCs w:val="16"/>
          <w:color w:val="auto"/>
        </w:rPr>
        <w:t>) personal delivery; or (</w:t>
      </w:r>
      <w:r>
        <w:rPr>
          <w:rFonts w:ascii="Arial" w:cs="Arial" w:eastAsia="Arial" w:hAnsi="Arial"/>
          <w:sz w:val="16"/>
          <w:szCs w:val="16"/>
          <w:i w:val="1"/>
          <w:iCs w:val="1"/>
          <w:color w:val="auto"/>
        </w:rPr>
        <w:t>ii</w:t>
      </w:r>
      <w:r>
        <w:rPr>
          <w:rFonts w:ascii="Arial" w:cs="Arial" w:eastAsia="Arial" w:hAnsi="Arial"/>
          <w:sz w:val="16"/>
          <w:szCs w:val="16"/>
          <w:color w:val="auto"/>
        </w:rPr>
        <w:t>)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after being deposited in the United States mail, postpaid and registered or certified with return receipt requested; or (</w:t>
      </w:r>
      <w:r>
        <w:rPr>
          <w:rFonts w:ascii="Arial" w:cs="Arial" w:eastAsia="Arial" w:hAnsi="Arial"/>
          <w:sz w:val="16"/>
          <w:szCs w:val="16"/>
          <w:i w:val="1"/>
          <w:iCs w:val="1"/>
          <w:color w:val="auto"/>
        </w:rPr>
        <w:t>iii</w:t>
      </w:r>
      <w:r>
        <w:rPr>
          <w:rFonts w:ascii="Arial" w:cs="Arial" w:eastAsia="Arial" w:hAnsi="Arial"/>
          <w:sz w:val="16"/>
          <w:szCs w:val="16"/>
          <w:color w:val="auto"/>
        </w:rPr>
        <w:t>) when sent by private courier service for same-day delivery; or (</w:t>
      </w:r>
      <w:r>
        <w:rPr>
          <w:rFonts w:ascii="Arial" w:cs="Arial" w:eastAsia="Arial" w:hAnsi="Arial"/>
          <w:sz w:val="16"/>
          <w:szCs w:val="16"/>
          <w:i w:val="1"/>
          <w:iCs w:val="1"/>
          <w:color w:val="auto"/>
        </w:rPr>
        <w:t>iv</w:t>
      </w:r>
      <w:r>
        <w:rPr>
          <w:rFonts w:ascii="Arial" w:cs="Arial" w:eastAsia="Arial" w:hAnsi="Arial"/>
          <w:sz w:val="16"/>
          <w:szCs w:val="16"/>
          <w:color w:val="auto"/>
        </w:rPr>
        <w:t>) one (1) day after being sent by private courier service for next-day delivery; or (</w:t>
      </w:r>
      <w:r>
        <w:rPr>
          <w:rFonts w:ascii="Arial" w:cs="Arial" w:eastAsia="Arial" w:hAnsi="Arial"/>
          <w:sz w:val="16"/>
          <w:szCs w:val="16"/>
          <w:i w:val="1"/>
          <w:iCs w:val="1"/>
          <w:color w:val="auto"/>
        </w:rPr>
        <w:t>v</w:t>
      </w:r>
      <w:r>
        <w:rPr>
          <w:rFonts w:ascii="Arial" w:cs="Arial" w:eastAsia="Arial" w:hAnsi="Arial"/>
          <w:sz w:val="16"/>
          <w:szCs w:val="16"/>
          <w:color w:val="auto"/>
        </w:rPr>
        <w:t>) on the business day that such notice or other communication is sent by facsimile, electronic mail or similar electronic device. The time period in which a response to any notice, demand or request must be given shall commence on the date of receipt by the addressee of such notice, demand or request. Rejection or other refusal to accept delivery or inability to deliver because of changed address, of which no notice has been given, shall constitute receipt of the notice, demand or request sent. Any such notice, demand or request shall be sent to the respective addresses set forth below:</w:t>
      </w:r>
    </w:p>
    <w:p>
      <w:pPr>
        <w:spacing w:after="0" w:line="185" w:lineRule="exact"/>
        <w:rPr>
          <w:sz w:val="20"/>
          <w:szCs w:val="20"/>
          <w:color w:val="auto"/>
        </w:rPr>
      </w:pPr>
    </w:p>
    <w:tbl>
      <w:tblPr>
        <w:tblLayout w:type="fixed"/>
        <w:tblInd w:w="284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If to Seller:</w:t>
            </w: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West End Property II, LLC</w:t>
            </w: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c/o Urban Story Ventures</w:t>
            </w:r>
          </w:p>
        </w:tc>
      </w:tr>
      <w:tr>
        <w:trPr>
          <w:trHeight w:val="216"/>
        </w:trPr>
        <w:tc>
          <w:tcPr>
            <w:tcW w:w="1680" w:type="dxa"/>
            <w:vAlign w:val="bottom"/>
          </w:tcPr>
          <w:p>
            <w:pPr>
              <w:spacing w:after="0"/>
              <w:rPr>
                <w:sz w:val="18"/>
                <w:szCs w:val="18"/>
                <w:color w:val="auto"/>
              </w:rPr>
            </w:pPr>
          </w:p>
        </w:tc>
        <w:tc>
          <w:tcPr>
            <w:tcW w:w="1780" w:type="dxa"/>
            <w:vAlign w:val="bottom"/>
            <w:gridSpan w:val="2"/>
          </w:tcPr>
          <w:p>
            <w:pPr>
              <w:ind w:left="560"/>
              <w:spacing w:after="0"/>
              <w:rPr>
                <w:sz w:val="20"/>
                <w:szCs w:val="20"/>
                <w:color w:val="auto"/>
              </w:rPr>
            </w:pPr>
            <w:r>
              <w:rPr>
                <w:rFonts w:ascii="Arial" w:cs="Arial" w:eastAsia="Arial" w:hAnsi="Arial"/>
                <w:sz w:val="18"/>
                <w:szCs w:val="18"/>
                <w:color w:val="auto"/>
                <w:w w:val="88"/>
              </w:rPr>
              <w:t>735 Broad Street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780" w:type="dxa"/>
            <w:vAlign w:val="bottom"/>
            <w:gridSpan w:val="2"/>
          </w:tcPr>
          <w:p>
            <w:pPr>
              <w:ind w:left="560"/>
              <w:spacing w:after="0"/>
              <w:rPr>
                <w:sz w:val="20"/>
                <w:szCs w:val="20"/>
                <w:color w:val="auto"/>
              </w:rPr>
            </w:pPr>
            <w:r>
              <w:rPr>
                <w:rFonts w:ascii="Arial" w:cs="Arial" w:eastAsia="Arial" w:hAnsi="Arial"/>
                <w:sz w:val="18"/>
                <w:szCs w:val="18"/>
                <w:color w:val="auto"/>
              </w:rPr>
              <w:t>Suite 100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Chattanooga, TN 37402</w:t>
            </w: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Attention: James K. White III, President</w:t>
            </w:r>
          </w:p>
        </w:tc>
      </w:tr>
      <w:tr>
        <w:trPr>
          <w:trHeight w:val="190"/>
        </w:trPr>
        <w:tc>
          <w:tcPr>
            <w:tcW w:w="1680" w:type="dxa"/>
            <w:vAlign w:val="bottom"/>
          </w:tcPr>
          <w:p>
            <w:pPr>
              <w:spacing w:after="0"/>
              <w:rPr>
                <w:sz w:val="16"/>
                <w:szCs w:val="16"/>
                <w:color w:val="auto"/>
              </w:rPr>
            </w:pPr>
          </w:p>
        </w:tc>
        <w:tc>
          <w:tcPr>
            <w:tcW w:w="4020" w:type="dxa"/>
            <w:vAlign w:val="bottom"/>
            <w:gridSpan w:val="9"/>
          </w:tcPr>
          <w:p>
            <w:pPr>
              <w:ind w:left="560"/>
              <w:spacing w:after="0" w:line="190" w:lineRule="exact"/>
              <w:rPr>
                <w:sz w:val="20"/>
                <w:szCs w:val="20"/>
                <w:color w:val="auto"/>
              </w:rPr>
            </w:pPr>
            <w:r>
              <w:rPr>
                <w:rFonts w:ascii="Arial" w:cs="Arial" w:eastAsia="Arial" w:hAnsi="Arial"/>
                <w:sz w:val="18"/>
                <w:szCs w:val="18"/>
                <w:color w:val="auto"/>
                <w:w w:val="94"/>
              </w:rPr>
              <w:t>Email: jimmv.white@,urbanstoryventures.com</w:t>
            </w:r>
          </w:p>
        </w:tc>
      </w:tr>
      <w:tr>
        <w:trPr>
          <w:trHeight w:val="20"/>
        </w:trPr>
        <w:tc>
          <w:tcPr>
            <w:tcW w:w="16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1680" w:type="dxa"/>
            <w:vAlign w:val="bottom"/>
          </w:tcPr>
          <w:p>
            <w:pPr>
              <w:spacing w:after="0"/>
              <w:rPr>
                <w:sz w:val="20"/>
                <w:szCs w:val="20"/>
                <w:color w:val="auto"/>
              </w:rPr>
            </w:pPr>
            <w:r>
              <w:rPr>
                <w:rFonts w:ascii="Arial" w:cs="Arial" w:eastAsia="Arial" w:hAnsi="Arial"/>
                <w:sz w:val="18"/>
                <w:szCs w:val="18"/>
                <w:color w:val="auto"/>
              </w:rPr>
              <w:t>with a copy to:</w:t>
            </w:r>
          </w:p>
        </w:tc>
        <w:tc>
          <w:tcPr>
            <w:tcW w:w="1780" w:type="dxa"/>
            <w:vAlign w:val="bottom"/>
            <w:gridSpan w:val="2"/>
          </w:tcPr>
          <w:p>
            <w:pPr>
              <w:ind w:left="560"/>
              <w:spacing w:after="0"/>
              <w:rPr>
                <w:sz w:val="20"/>
                <w:szCs w:val="20"/>
                <w:color w:val="auto"/>
              </w:rPr>
            </w:pPr>
            <w:r>
              <w:rPr>
                <w:rFonts w:ascii="Arial" w:cs="Arial" w:eastAsia="Arial" w:hAnsi="Arial"/>
                <w:sz w:val="18"/>
                <w:szCs w:val="18"/>
                <w:color w:val="auto"/>
                <w:w w:val="99"/>
              </w:rPr>
              <w:t>Brad Shumpert</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Chief Legal Officer</w:t>
            </w: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Urban Story Ventures</w:t>
            </w:r>
          </w:p>
        </w:tc>
      </w:tr>
      <w:tr>
        <w:trPr>
          <w:trHeight w:val="216"/>
        </w:trPr>
        <w:tc>
          <w:tcPr>
            <w:tcW w:w="1680" w:type="dxa"/>
            <w:vAlign w:val="bottom"/>
          </w:tcPr>
          <w:p>
            <w:pPr>
              <w:spacing w:after="0"/>
              <w:rPr>
                <w:sz w:val="18"/>
                <w:szCs w:val="18"/>
                <w:color w:val="auto"/>
              </w:rPr>
            </w:pPr>
          </w:p>
        </w:tc>
        <w:tc>
          <w:tcPr>
            <w:tcW w:w="1780" w:type="dxa"/>
            <w:vAlign w:val="bottom"/>
            <w:gridSpan w:val="2"/>
          </w:tcPr>
          <w:p>
            <w:pPr>
              <w:ind w:left="560"/>
              <w:spacing w:after="0"/>
              <w:rPr>
                <w:sz w:val="20"/>
                <w:szCs w:val="20"/>
                <w:color w:val="auto"/>
              </w:rPr>
            </w:pPr>
            <w:r>
              <w:rPr>
                <w:rFonts w:ascii="Arial" w:cs="Arial" w:eastAsia="Arial" w:hAnsi="Arial"/>
                <w:sz w:val="18"/>
                <w:szCs w:val="18"/>
                <w:color w:val="auto"/>
                <w:w w:val="88"/>
              </w:rPr>
              <w:t>735 Broad Street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780" w:type="dxa"/>
            <w:vAlign w:val="bottom"/>
            <w:gridSpan w:val="2"/>
          </w:tcPr>
          <w:p>
            <w:pPr>
              <w:ind w:left="560"/>
              <w:spacing w:after="0"/>
              <w:rPr>
                <w:sz w:val="20"/>
                <w:szCs w:val="20"/>
                <w:color w:val="auto"/>
              </w:rPr>
            </w:pPr>
            <w:r>
              <w:rPr>
                <w:rFonts w:ascii="Arial" w:cs="Arial" w:eastAsia="Arial" w:hAnsi="Arial"/>
                <w:sz w:val="18"/>
                <w:szCs w:val="18"/>
                <w:color w:val="auto"/>
              </w:rPr>
              <w:t>Suite 100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Chattanooga, TN 37402</w:t>
            </w:r>
          </w:p>
        </w:tc>
      </w:tr>
      <w:tr>
        <w:trPr>
          <w:trHeight w:val="190"/>
        </w:trPr>
        <w:tc>
          <w:tcPr>
            <w:tcW w:w="1680" w:type="dxa"/>
            <w:vAlign w:val="bottom"/>
          </w:tcPr>
          <w:p>
            <w:pPr>
              <w:spacing w:after="0"/>
              <w:rPr>
                <w:sz w:val="16"/>
                <w:szCs w:val="16"/>
                <w:color w:val="auto"/>
              </w:rPr>
            </w:pPr>
          </w:p>
        </w:tc>
        <w:tc>
          <w:tcPr>
            <w:tcW w:w="4020" w:type="dxa"/>
            <w:vAlign w:val="bottom"/>
            <w:gridSpan w:val="9"/>
          </w:tcPr>
          <w:p>
            <w:pPr>
              <w:ind w:left="560"/>
              <w:spacing w:after="0" w:line="190" w:lineRule="exact"/>
              <w:rPr>
                <w:sz w:val="20"/>
                <w:szCs w:val="20"/>
                <w:color w:val="auto"/>
              </w:rPr>
            </w:pPr>
            <w:r>
              <w:rPr>
                <w:rFonts w:ascii="Arial" w:cs="Arial" w:eastAsia="Arial" w:hAnsi="Arial"/>
                <w:sz w:val="18"/>
                <w:szCs w:val="18"/>
                <w:color w:val="auto"/>
                <w:w w:val="89"/>
              </w:rPr>
              <w:t>Email: brad.shumpert@urbanstoryventures.com</w:t>
            </w:r>
          </w:p>
        </w:tc>
      </w:tr>
      <w:tr>
        <w:trPr>
          <w:trHeight w:val="20"/>
        </w:trPr>
        <w:tc>
          <w:tcPr>
            <w:tcW w:w="16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r>
      <w:tr>
        <w:trPr>
          <w:trHeight w:val="438"/>
        </w:trPr>
        <w:tc>
          <w:tcPr>
            <w:tcW w:w="1680" w:type="dxa"/>
            <w:vAlign w:val="bottom"/>
          </w:tcPr>
          <w:p>
            <w:pPr>
              <w:spacing w:after="0"/>
              <w:rPr>
                <w:sz w:val="20"/>
                <w:szCs w:val="20"/>
                <w:color w:val="auto"/>
              </w:rPr>
            </w:pPr>
            <w:r>
              <w:rPr>
                <w:rFonts w:ascii="Arial" w:cs="Arial" w:eastAsia="Arial" w:hAnsi="Arial"/>
                <w:sz w:val="18"/>
                <w:szCs w:val="18"/>
                <w:color w:val="auto"/>
              </w:rPr>
              <w:t>If to Purchaser:</w:t>
            </w: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PUREGraphite, LLC</w:t>
            </w: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353 Corporate Place</w:t>
            </w: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Chattanooga, TN 37419</w:t>
            </w:r>
          </w:p>
        </w:tc>
      </w:tr>
      <w:tr>
        <w:trPr>
          <w:trHeight w:val="216"/>
        </w:trPr>
        <w:tc>
          <w:tcPr>
            <w:tcW w:w="1680" w:type="dxa"/>
            <w:vAlign w:val="bottom"/>
          </w:tcPr>
          <w:p>
            <w:pPr>
              <w:spacing w:after="0"/>
              <w:rPr>
                <w:sz w:val="18"/>
                <w:szCs w:val="18"/>
                <w:color w:val="auto"/>
              </w:rPr>
            </w:pPr>
          </w:p>
        </w:tc>
        <w:tc>
          <w:tcPr>
            <w:tcW w:w="1780" w:type="dxa"/>
            <w:vAlign w:val="bottom"/>
            <w:gridSpan w:val="2"/>
          </w:tcPr>
          <w:p>
            <w:pPr>
              <w:ind w:left="560"/>
              <w:spacing w:after="0"/>
              <w:rPr>
                <w:sz w:val="20"/>
                <w:szCs w:val="20"/>
                <w:color w:val="auto"/>
              </w:rPr>
            </w:pPr>
            <w:r>
              <w:rPr>
                <w:rFonts w:ascii="Arial" w:cs="Arial" w:eastAsia="Arial" w:hAnsi="Arial"/>
                <w:sz w:val="18"/>
                <w:szCs w:val="18"/>
                <w:color w:val="auto"/>
              </w:rPr>
              <w:t>Attention:</w:t>
            </w:r>
          </w:p>
        </w:tc>
        <w:tc>
          <w:tcPr>
            <w:tcW w:w="2240" w:type="dxa"/>
            <w:vAlign w:val="bottom"/>
            <w:gridSpan w:val="7"/>
          </w:tcPr>
          <w:p>
            <w:pPr>
              <w:ind w:left="20"/>
              <w:spacing w:after="0"/>
              <w:rPr>
                <w:sz w:val="20"/>
                <w:szCs w:val="20"/>
                <w:color w:val="auto"/>
              </w:rPr>
            </w:pPr>
            <w:r>
              <w:rPr>
                <w:rFonts w:ascii="Arial" w:cs="Arial" w:eastAsia="Arial" w:hAnsi="Arial"/>
                <w:sz w:val="18"/>
                <w:szCs w:val="18"/>
                <w:color w:val="auto"/>
                <w:w w:val="92"/>
              </w:rPr>
              <w:t>John Christopher Burns, CEO</w:t>
            </w:r>
          </w:p>
        </w:tc>
      </w:tr>
      <w:tr>
        <w:trPr>
          <w:trHeight w:val="216"/>
        </w:trPr>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gridSpan w:val="7"/>
          </w:tcPr>
          <w:p>
            <w:pPr>
              <w:ind w:left="20"/>
              <w:spacing w:after="0"/>
              <w:rPr>
                <w:sz w:val="20"/>
                <w:szCs w:val="20"/>
                <w:color w:val="auto"/>
              </w:rPr>
            </w:pPr>
            <w:r>
              <w:rPr>
                <w:rFonts w:ascii="Arial" w:cs="Arial" w:eastAsia="Arial" w:hAnsi="Arial"/>
                <w:sz w:val="18"/>
                <w:szCs w:val="18"/>
                <w:color w:val="auto"/>
              </w:rPr>
              <w:t>Daniel Deas, COO</w:t>
            </w:r>
          </w:p>
        </w:tc>
      </w:tr>
      <w:tr>
        <w:trPr>
          <w:trHeight w:val="216"/>
        </w:trPr>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gridSpan w:val="7"/>
          </w:tcPr>
          <w:p>
            <w:pPr>
              <w:ind w:left="20"/>
              <w:spacing w:after="0"/>
              <w:rPr>
                <w:sz w:val="20"/>
                <w:szCs w:val="20"/>
                <w:color w:val="auto"/>
              </w:rPr>
            </w:pPr>
            <w:r>
              <w:rPr>
                <w:rFonts w:ascii="Arial" w:cs="Arial" w:eastAsia="Arial" w:hAnsi="Arial"/>
                <w:sz w:val="18"/>
                <w:szCs w:val="18"/>
                <w:color w:val="auto"/>
              </w:rPr>
              <w:t>Nick Liveris, CFO</w:t>
            </w:r>
          </w:p>
        </w:tc>
      </w:tr>
      <w:tr>
        <w:trPr>
          <w:trHeight w:val="216"/>
        </w:trPr>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gridSpan w:val="7"/>
          </w:tcPr>
          <w:p>
            <w:pPr>
              <w:ind w:left="20"/>
              <w:spacing w:after="0"/>
              <w:rPr>
                <w:sz w:val="20"/>
                <w:szCs w:val="20"/>
                <w:color w:val="auto"/>
              </w:rPr>
            </w:pPr>
            <w:r>
              <w:rPr>
                <w:rFonts w:ascii="Arial" w:cs="Arial" w:eastAsia="Arial" w:hAnsi="Arial"/>
                <w:sz w:val="18"/>
                <w:szCs w:val="18"/>
                <w:color w:val="auto"/>
              </w:rPr>
              <w:t>Rnhprt T Natter Executive</w:t>
            </w:r>
          </w:p>
        </w:tc>
      </w:tr>
      <w:tr>
        <w:trPr>
          <w:trHeight w:val="216"/>
        </w:trPr>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gridSpan w:val="7"/>
          </w:tcPr>
          <w:p>
            <w:pPr>
              <w:ind w:left="20"/>
              <w:spacing w:after="0"/>
              <w:rPr>
                <w:sz w:val="20"/>
                <w:szCs w:val="20"/>
                <w:color w:val="auto"/>
              </w:rPr>
            </w:pPr>
            <w:r>
              <w:rPr>
                <w:rFonts w:ascii="Arial" w:cs="Arial" w:eastAsia="Arial" w:hAnsi="Arial"/>
                <w:sz w:val="18"/>
                <w:szCs w:val="18"/>
                <w:color w:val="auto"/>
              </w:rPr>
              <w:t>Director</w:t>
            </w:r>
          </w:p>
        </w:tc>
      </w:tr>
      <w:tr>
        <w:trPr>
          <w:trHeight w:val="190"/>
        </w:trPr>
        <w:tc>
          <w:tcPr>
            <w:tcW w:w="1680" w:type="dxa"/>
            <w:vAlign w:val="bottom"/>
          </w:tcPr>
          <w:p>
            <w:pPr>
              <w:spacing w:after="0"/>
              <w:rPr>
                <w:sz w:val="16"/>
                <w:szCs w:val="16"/>
                <w:color w:val="auto"/>
              </w:rPr>
            </w:pPr>
          </w:p>
        </w:tc>
        <w:tc>
          <w:tcPr>
            <w:tcW w:w="4020" w:type="dxa"/>
            <w:vAlign w:val="bottom"/>
            <w:gridSpan w:val="9"/>
          </w:tcPr>
          <w:p>
            <w:pPr>
              <w:ind w:left="560"/>
              <w:spacing w:after="0" w:line="190" w:lineRule="exact"/>
              <w:rPr>
                <w:sz w:val="20"/>
                <w:szCs w:val="20"/>
                <w:color w:val="auto"/>
              </w:rPr>
            </w:pPr>
            <w:r>
              <w:rPr>
                <w:rFonts w:ascii="Arial" w:cs="Arial" w:eastAsia="Arial" w:hAnsi="Arial"/>
                <w:sz w:val="18"/>
                <w:szCs w:val="18"/>
                <w:color w:val="auto"/>
              </w:rPr>
              <w:t>Email: Chris@,novonixgroup.corn</w:t>
            </w:r>
          </w:p>
        </w:tc>
      </w:tr>
      <w:tr>
        <w:trPr>
          <w:trHeight w:val="196"/>
        </w:trPr>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8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9"/>
              </w:rPr>
              <w:t>danny@puregraphite.com</w:t>
            </w:r>
          </w:p>
        </w:tc>
        <w:tc>
          <w:tcPr>
            <w:tcW w:w="80" w:type="dxa"/>
            <w:vAlign w:val="bottom"/>
            <w:tcBorders>
              <w:top w:val="single" w:sz="8" w:color="auto"/>
            </w:tcBorders>
          </w:tcPr>
          <w:p>
            <w:pPr>
              <w:spacing w:after="0"/>
              <w:rPr>
                <w:sz w:val="17"/>
                <w:szCs w:val="17"/>
                <w:color w:val="auto"/>
              </w:rPr>
            </w:pPr>
          </w:p>
        </w:tc>
        <w:tc>
          <w:tcPr>
            <w:tcW w:w="960" w:type="dxa"/>
            <w:vAlign w:val="bottom"/>
            <w:gridSpan w:val="3"/>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20" w:type="dxa"/>
            <w:vAlign w:val="bottom"/>
            <w:gridSpan w:val="8"/>
          </w:tcPr>
          <w:p>
            <w:pPr>
              <w:spacing w:after="0" w:line="196" w:lineRule="exact"/>
              <w:rPr>
                <w:sz w:val="20"/>
                <w:szCs w:val="20"/>
                <w:color w:val="auto"/>
              </w:rPr>
            </w:pPr>
            <w:r>
              <w:rPr>
                <w:rFonts w:ascii="Arial" w:cs="Arial" w:eastAsia="Arial" w:hAnsi="Arial"/>
                <w:sz w:val="18"/>
                <w:szCs w:val="18"/>
                <w:color w:val="auto"/>
              </w:rPr>
              <w:t>nick@novonixgroup.com</w:t>
            </w:r>
          </w:p>
        </w:tc>
      </w:tr>
      <w:tr>
        <w:trPr>
          <w:trHeight w:val="196"/>
        </w:trPr>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rjnatter@,natterllc.com</w:t>
            </w:r>
          </w:p>
        </w:tc>
        <w:tc>
          <w:tcPr>
            <w:tcW w:w="160" w:type="dxa"/>
            <w:vAlign w:val="bottom"/>
            <w:tcBorders>
              <w:top w:val="single" w:sz="8" w:color="auto"/>
            </w:tcBorders>
          </w:tcPr>
          <w:p>
            <w:pPr>
              <w:spacing w:after="0"/>
              <w:rPr>
                <w:sz w:val="17"/>
                <w:szCs w:val="17"/>
                <w:color w:val="auto"/>
              </w:rPr>
            </w:pPr>
          </w:p>
        </w:tc>
        <w:tc>
          <w:tcPr>
            <w:tcW w:w="1080" w:type="dxa"/>
            <w:vAlign w:val="bottom"/>
            <w:gridSpan w:val="5"/>
          </w:tcPr>
          <w:p>
            <w:pPr>
              <w:spacing w:after="0"/>
              <w:rPr>
                <w:sz w:val="17"/>
                <w:szCs w:val="17"/>
                <w:color w:val="auto"/>
              </w:rPr>
            </w:pPr>
          </w:p>
        </w:tc>
      </w:tr>
      <w:tr>
        <w:trPr>
          <w:trHeight w:val="438"/>
        </w:trPr>
        <w:tc>
          <w:tcPr>
            <w:tcW w:w="1680" w:type="dxa"/>
            <w:vAlign w:val="bottom"/>
          </w:tcPr>
          <w:p>
            <w:pPr>
              <w:spacing w:after="0"/>
              <w:rPr>
                <w:sz w:val="20"/>
                <w:szCs w:val="20"/>
                <w:color w:val="auto"/>
              </w:rPr>
            </w:pPr>
            <w:r>
              <w:rPr>
                <w:rFonts w:ascii="Arial" w:cs="Arial" w:eastAsia="Arial" w:hAnsi="Arial"/>
                <w:sz w:val="18"/>
                <w:szCs w:val="18"/>
                <w:color w:val="auto"/>
              </w:rPr>
              <w:t>with a copy to:</w:t>
            </w: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Miller &amp; Martin PLLC</w:t>
            </w: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Attention: James M. Haley IV</w:t>
            </w: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Suite 1200 Volunteer Building</w:t>
            </w: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832 Georgia Avenue</w:t>
            </w:r>
          </w:p>
        </w:tc>
      </w:tr>
      <w:tr>
        <w:trPr>
          <w:trHeight w:val="216"/>
        </w:trPr>
        <w:tc>
          <w:tcPr>
            <w:tcW w:w="1680" w:type="dxa"/>
            <w:vAlign w:val="bottom"/>
          </w:tcPr>
          <w:p>
            <w:pPr>
              <w:spacing w:after="0"/>
              <w:rPr>
                <w:sz w:val="18"/>
                <w:szCs w:val="18"/>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Chattanooga, TN 37402</w:t>
            </w:r>
          </w:p>
        </w:tc>
      </w:tr>
      <w:tr>
        <w:trPr>
          <w:trHeight w:val="190"/>
        </w:trPr>
        <w:tc>
          <w:tcPr>
            <w:tcW w:w="1680" w:type="dxa"/>
            <w:vAlign w:val="bottom"/>
          </w:tcPr>
          <w:p>
            <w:pPr>
              <w:spacing w:after="0"/>
              <w:rPr>
                <w:sz w:val="16"/>
                <w:szCs w:val="16"/>
                <w:color w:val="auto"/>
              </w:rPr>
            </w:pPr>
          </w:p>
        </w:tc>
        <w:tc>
          <w:tcPr>
            <w:tcW w:w="4020" w:type="dxa"/>
            <w:vAlign w:val="bottom"/>
            <w:gridSpan w:val="9"/>
          </w:tcPr>
          <w:p>
            <w:pPr>
              <w:ind w:left="560"/>
              <w:spacing w:after="0" w:line="190" w:lineRule="exact"/>
              <w:rPr>
                <w:sz w:val="20"/>
                <w:szCs w:val="20"/>
                <w:color w:val="auto"/>
              </w:rPr>
            </w:pPr>
            <w:r>
              <w:rPr>
                <w:rFonts w:ascii="Arial" w:cs="Arial" w:eastAsia="Arial" w:hAnsi="Arial"/>
                <w:sz w:val="18"/>
                <w:szCs w:val="18"/>
                <w:color w:val="auto"/>
              </w:rPr>
              <w:t>Email: james.haley@millermartin.com</w:t>
            </w:r>
          </w:p>
        </w:tc>
      </w:tr>
      <w:tr>
        <w:trPr>
          <w:trHeight w:val="20"/>
        </w:trPr>
        <w:tc>
          <w:tcPr>
            <w:tcW w:w="168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2260" w:type="dxa"/>
            <w:vAlign w:val="bottom"/>
            <w:gridSpan w:val="6"/>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438"/>
        </w:trPr>
        <w:tc>
          <w:tcPr>
            <w:tcW w:w="1680" w:type="dxa"/>
            <w:vAlign w:val="bottom"/>
          </w:tcPr>
          <w:p>
            <w:pPr>
              <w:spacing w:after="0"/>
              <w:rPr>
                <w:sz w:val="20"/>
                <w:szCs w:val="20"/>
                <w:color w:val="auto"/>
              </w:rPr>
            </w:pPr>
            <w:r>
              <w:rPr>
                <w:rFonts w:ascii="Arial" w:cs="Arial" w:eastAsia="Arial" w:hAnsi="Arial"/>
                <w:sz w:val="18"/>
                <w:szCs w:val="18"/>
                <w:color w:val="auto"/>
              </w:rPr>
              <w:t>with a copy to:</w:t>
            </w: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Rise Partners, LLC</w:t>
            </w:r>
          </w:p>
        </w:tc>
      </w:tr>
      <w:tr>
        <w:trPr>
          <w:trHeight w:val="230"/>
        </w:trPr>
        <w:tc>
          <w:tcPr>
            <w:tcW w:w="1680" w:type="dxa"/>
            <w:vAlign w:val="bottom"/>
          </w:tcPr>
          <w:p>
            <w:pPr>
              <w:spacing w:after="0"/>
              <w:rPr>
                <w:sz w:val="20"/>
                <w:szCs w:val="20"/>
                <w:color w:val="auto"/>
              </w:rPr>
            </w:pPr>
          </w:p>
        </w:tc>
        <w:tc>
          <w:tcPr>
            <w:tcW w:w="4020" w:type="dxa"/>
            <w:vAlign w:val="bottom"/>
            <w:gridSpan w:val="9"/>
          </w:tcPr>
          <w:p>
            <w:pPr>
              <w:ind w:left="560"/>
              <w:spacing w:after="0"/>
              <w:rPr>
                <w:sz w:val="20"/>
                <w:szCs w:val="20"/>
                <w:color w:val="auto"/>
              </w:rPr>
            </w:pPr>
            <w:r>
              <w:rPr>
                <w:rFonts w:ascii="Arial" w:cs="Arial" w:eastAsia="Arial" w:hAnsi="Arial"/>
                <w:sz w:val="18"/>
                <w:szCs w:val="18"/>
                <w:color w:val="auto"/>
              </w:rPr>
              <w:t>Suite 502, Volunteer Building</w:t>
            </w:r>
          </w:p>
        </w:tc>
      </w:tr>
    </w:tbl>
    <w:p>
      <w:pPr>
        <w:ind w:left="5080"/>
        <w:spacing w:after="0"/>
        <w:rPr>
          <w:sz w:val="20"/>
          <w:szCs w:val="20"/>
          <w:color w:val="auto"/>
        </w:rPr>
      </w:pPr>
      <w:r>
        <w:rPr>
          <w:rFonts w:ascii="Arial" w:cs="Arial" w:eastAsia="Arial" w:hAnsi="Arial"/>
          <w:sz w:val="18"/>
          <w:szCs w:val="18"/>
          <w:color w:val="auto"/>
        </w:rPr>
        <w:t>832 Georgia Avenue</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Chattanooga, TN 37402</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Attention: Wilson McGinness and John Tugman</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wmcginness@risepartners.net</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Jtugman@risepartners.net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52" w:name="page253"/>
    <w:bookmarkEnd w:id="252"/>
    <w:p>
      <w:pPr>
        <w:ind w:left="1320" w:hanging="676"/>
        <w:spacing w:after="0"/>
        <w:tabs>
          <w:tab w:leader="none" w:pos="13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This Agreement shall inure to the benefit of and bind the Parties and their respective heirs, legal representatives, successors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assigns.</w:t>
      </w:r>
    </w:p>
    <w:p>
      <w:pPr>
        <w:spacing w:after="0" w:line="210" w:lineRule="exact"/>
        <w:rPr>
          <w:rFonts w:ascii="Arial" w:cs="Arial" w:eastAsia="Arial" w:hAnsi="Arial"/>
          <w:sz w:val="16"/>
          <w:szCs w:val="16"/>
          <w:color w:val="auto"/>
        </w:rPr>
      </w:pPr>
    </w:p>
    <w:p>
      <w:pPr>
        <w:ind w:firstLine="644"/>
        <w:spacing w:after="0" w:line="277" w:lineRule="auto"/>
        <w:tabs>
          <w:tab w:leader="none" w:pos="132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any date of performance under this Agreement falls on a Saturday, Sunday or legal holiday, such date of performance shall be deferred to the next day which is not a Saturday, Sunday or legal holiday.</w:t>
      </w:r>
    </w:p>
    <w:p>
      <w:pPr>
        <w:spacing w:after="0" w:line="170" w:lineRule="exact"/>
        <w:rPr>
          <w:rFonts w:ascii="Arial" w:cs="Arial" w:eastAsia="Arial" w:hAnsi="Arial"/>
          <w:sz w:val="18"/>
          <w:szCs w:val="18"/>
          <w:color w:val="auto"/>
        </w:rPr>
      </w:pPr>
    </w:p>
    <w:p>
      <w:pPr>
        <w:jc w:val="both"/>
        <w:ind w:firstLine="644"/>
        <w:spacing w:after="0" w:line="259" w:lineRule="auto"/>
        <w:tabs>
          <w:tab w:leader="none" w:pos="157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 case one or more of the provisions contained in this Agreement shall for any reason be held to be invalid, illegal or unenforceable in any respect by a court of competent jurisdiction, such invalidity, illegality or unenforceability shall not affect any other provisions of this Agreement and this Agreement shall be construed as if such invalid, illegal or unenforceable provision is severed and deleted from this Agreement.</w:t>
      </w:r>
    </w:p>
    <w:p>
      <w:pPr>
        <w:spacing w:after="0" w:line="186" w:lineRule="exact"/>
        <w:rPr>
          <w:rFonts w:ascii="Arial" w:cs="Arial" w:eastAsia="Arial" w:hAnsi="Arial"/>
          <w:sz w:val="18"/>
          <w:szCs w:val="18"/>
          <w:color w:val="auto"/>
        </w:rPr>
      </w:pPr>
    </w:p>
    <w:p>
      <w:pPr>
        <w:jc w:val="both"/>
        <w:ind w:firstLine="644"/>
        <w:spacing w:after="0" w:line="286" w:lineRule="auto"/>
        <w:tabs>
          <w:tab w:leader="none" w:pos="1446"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Parties acknowledge that this transaction contemplates only the sale and purchase of the Property, and that Seller is not selling a business nor do the Parties intend that Purchaser be deemed a successor of Seller with respect to any liabilities of Seller to any third party other than liabilities arising from and after the Closing to utility companies for utility service furnished to the Property.</w:t>
      </w:r>
    </w:p>
    <w:p>
      <w:pPr>
        <w:spacing w:after="0" w:line="165" w:lineRule="exact"/>
        <w:rPr>
          <w:rFonts w:ascii="Arial" w:cs="Arial" w:eastAsia="Arial" w:hAnsi="Arial"/>
          <w:sz w:val="17"/>
          <w:szCs w:val="17"/>
          <w:color w:val="auto"/>
        </w:rPr>
      </w:pPr>
    </w:p>
    <w:p>
      <w:pPr>
        <w:jc w:val="both"/>
        <w:ind w:firstLine="644"/>
        <w:spacing w:after="0" w:line="263" w:lineRule="auto"/>
        <w:tabs>
          <w:tab w:leader="none" w:pos="146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During the term of this Agreement, Seller will not, and will not permit any agent, to entertain or accept any other offer, or negotiate, solicit interest or offers, or otherwise enter into discussions involving the sale, financing, disposition of all or any portion of the Property;</w:t>
      </w:r>
    </w:p>
    <w:p>
      <w:pPr>
        <w:spacing w:after="0" w:line="184" w:lineRule="exact"/>
        <w:rPr>
          <w:sz w:val="20"/>
          <w:szCs w:val="20"/>
          <w:color w:val="auto"/>
        </w:rPr>
      </w:pPr>
    </w:p>
    <w:p>
      <w:pPr>
        <w:jc w:val="both"/>
        <w:ind w:firstLine="644"/>
        <w:spacing w:after="0" w:line="273" w:lineRule="auto"/>
        <w:tabs>
          <w:tab w:leader="none" w:pos="133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All negotiations regarding this Agreement, the existence of this Agreement, the terms and conditions of this Agreement and the results of all inspections, studies, and similar reports relating to the Property, shall be kept confidential, and the Parties will not disclose any such information to any other persons, other than the Parties’ respective advisors and internal staff and necessary third parties such as, for example, prospective investors or lenders, and the governmental entities being requested to grant the Governmental Incentives. No press release or other publicity release shall be issued by the Parties to the general public concerning the proposed transaction under this Agreement without mutual consent, unless required by law, and then only on prior written notice to the other party.</w:t>
      </w:r>
    </w:p>
    <w:p>
      <w:pPr>
        <w:spacing w:after="0" w:line="178" w:lineRule="exact"/>
        <w:rPr>
          <w:sz w:val="20"/>
          <w:szCs w:val="20"/>
          <w:color w:val="auto"/>
        </w:rPr>
      </w:pPr>
    </w:p>
    <w:p>
      <w:pPr>
        <w:jc w:val="both"/>
        <w:ind w:firstLine="644"/>
        <w:spacing w:after="0" w:line="254" w:lineRule="auto"/>
        <w:tabs>
          <w:tab w:leader="none" w:pos="145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Neither the Title Company, in its capacity as escrow agent, nor any of its directors, officers or employees shall be liable to anyone for any action taken or omitted to be taken by it or any of its directors, officers, or employees hereunder except in the case of gross negligence or willful misconduct. Purchaser and Seller, jointly and severally, covenant and agree to indemnify Title Company and hold it harmless from and against any loss, liability or expense of any nature incurred by Title Company arising out of or in connection with the administration of its duties hereunder with respect to the Deposit, including but not limited to reasonable legal fees and others costs and expenses of defending or preparing to defend against any claim or liability in the premises, unless such loss, liability or expense shall be caused by Title Company’s willful misconduct or gross negligence.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53" w:name="page254"/>
    <w:bookmarkEnd w:id="253"/>
    <w:p>
      <w:pPr>
        <w:jc w:val="both"/>
        <w:ind w:left="-460" w:firstLine="644"/>
        <w:spacing w:after="0" w:line="311" w:lineRule="auto"/>
        <w:tabs>
          <w:tab w:leader="none" w:pos="84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terms and conditions in this Agreement supersede in their entirety the terms of the March 12, 2021, Letter of Intent between the Parties with respect to the Property. There are no agreements or understandings between the Parties except as set forth herein. No modification, waiver, or other change to this Agreement will be valid unless the same is in writing and signed by the party to which the same is charged.</w:t>
      </w:r>
    </w:p>
    <w:p>
      <w:pPr>
        <w:spacing w:after="0" w:line="148" w:lineRule="exact"/>
        <w:rPr>
          <w:rFonts w:ascii="Arial" w:cs="Arial" w:eastAsia="Arial" w:hAnsi="Arial"/>
          <w:sz w:val="16"/>
          <w:szCs w:val="16"/>
          <w:color w:val="auto"/>
        </w:rPr>
      </w:pPr>
    </w:p>
    <w:p>
      <w:pPr>
        <w:ind w:left="-460" w:right="20" w:firstLine="644"/>
        <w:spacing w:after="0" w:line="277" w:lineRule="auto"/>
        <w:tabs>
          <w:tab w:leader="none" w:pos="85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Effective Date of this Agreement will be the later of the dates on which this Agreement is executed by the Parties, as shown on the signature pages hereof.</w:t>
      </w:r>
    </w:p>
    <w:p>
      <w:pPr>
        <w:spacing w:after="0" w:line="170"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to follow.</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54" w:name="page255"/>
    <w:bookmarkEnd w:id="254"/>
    <w:p>
      <w:pPr>
        <w:ind w:left="1680"/>
        <w:spacing w:after="0"/>
        <w:rPr>
          <w:sz w:val="20"/>
          <w:szCs w:val="20"/>
          <w:color w:val="auto"/>
        </w:rPr>
      </w:pPr>
      <w:r>
        <w:rPr>
          <w:rFonts w:ascii="Arial" w:cs="Arial" w:eastAsia="Arial" w:hAnsi="Arial"/>
          <w:sz w:val="17"/>
          <w:szCs w:val="17"/>
          <w:color w:val="auto"/>
        </w:rPr>
        <w:t>IN WITNESS WHEREOF, the Seller has entered into this Agreement as of the date first set forth above.</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SELLER: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 xml:space="preserve">WEST END PROPERTY II, LLC, </w:t>
      </w:r>
      <w:r>
        <w:rPr>
          <w:rFonts w:ascii="Arial" w:cs="Arial" w:eastAsia="Arial" w:hAnsi="Arial"/>
          <w:sz w:val="17"/>
          <w:szCs w:val="17"/>
          <w:color w:val="auto"/>
        </w:rPr>
        <w:t>a Tennessee limited</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-121920</wp:posOffset>
            </wp:positionV>
            <wp:extent cx="1114425" cy="86550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1144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63144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James K. White III, President</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Continues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55" w:name="page256"/>
    <w:bookmarkEnd w:id="255"/>
    <w:p>
      <w:pPr>
        <w:ind w:left="1680"/>
        <w:spacing w:after="0"/>
        <w:rPr>
          <w:sz w:val="20"/>
          <w:szCs w:val="20"/>
          <w:color w:val="auto"/>
        </w:rPr>
      </w:pPr>
      <w:r>
        <w:rPr>
          <w:rFonts w:ascii="Arial" w:cs="Arial" w:eastAsia="Arial" w:hAnsi="Arial"/>
          <w:sz w:val="16"/>
          <w:szCs w:val="16"/>
          <w:color w:val="auto"/>
        </w:rPr>
        <w:t>IN WITNESS WHEREOF, the Purchaser has entered into this Agreement as of the date first set forth above.</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 xml:space="preserve">PUREGRAPHITE, LLC, </w:t>
      </w:r>
      <w:r>
        <w:rPr>
          <w:rFonts w:ascii="Arial" w:cs="Arial" w:eastAsia="Arial" w:hAnsi="Arial"/>
          <w:sz w:val="17"/>
          <w:szCs w:val="17"/>
          <w:color w:val="auto"/>
        </w:rPr>
        <w:t>a Delaware limited liability</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2021</w:t>
      </w:r>
    </w:p>
    <w:p>
      <w:pPr>
        <w:ind w:left="5640"/>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2143125" cy="454025"/>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143125" cy="4540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10160</wp:posOffset>
            </wp:positionV>
            <wp:extent cx="263144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John Christopher Burns, CEO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56" w:name="page257"/>
    <w:bookmarkEnd w:id="256"/>
    <w:p>
      <w:pPr>
        <w:jc w:val="center"/>
        <w:ind w:right="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Depiction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157480</wp:posOffset>
            </wp:positionV>
            <wp:extent cx="6000750" cy="72009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000750" cy="720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Reports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Seller shall deliver to Purchaser, within three (3) business days from the Effective Date, all of the following Property Reports to the extent the same are within Seller’s possession or reasonable control, or are reasonably obtainable by Seller:</w:t>
      </w:r>
    </w:p>
    <w:p>
      <w:pPr>
        <w:spacing w:after="0" w:line="170" w:lineRule="exact"/>
        <w:rPr>
          <w:sz w:val="20"/>
          <w:szCs w:val="20"/>
          <w:color w:val="auto"/>
        </w:rPr>
      </w:pPr>
    </w:p>
    <w:p>
      <w:pPr>
        <w:ind w:firstLine="1304"/>
        <w:spacing w:after="0" w:line="277" w:lineRule="auto"/>
        <w:tabs>
          <w:tab w:leader="none" w:pos="200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Receipted real estate tax bills for the past three years and any correspondence with local assessors and summaries of historic or current efforts to appeal, reduce or control taxes.</w:t>
      </w:r>
    </w:p>
    <w:p>
      <w:pPr>
        <w:spacing w:after="0" w:line="170" w:lineRule="exact"/>
        <w:rPr>
          <w:rFonts w:ascii="Arial" w:cs="Arial" w:eastAsia="Arial" w:hAnsi="Arial"/>
          <w:sz w:val="18"/>
          <w:szCs w:val="18"/>
          <w:color w:val="auto"/>
        </w:rPr>
      </w:pPr>
    </w:p>
    <w:p>
      <w:pPr>
        <w:ind w:firstLine="1304"/>
        <w:spacing w:after="0" w:line="308" w:lineRule="auto"/>
        <w:tabs>
          <w:tab w:leader="none" w:pos="2133"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Copies of insurance policies or other reasonable evidence setting forth the limits of casualty coverage for the Property, and detailed information with respect to any fire or other casualty loss for which claims have been made on any insurance policy owned by Seller.</w:t>
      </w:r>
    </w:p>
    <w:p>
      <w:pPr>
        <w:spacing w:after="0" w:line="146" w:lineRule="exact"/>
        <w:rPr>
          <w:rFonts w:ascii="Arial" w:cs="Arial" w:eastAsia="Arial" w:hAnsi="Arial"/>
          <w:sz w:val="17"/>
          <w:szCs w:val="17"/>
          <w:color w:val="auto"/>
        </w:rPr>
      </w:pPr>
    </w:p>
    <w:p>
      <w:pPr>
        <w:ind w:left="1980" w:hanging="676"/>
        <w:spacing w:after="0"/>
        <w:tabs>
          <w:tab w:leader="none" w:pos="19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Copies of all current in force contracts with the Parties providing material services or property to the Property.</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Copies of all current in force leases with the Parties currently occupying or having a right to occupy or operate from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Property.</w:t>
      </w:r>
    </w:p>
    <w:p>
      <w:pPr>
        <w:spacing w:after="0" w:line="210" w:lineRule="exact"/>
        <w:rPr>
          <w:rFonts w:ascii="Arial" w:cs="Arial" w:eastAsia="Arial" w:hAnsi="Arial"/>
          <w:sz w:val="17"/>
          <w:szCs w:val="17"/>
          <w:color w:val="auto"/>
        </w:rPr>
      </w:pPr>
    </w:p>
    <w:p>
      <w:pPr>
        <w:ind w:firstLine="1304"/>
        <w:spacing w:after="0" w:line="277" w:lineRule="auto"/>
        <w:tabs>
          <w:tab w:leader="none" w:pos="203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Copies of all materials relating to the Crane, including without limiting the generality of the foregoing, materials relating to its access, operation, and physical condition.</w:t>
      </w:r>
    </w:p>
    <w:p>
      <w:pPr>
        <w:spacing w:after="0" w:line="170" w:lineRule="exact"/>
        <w:rPr>
          <w:rFonts w:ascii="Arial" w:cs="Arial" w:eastAsia="Arial" w:hAnsi="Arial"/>
          <w:sz w:val="18"/>
          <w:szCs w:val="18"/>
          <w:color w:val="auto"/>
        </w:rPr>
      </w:pPr>
    </w:p>
    <w:p>
      <w:pPr>
        <w:ind w:left="1980" w:hanging="676"/>
        <w:spacing w:after="0"/>
        <w:tabs>
          <w:tab w:leader="none" w:pos="19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List all of material recurring services that are not contracted for (include vendor, cost and frequency).</w:t>
      </w:r>
    </w:p>
    <w:p>
      <w:pPr>
        <w:spacing w:after="0" w:line="225" w:lineRule="exact"/>
        <w:rPr>
          <w:rFonts w:ascii="Arial" w:cs="Arial" w:eastAsia="Arial" w:hAnsi="Arial"/>
          <w:sz w:val="18"/>
          <w:szCs w:val="18"/>
          <w:color w:val="auto"/>
        </w:rPr>
      </w:pPr>
    </w:p>
    <w:p>
      <w:pPr>
        <w:ind w:firstLine="1304"/>
        <w:spacing w:after="0" w:line="342" w:lineRule="auto"/>
        <w:tabs>
          <w:tab w:leader="none" w:pos="200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Copies of all documentation pertaining to Governmental Incentives, development incentives, tax abatements, tax credits and all other Governmental Incentives, including, without limitation, all documents related to prior Incentive Approvals and related and supporting materials.</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208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Copies of all zoning, use, and occupancy permits, development approvals, site plan approvals, zoning approvals, master plan information, and all other governmental licenses, permits and approvals, including, without limitation, all Governmental Approvals and related and supporting materials, and all Governmental Incentives and related and supporting materials.</w:t>
      </w:r>
    </w:p>
    <w:p>
      <w:pPr>
        <w:spacing w:after="0" w:line="183" w:lineRule="exact"/>
        <w:rPr>
          <w:rFonts w:ascii="Arial" w:cs="Arial" w:eastAsia="Arial" w:hAnsi="Arial"/>
          <w:sz w:val="18"/>
          <w:szCs w:val="18"/>
          <w:color w:val="auto"/>
        </w:rPr>
      </w:pPr>
    </w:p>
    <w:p>
      <w:pPr>
        <w:ind w:firstLine="1304"/>
        <w:spacing w:after="0" w:line="277" w:lineRule="auto"/>
        <w:tabs>
          <w:tab w:leader="none" w:pos="198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Copies of any existing environmental, ADA, structural, engineering, code compliance, and termite/infestation reports, including compliance plans and O&amp;M manuals, including, without limitation, any and all Site Investigation Reports.</w:t>
      </w:r>
    </w:p>
    <w:p>
      <w:pPr>
        <w:spacing w:after="0" w:line="170" w:lineRule="exact"/>
        <w:rPr>
          <w:rFonts w:ascii="Arial" w:cs="Arial" w:eastAsia="Arial" w:hAnsi="Arial"/>
          <w:sz w:val="18"/>
          <w:szCs w:val="18"/>
          <w:color w:val="auto"/>
        </w:rPr>
      </w:pPr>
    </w:p>
    <w:p>
      <w:pPr>
        <w:ind w:firstLine="1304"/>
        <w:spacing w:after="0" w:line="277" w:lineRule="auto"/>
        <w:tabs>
          <w:tab w:leader="none" w:pos="198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Zoning, building, health or environmental notices received from any governmental authority with jurisdiction over the Property, including, but not limited to, notices of violations of zoning, building, health or environmental laws, rules or regulations, if any.</w:t>
      </w:r>
    </w:p>
    <w:p>
      <w:pPr>
        <w:spacing w:after="0" w:line="170" w:lineRule="exact"/>
        <w:rPr>
          <w:rFonts w:ascii="Arial" w:cs="Arial" w:eastAsia="Arial" w:hAnsi="Arial"/>
          <w:sz w:val="18"/>
          <w:szCs w:val="18"/>
          <w:color w:val="auto"/>
        </w:rPr>
      </w:pPr>
    </w:p>
    <w:p>
      <w:pPr>
        <w:ind w:left="2260" w:hanging="956"/>
        <w:spacing w:after="0"/>
        <w:tabs>
          <w:tab w:leader="none" w:pos="226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Copies of all engineering reports, soil studies, drainage studies, environmental assessments or reports, and wetland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floodplain studies.</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8" w:name="page259"/>
    <w:bookmarkEnd w:id="258"/>
    <w:p>
      <w:pPr>
        <w:ind w:firstLine="1304"/>
        <w:spacing w:after="0" w:line="277" w:lineRule="auto"/>
        <w:tabs>
          <w:tab w:leader="none" w:pos="217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Copies of all structural, mechanical, traffic, engineering, foundation inspection and repair, roof inspection and repair, and marketing reports and all addenda to such reports and correspondence in connection therewith.</w:t>
      </w:r>
    </w:p>
    <w:p>
      <w:pPr>
        <w:spacing w:after="0" w:line="170" w:lineRule="exact"/>
        <w:rPr>
          <w:rFonts w:ascii="Arial" w:cs="Arial" w:eastAsia="Arial" w:hAnsi="Arial"/>
          <w:sz w:val="18"/>
          <w:szCs w:val="18"/>
          <w:color w:val="auto"/>
        </w:rPr>
      </w:pPr>
    </w:p>
    <w:p>
      <w:pPr>
        <w:ind w:firstLine="1304"/>
        <w:spacing w:after="0" w:line="277" w:lineRule="auto"/>
        <w:tabs>
          <w:tab w:leader="none" w:pos="214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Most recent “as built”, boundary, and topographic surveys of the Property and all other surveys of the Property in Seller’s possession or readily obtainable.</w:t>
      </w:r>
    </w:p>
    <w:p>
      <w:pPr>
        <w:spacing w:after="0" w:line="170" w:lineRule="exact"/>
        <w:rPr>
          <w:rFonts w:ascii="Arial" w:cs="Arial" w:eastAsia="Arial" w:hAnsi="Arial"/>
          <w:sz w:val="18"/>
          <w:szCs w:val="18"/>
          <w:color w:val="auto"/>
        </w:rPr>
      </w:pPr>
    </w:p>
    <w:p>
      <w:pPr>
        <w:ind w:left="2000" w:hanging="680"/>
        <w:spacing w:after="0"/>
        <w:tabs>
          <w:tab w:leader="none" w:pos="200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Most recent “as built” architectural and engineering plans and specifications.</w:t>
      </w:r>
    </w:p>
    <w:p>
      <w:pPr>
        <w:spacing w:after="0" w:line="225" w:lineRule="exact"/>
        <w:rPr>
          <w:sz w:val="20"/>
          <w:szCs w:val="20"/>
          <w:color w:val="auto"/>
        </w:rPr>
      </w:pPr>
    </w:p>
    <w:p>
      <w:pPr>
        <w:jc w:val="both"/>
        <w:ind w:firstLine="1304"/>
        <w:spacing w:after="0" w:line="263" w:lineRule="auto"/>
        <w:tabs>
          <w:tab w:leader="none" w:pos="203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Latest title reports in Seller’s possession and latest Seller’s title policy for the Property, together with copies of all appurtenant and burdening easements, licenses, covenants and restrictions, affecting the Property and its access to public rights of way, and railway lines, and to utilities serving the Property.</w:t>
      </w:r>
    </w:p>
    <w:p>
      <w:pPr>
        <w:spacing w:after="0" w:line="183" w:lineRule="exact"/>
        <w:rPr>
          <w:rFonts w:ascii="Arial" w:cs="Arial" w:eastAsia="Arial" w:hAnsi="Arial"/>
          <w:sz w:val="18"/>
          <w:szCs w:val="18"/>
          <w:color w:val="auto"/>
        </w:rPr>
      </w:pPr>
    </w:p>
    <w:p>
      <w:pPr>
        <w:ind w:left="1980" w:hanging="676"/>
        <w:spacing w:after="0"/>
        <w:tabs>
          <w:tab w:leader="none" w:pos="19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Listing and explanation of any pending litigation involving the Property.</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List of personal property including maintenance parts inventory.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existing appraisals in Seller’s possession or control.</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Other items as reasonably requested by Purchaser after review of the aforementioned items.</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4"/>
          </w:tcPr>
          <w:p>
            <w:pPr>
              <w:jc w:val="center"/>
              <w:ind w:right="1760"/>
              <w:spacing w:after="0"/>
              <w:rPr>
                <w:sz w:val="20"/>
                <w:szCs w:val="20"/>
                <w:color w:val="auto"/>
              </w:rPr>
            </w:pPr>
            <w:r>
              <w:rPr>
                <w:rFonts w:ascii="Arial" w:cs="Arial" w:eastAsia="Arial" w:hAnsi="Arial"/>
                <w:sz w:val="18"/>
                <w:szCs w:val="18"/>
                <w:b w:val="1"/>
                <w:bCs w:val="1"/>
                <w:color w:val="auto"/>
              </w:rPr>
              <w:t>EXHIBIT “C”</w:t>
            </w: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3"/>
        </w:trPr>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2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3"/>
              </w:rPr>
              <w:t>Form of Limited Warranty Deed</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3420" w:type="dxa"/>
            <w:vAlign w:val="bottom"/>
            <w:gridSpan w:val="2"/>
          </w:tcPr>
          <w:p>
            <w:pPr>
              <w:ind w:left="60"/>
              <w:spacing w:after="0"/>
              <w:rPr>
                <w:sz w:val="20"/>
                <w:szCs w:val="20"/>
                <w:color w:val="auto"/>
              </w:rPr>
            </w:pPr>
            <w:r>
              <w:rPr>
                <w:rFonts w:ascii="Arial" w:cs="Arial" w:eastAsia="Arial" w:hAnsi="Arial"/>
                <w:sz w:val="18"/>
                <w:szCs w:val="18"/>
                <w:b w:val="1"/>
                <w:bCs w:val="1"/>
                <w:color w:val="auto"/>
              </w:rPr>
              <w:t>This Instrument Prepared By:</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420" w:type="dxa"/>
            <w:vAlign w:val="bottom"/>
            <w:gridSpan w:val="2"/>
          </w:tcPr>
          <w:p>
            <w:pPr>
              <w:ind w:left="60"/>
              <w:spacing w:after="0"/>
              <w:rPr>
                <w:sz w:val="20"/>
                <w:szCs w:val="20"/>
                <w:color w:val="auto"/>
              </w:rPr>
            </w:pPr>
            <w:r>
              <w:rPr>
                <w:rFonts w:ascii="Arial" w:cs="Arial" w:eastAsia="Arial" w:hAnsi="Arial"/>
                <w:sz w:val="18"/>
                <w:szCs w:val="18"/>
                <w:b w:val="1"/>
                <w:bCs w:val="1"/>
                <w:color w:val="auto"/>
              </w:rPr>
              <w:t>Miller &amp; Martin PLLC</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20" w:type="dxa"/>
            <w:vAlign w:val="bottom"/>
            <w:gridSpan w:val="2"/>
          </w:tcPr>
          <w:p>
            <w:pPr>
              <w:ind w:left="60"/>
              <w:spacing w:after="0"/>
              <w:rPr>
                <w:sz w:val="20"/>
                <w:szCs w:val="20"/>
                <w:color w:val="auto"/>
              </w:rPr>
            </w:pPr>
            <w:r>
              <w:rPr>
                <w:rFonts w:ascii="Arial" w:cs="Arial" w:eastAsia="Arial" w:hAnsi="Arial"/>
                <w:sz w:val="18"/>
                <w:szCs w:val="18"/>
                <w:b w:val="1"/>
                <w:bCs w:val="1"/>
                <w:color w:val="auto"/>
              </w:rPr>
              <w:t>832 Georgia Avenue, Suite 1200</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3420" w:type="dxa"/>
            <w:vAlign w:val="bottom"/>
            <w:gridSpan w:val="2"/>
          </w:tcPr>
          <w:p>
            <w:pPr>
              <w:ind w:left="60"/>
              <w:spacing w:after="0"/>
              <w:rPr>
                <w:sz w:val="20"/>
                <w:szCs w:val="20"/>
                <w:color w:val="auto"/>
              </w:rPr>
            </w:pPr>
            <w:r>
              <w:rPr>
                <w:rFonts w:ascii="Arial" w:cs="Arial" w:eastAsia="Arial" w:hAnsi="Arial"/>
                <w:sz w:val="18"/>
                <w:szCs w:val="18"/>
                <w:b w:val="1"/>
                <w:bCs w:val="1"/>
                <w:color w:val="auto"/>
              </w:rPr>
              <w:t>Chattanooga, TN 37402-2289</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Map and</w:t>
            </w:r>
          </w:p>
        </w:tc>
      </w:tr>
      <w:tr>
        <w:trPr>
          <w:trHeight w:val="194"/>
        </w:trPr>
        <w:tc>
          <w:tcPr>
            <w:tcW w:w="1980" w:type="dxa"/>
            <w:vAlign w:val="bottom"/>
          </w:tcPr>
          <w:p>
            <w:pPr>
              <w:spacing w:after="0" w:line="194" w:lineRule="exact"/>
              <w:rPr>
                <w:sz w:val="20"/>
                <w:szCs w:val="20"/>
                <w:color w:val="auto"/>
              </w:rPr>
            </w:pPr>
            <w:r>
              <w:rPr>
                <w:rFonts w:ascii="Arial" w:cs="Arial" w:eastAsia="Arial" w:hAnsi="Arial"/>
                <w:sz w:val="18"/>
                <w:szCs w:val="18"/>
                <w:b w:val="1"/>
                <w:bCs w:val="1"/>
                <w:color w:val="auto"/>
              </w:rPr>
              <w:t>of New Owner:</w:t>
            </w: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40" w:type="dxa"/>
            <w:vAlign w:val="bottom"/>
            <w:gridSpan w:val="6"/>
          </w:tcPr>
          <w:p>
            <w:pPr>
              <w:jc w:val="center"/>
              <w:ind w:right="1080"/>
              <w:spacing w:after="0" w:line="194" w:lineRule="exact"/>
              <w:rPr>
                <w:sz w:val="20"/>
                <w:szCs w:val="20"/>
                <w:color w:val="auto"/>
              </w:rPr>
            </w:pPr>
            <w:r>
              <w:rPr>
                <w:rFonts w:ascii="Arial" w:cs="Arial" w:eastAsia="Arial" w:hAnsi="Arial"/>
                <w:sz w:val="18"/>
                <w:szCs w:val="18"/>
                <w:b w:val="1"/>
                <w:bCs w:val="1"/>
                <w:color w:val="auto"/>
                <w:w w:val="88"/>
              </w:rPr>
              <w:t>Send Tax Bills To:</w:t>
            </w:r>
          </w:p>
        </w:tc>
        <w:tc>
          <w:tcPr>
            <w:tcW w:w="2180" w:type="dxa"/>
            <w:vAlign w:val="bottom"/>
            <w:gridSpan w:val="3"/>
          </w:tcPr>
          <w:p>
            <w:pPr>
              <w:jc w:val="center"/>
              <w:ind w:left="970"/>
              <w:spacing w:after="0" w:line="194" w:lineRule="exact"/>
              <w:rPr>
                <w:sz w:val="20"/>
                <w:szCs w:val="20"/>
                <w:color w:val="auto"/>
              </w:rPr>
            </w:pPr>
            <w:r>
              <w:rPr>
                <w:rFonts w:ascii="Arial" w:cs="Arial" w:eastAsia="Arial" w:hAnsi="Arial"/>
                <w:sz w:val="18"/>
                <w:szCs w:val="18"/>
                <w:b w:val="1"/>
                <w:bCs w:val="1"/>
                <w:color w:val="auto"/>
                <w:w w:val="89"/>
              </w:rPr>
              <w:t>Parcel No.:</w:t>
            </w:r>
          </w:p>
        </w:tc>
      </w:tr>
      <w:tr>
        <w:trPr>
          <w:trHeight w:val="20"/>
        </w:trPr>
        <w:tc>
          <w:tcPr>
            <w:tcW w:w="19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3"/>
        </w:trPr>
        <w:tc>
          <w:tcPr>
            <w:tcW w:w="1980" w:type="dxa"/>
            <w:vAlign w:val="bottom"/>
          </w:tcPr>
          <w:p>
            <w:pPr>
              <w:spacing w:after="0"/>
              <w:rPr>
                <w:sz w:val="20"/>
                <w:szCs w:val="20"/>
                <w:color w:val="auto"/>
              </w:rPr>
            </w:pPr>
            <w:r>
              <w:rPr>
                <w:rFonts w:ascii="Arial" w:cs="Arial" w:eastAsia="Arial" w:hAnsi="Arial"/>
                <w:sz w:val="18"/>
                <w:szCs w:val="18"/>
                <w:b w:val="1"/>
                <w:bCs w:val="1"/>
                <w:color w:val="auto"/>
              </w:rPr>
              <w:t>PUREGRAPHITE, LLC</w:t>
            </w: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145G A 002.05</w:t>
            </w:r>
          </w:p>
        </w:tc>
      </w:tr>
      <w:tr>
        <w:trPr>
          <w:trHeight w:val="392"/>
        </w:trPr>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LIMITED WARRANTY DEED</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FOR AND IN CONSIDERATION OF </w:t>
      </w:r>
      <w:r>
        <w:rPr>
          <w:rFonts w:ascii="Arial" w:cs="Arial" w:eastAsia="Arial" w:hAnsi="Arial"/>
          <w:sz w:val="18"/>
          <w:szCs w:val="18"/>
          <w:color w:val="auto"/>
        </w:rPr>
        <w:t>Ten Dollars ($10.00) and other good and valuable consideration, the receipt and legal sufficiency of all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hereby are acknowledged, </w:t>
      </w:r>
      <w:r>
        <w:rPr>
          <w:rFonts w:ascii="Arial" w:cs="Arial" w:eastAsia="Arial" w:hAnsi="Arial"/>
          <w:sz w:val="18"/>
          <w:szCs w:val="18"/>
          <w:b w:val="1"/>
          <w:bCs w:val="1"/>
          <w:color w:val="auto"/>
        </w:rPr>
        <w:t>WEST END PROPERTY II, LLC,</w:t>
      </w:r>
      <w:r>
        <w:rPr>
          <w:rFonts w:ascii="Arial" w:cs="Arial" w:eastAsia="Arial" w:hAnsi="Arial"/>
          <w:sz w:val="18"/>
          <w:szCs w:val="18"/>
          <w:color w:val="auto"/>
        </w:rPr>
        <w:t xml:space="preserve"> a Tennessee limited liability company (herein “Grantor”) does hereby bargain, sell, transfer and convey unto </w:t>
      </w:r>
      <w:r>
        <w:rPr>
          <w:rFonts w:ascii="Arial" w:cs="Arial" w:eastAsia="Arial" w:hAnsi="Arial"/>
          <w:sz w:val="18"/>
          <w:szCs w:val="18"/>
          <w:b w:val="1"/>
          <w:bCs w:val="1"/>
          <w:color w:val="auto"/>
        </w:rPr>
        <w:t>PUREGRAPHITE LLC,</w:t>
      </w:r>
      <w:r>
        <w:rPr>
          <w:rFonts w:ascii="Arial" w:cs="Arial" w:eastAsia="Arial" w:hAnsi="Arial"/>
          <w:sz w:val="18"/>
          <w:szCs w:val="18"/>
          <w:color w:val="auto"/>
        </w:rPr>
        <w:t xml:space="preserve"> a Delaware limited liability company (herein “Grantee”) the property described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and made a part 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TO HAVE AND TO HOLD </w:t>
      </w:r>
      <w:r>
        <w:rPr>
          <w:rFonts w:ascii="Arial" w:cs="Arial" w:eastAsia="Arial" w:hAnsi="Arial"/>
          <w:sz w:val="18"/>
          <w:szCs w:val="18"/>
          <w:color w:val="auto"/>
        </w:rPr>
        <w:t>the same unto Grantee, its successors and assigns, forever in fee simple.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Grantor covenants that it has full power and lawful authority to sell and convey the real estate and it will warrant and defend the title against all persons claiming the same by, through or under Grantor, but not further or otherwise.</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0" w:name="page261"/>
    <w:bookmarkEnd w:id="260"/>
    <w:p>
      <w:pPr>
        <w:ind w:left="68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Grantor has executed this instrument on the__________ day of __________________,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 xml:space="preserve">WEST END PROPERTY II, LLC, </w:t>
      </w:r>
      <w:r>
        <w:rPr>
          <w:rFonts w:ascii="Arial" w:cs="Arial" w:eastAsia="Arial" w:hAnsi="Arial"/>
          <w:sz w:val="17"/>
          <w:szCs w:val="17"/>
          <w:color w:val="auto"/>
        </w:rPr>
        <w:t>a Tennessee limited liability company</w:t>
      </w: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K. White III, President</w:t>
      </w:r>
    </w:p>
    <w:p>
      <w:pPr>
        <w:spacing w:after="0" w:line="220" w:lineRule="exact"/>
        <w:rPr>
          <w:sz w:val="20"/>
          <w:szCs w:val="20"/>
          <w:color w:val="auto"/>
        </w:rPr>
      </w:pPr>
    </w:p>
    <w:p>
      <w:pPr>
        <w:ind w:left="20"/>
        <w:spacing w:after="0"/>
        <w:tabs>
          <w:tab w:leader="none" w:pos="2100" w:val="left"/>
        </w:tabs>
        <w:rPr>
          <w:sz w:val="20"/>
          <w:szCs w:val="20"/>
          <w:color w:val="auto"/>
        </w:rPr>
      </w:pPr>
      <w:r>
        <w:rPr>
          <w:rFonts w:ascii="Arial" w:cs="Arial" w:eastAsia="Arial" w:hAnsi="Arial"/>
          <w:sz w:val="18"/>
          <w:szCs w:val="18"/>
          <w:b w:val="1"/>
          <w:bCs w:val="1"/>
          <w:color w:val="auto"/>
        </w:rPr>
        <w:t>STATE OF TENNESSEE</w:t>
        <w:tab/>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COUNTY OF HAMILTON)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Before me, the undersigned, a Notary Public in and for said county and state, personally appeared James K. White III, with whom I am personally acquainted, or proved to me on the basis of satisfactory evidence, and who, upon oath, acknowledged him/herself to be the President of </w:t>
      </w:r>
      <w:r>
        <w:rPr>
          <w:rFonts w:ascii="Arial" w:cs="Arial" w:eastAsia="Arial" w:hAnsi="Arial"/>
          <w:sz w:val="18"/>
          <w:szCs w:val="18"/>
          <w:b w:val="1"/>
          <w:bCs w:val="1"/>
          <w:color w:val="auto"/>
        </w:rPr>
        <w:t>WEST END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PROPERTY II, LLC, </w:t>
      </w:r>
      <w:r>
        <w:rPr>
          <w:rFonts w:ascii="Arial" w:cs="Arial" w:eastAsia="Arial" w:hAnsi="Arial"/>
          <w:sz w:val="18"/>
          <w:szCs w:val="18"/>
          <w:color w:val="auto"/>
        </w:rPr>
        <w:t>the within named bargainor, a Tennessee limited liability company, and that he as such officer, executed the foregoing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purposes therein contained, by signing the name of the company by himself as President.</w:t>
      </w:r>
    </w:p>
    <w:p>
      <w:pPr>
        <w:spacing w:after="0" w:line="200" w:lineRule="exact"/>
        <w:rPr>
          <w:sz w:val="20"/>
          <w:szCs w:val="20"/>
          <w:color w:val="auto"/>
        </w:rPr>
      </w:pP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Printed</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5715</wp:posOffset>
            </wp:positionV>
            <wp:extent cx="185166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My Commission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5715</wp:posOffset>
            </wp:positionV>
            <wp:extent cx="142303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1" w:name="page262"/>
    <w:bookmarkEnd w:id="261"/>
    <w:p>
      <w:pPr>
        <w:ind w:left="40"/>
        <w:spacing w:after="0"/>
        <w:rPr>
          <w:sz w:val="20"/>
          <w:szCs w:val="20"/>
          <w:color w:val="auto"/>
        </w:rPr>
      </w:pPr>
      <w:r>
        <w:rPr>
          <w:rFonts w:ascii="Arial" w:cs="Arial" w:eastAsia="Arial" w:hAnsi="Arial"/>
          <w:sz w:val="18"/>
          <w:szCs w:val="18"/>
          <w:b w:val="1"/>
          <w:bCs w:val="1"/>
          <w:color w:val="auto"/>
        </w:rPr>
        <w:t>STATE OF__________________ )</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COUNTY OF_</w:t>
      </w:r>
      <w:r>
        <w:rPr>
          <w:rFonts w:ascii="Arial" w:cs="Arial" w:eastAsia="Arial" w:hAnsi="Arial"/>
          <w:sz w:val="18"/>
          <w:szCs w:val="18"/>
          <w:color w:val="auto"/>
        </w:rPr>
        <w:t>______________</w:t>
      </w:r>
      <w:r>
        <w:rPr>
          <w:rFonts w:ascii="Arial" w:cs="Arial" w:eastAsia="Arial" w:hAnsi="Arial"/>
          <w:sz w:val="18"/>
          <w:szCs w:val="18"/>
          <w:b w:val="1"/>
          <w:bCs w:val="1"/>
          <w:color w:val="auto"/>
        </w:rPr>
        <w:t>_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I,____________________________ , hereby swear or affirm that, to the best of my knowledge, information and belief, the actual consideration</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for this transfer, or the value of the property transferred, whichever is greater, is $41,500,000 which amount is equal to or greater than the amount which the property transferred would command at a fair and voluntary sale.</w:t>
      </w:r>
    </w:p>
    <w:p>
      <w:pPr>
        <w:spacing w:after="0" w:line="200" w:lineRule="exact"/>
        <w:rPr>
          <w:sz w:val="20"/>
          <w:szCs w:val="20"/>
          <w:color w:val="auto"/>
        </w:rPr>
      </w:pP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Affiant-Grantee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Subscribed and sworn to before me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this_______ day of____________________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14312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92583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Limited Warranty Deed</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154305</wp:posOffset>
            </wp:positionV>
            <wp:extent cx="6000750" cy="801497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000750" cy="801497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90805</wp:posOffset>
            </wp:positionV>
            <wp:extent cx="7132320" cy="260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64" w:name="page265"/>
    <w:bookmarkEnd w:id="26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88900</wp:posOffset>
            </wp:positionV>
            <wp:extent cx="712343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23430" cy="42545"/>
                    </a:xfrm>
                    <a:prstGeom prst="rect">
                      <a:avLst/>
                    </a:prstGeom>
                    <a:noFill/>
                  </pic:spPr>
                </pic:pic>
              </a:graphicData>
            </a:graphic>
          </wp:anchor>
        </w:drawing>
        <w:t>Exhibit 4.5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AND SALE AGREEMENT</w:t>
      </w:r>
    </w:p>
    <w:p>
      <w:pPr>
        <w:spacing w:after="0" w:line="207"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b w:val="1"/>
          <w:bCs w:val="1"/>
          <w:color w:val="auto"/>
        </w:rPr>
        <w:t xml:space="preserve">THIS FIRST AMENDMENT TO PURCHASE AND SALE AGREEMENT </w:t>
      </w:r>
      <w:r>
        <w:rPr>
          <w:rFonts w:ascii="Arial" w:cs="Arial" w:eastAsia="Arial" w:hAnsi="Arial"/>
          <w:sz w:val="17"/>
          <w:szCs w:val="17"/>
          <w:color w:val="auto"/>
        </w:rPr>
        <w:t>(this</w:t>
      </w:r>
      <w:r>
        <w:rPr>
          <w:rFonts w:ascii="Arial" w:cs="Arial" w:eastAsia="Arial" w:hAnsi="Arial"/>
          <w:sz w:val="17"/>
          <w:szCs w:val="17"/>
          <w:b w:val="1"/>
          <w:bCs w:val="1"/>
          <w:color w:val="auto"/>
        </w:rPr>
        <w:t xml:space="preserve"> “Agreement”</w:t>
      </w:r>
      <w:r>
        <w:rPr>
          <w:rFonts w:ascii="Arial" w:cs="Arial" w:eastAsia="Arial" w:hAnsi="Arial"/>
          <w:sz w:val="17"/>
          <w:szCs w:val="17"/>
          <w:color w:val="auto"/>
        </w:rPr>
        <w:t>) is made as of June 9, 2021 (the</w:t>
      </w:r>
      <w:r>
        <w:rPr>
          <w:rFonts w:ascii="Arial" w:cs="Arial" w:eastAsia="Arial" w:hAnsi="Arial"/>
          <w:sz w:val="17"/>
          <w:szCs w:val="17"/>
          <w:b w:val="1"/>
          <w:bCs w:val="1"/>
          <w:color w:val="auto"/>
        </w:rPr>
        <w:t xml:space="preserve"> “Amendment Effective Date”</w:t>
      </w:r>
      <w:r>
        <w:rPr>
          <w:rFonts w:ascii="Arial" w:cs="Arial" w:eastAsia="Arial" w:hAnsi="Arial"/>
          <w:sz w:val="17"/>
          <w:szCs w:val="17"/>
          <w:color w:val="auto"/>
        </w:rPr>
        <w:t>), between</w:t>
      </w:r>
      <w:r>
        <w:rPr>
          <w:rFonts w:ascii="Arial" w:cs="Arial" w:eastAsia="Arial" w:hAnsi="Arial"/>
          <w:sz w:val="17"/>
          <w:szCs w:val="17"/>
          <w:b w:val="1"/>
          <w:bCs w:val="1"/>
          <w:color w:val="auto"/>
        </w:rPr>
        <w:t xml:space="preserve"> WEST END PROPERTY II, LLC</w:t>
      </w:r>
      <w:r>
        <w:rPr>
          <w:rFonts w:ascii="Arial" w:cs="Arial" w:eastAsia="Arial" w:hAnsi="Arial"/>
          <w:sz w:val="17"/>
          <w:szCs w:val="17"/>
          <w:color w:val="auto"/>
        </w:rPr>
        <w:t>, a Tennessee limited liability company (</w:t>
      </w:r>
      <w:r>
        <w:rPr>
          <w:rFonts w:ascii="Arial" w:cs="Arial" w:eastAsia="Arial" w:hAnsi="Arial"/>
          <w:sz w:val="17"/>
          <w:szCs w:val="17"/>
          <w:b w:val="1"/>
          <w:bCs w:val="1"/>
          <w:color w:val="auto"/>
        </w:rPr>
        <w:t>“Seller”</w:t>
      </w:r>
      <w:r>
        <w:rPr>
          <w:rFonts w:ascii="Arial" w:cs="Arial" w:eastAsia="Arial" w:hAnsi="Arial"/>
          <w:sz w:val="17"/>
          <w:szCs w:val="17"/>
          <w:color w:val="auto"/>
        </w:rPr>
        <w:t>), and</w:t>
      </w:r>
      <w:r>
        <w:rPr>
          <w:rFonts w:ascii="Arial" w:cs="Arial" w:eastAsia="Arial" w:hAnsi="Arial"/>
          <w:sz w:val="17"/>
          <w:szCs w:val="17"/>
          <w:b w:val="1"/>
          <w:bCs w:val="1"/>
          <w:color w:val="auto"/>
        </w:rPr>
        <w:t xml:space="preserve"> PUREGRAPHITE LLC, </w:t>
      </w:r>
      <w:r>
        <w:rPr>
          <w:rFonts w:ascii="Arial" w:cs="Arial" w:eastAsia="Arial" w:hAnsi="Arial"/>
          <w:sz w:val="17"/>
          <w:szCs w:val="17"/>
          <w:color w:val="auto"/>
        </w:rPr>
        <w:t>a Delaware limited liability company (</w:t>
      </w:r>
      <w:r>
        <w:rPr>
          <w:rFonts w:ascii="Arial" w:cs="Arial" w:eastAsia="Arial" w:hAnsi="Arial"/>
          <w:sz w:val="17"/>
          <w:szCs w:val="17"/>
          <w:b w:val="1"/>
          <w:bCs w:val="1"/>
          <w:color w:val="auto"/>
        </w:rPr>
        <w:t>“Purchaser”</w:t>
      </w:r>
      <w:r>
        <w:rPr>
          <w:rFonts w:ascii="Arial" w:cs="Arial" w:eastAsia="Arial" w:hAnsi="Arial"/>
          <w:sz w:val="17"/>
          <w:szCs w:val="17"/>
          <w:color w:val="auto"/>
        </w:rPr>
        <w:t>). This Agreement refers to Seller and Purchaser collectively as the</w:t>
      </w:r>
      <w:r>
        <w:rPr>
          <w:rFonts w:ascii="Arial" w:cs="Arial" w:eastAsia="Arial" w:hAnsi="Arial"/>
          <w:sz w:val="17"/>
          <w:szCs w:val="17"/>
          <w:b w:val="1"/>
          <w:bCs w:val="1"/>
          <w:color w:val="auto"/>
        </w:rPr>
        <w:t xml:space="preserve">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CONSIDERATION OF </w:t>
      </w:r>
      <w:r>
        <w:rPr>
          <w:rFonts w:ascii="Arial" w:cs="Arial" w:eastAsia="Arial" w:hAnsi="Arial"/>
          <w:sz w:val="18"/>
          <w:szCs w:val="18"/>
          <w:color w:val="auto"/>
        </w:rPr>
        <w:t>the mutual covenants and conditions set forth below, the Parties hereby agree as follows:</w:t>
      </w:r>
    </w:p>
    <w:p>
      <w:pPr>
        <w:spacing w:after="0" w:line="225" w:lineRule="exact"/>
        <w:rPr>
          <w:sz w:val="20"/>
          <w:szCs w:val="20"/>
          <w:color w:val="auto"/>
        </w:rPr>
      </w:pPr>
    </w:p>
    <w:p>
      <w:pPr>
        <w:ind w:right="200" w:firstLine="656"/>
        <w:spacing w:after="0" w:line="282" w:lineRule="auto"/>
        <w:tabs>
          <w:tab w:leader="none" w:pos="1098"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Amendment amends that certain Purchase and Sale Agreement between the Parties with an Effective Date of April 12,</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2021 (hereinafter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100" w:hanging="444"/>
        <w:spacing w:after="0"/>
        <w:tabs>
          <w:tab w:leader="none" w:pos="1100"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4 of Original Agreement</w:t>
      </w:r>
      <w:r>
        <w:rPr>
          <w:rFonts w:ascii="Arial" w:cs="Arial" w:eastAsia="Arial" w:hAnsi="Arial"/>
          <w:sz w:val="18"/>
          <w:szCs w:val="18"/>
          <w:color w:val="auto"/>
        </w:rPr>
        <w:t>. Section 4 of the</w:t>
      </w:r>
      <w:r>
        <w:rPr>
          <w:rFonts w:ascii="Arial" w:cs="Arial" w:eastAsia="Arial" w:hAnsi="Arial"/>
          <w:sz w:val="18"/>
          <w:szCs w:val="18"/>
          <w:b w:val="1"/>
          <w:bCs w:val="1"/>
          <w:color w:val="auto"/>
        </w:rPr>
        <w:t xml:space="preserve"> Original Agreement </w:t>
      </w:r>
      <w:r>
        <w:rPr>
          <w:rFonts w:ascii="Arial" w:cs="Arial" w:eastAsia="Arial" w:hAnsi="Arial"/>
          <w:sz w:val="18"/>
          <w:szCs w:val="18"/>
          <w:color w:val="auto"/>
        </w:rPr>
        <w:t>is modified as follows:</w:t>
      </w:r>
    </w:p>
    <w:p>
      <w:pPr>
        <w:spacing w:after="0" w:line="225" w:lineRule="exact"/>
        <w:rPr>
          <w:sz w:val="20"/>
          <w:szCs w:val="20"/>
          <w:color w:val="auto"/>
        </w:rPr>
      </w:pPr>
    </w:p>
    <w:p>
      <w:pPr>
        <w:ind w:left="2600"/>
        <w:spacing w:after="0"/>
        <w:tabs>
          <w:tab w:leader="none" w:pos="3920" w:val="left"/>
          <w:tab w:leader="none" w:pos="4340" w:val="left"/>
          <w:tab w:leader="none" w:pos="5080" w:val="left"/>
          <w:tab w:leader="none" w:pos="5900" w:val="left"/>
          <w:tab w:leader="none" w:pos="6200" w:val="left"/>
          <w:tab w:leader="none" w:pos="6560" w:val="left"/>
          <w:tab w:leader="none" w:pos="7360" w:val="left"/>
          <w:tab w:leader="none" w:pos="8400" w:val="left"/>
        </w:tabs>
        <w:rPr>
          <w:sz w:val="20"/>
          <w:szCs w:val="20"/>
          <w:color w:val="auto"/>
        </w:rPr>
      </w:pPr>
      <w:r>
        <w:rPr>
          <w:rFonts w:ascii="Arial" w:cs="Arial" w:eastAsia="Arial" w:hAnsi="Arial"/>
          <w:sz w:val="18"/>
          <w:szCs w:val="18"/>
          <w:color w:val="auto"/>
        </w:rPr>
        <w:t>Notwithstanding</w:t>
        <w:tab/>
        <w:t>any</w:t>
        <w:tab/>
        <w:t>contrary</w:t>
        <w:tab/>
        <w:t>provision</w:t>
        <w:tab/>
        <w:t>of</w:t>
        <w:tab/>
        <w:t>the</w:t>
      </w:r>
      <w:r>
        <w:rPr>
          <w:sz w:val="20"/>
          <w:szCs w:val="20"/>
          <w:color w:val="auto"/>
        </w:rPr>
        <w:tab/>
      </w:r>
      <w:r>
        <w:rPr>
          <w:rFonts w:ascii="Arial" w:cs="Arial" w:eastAsia="Arial" w:hAnsi="Arial"/>
          <w:sz w:val="18"/>
          <w:szCs w:val="18"/>
          <w:b w:val="1"/>
          <w:bCs w:val="1"/>
          <w:color w:val="auto"/>
        </w:rPr>
        <w:t>Original</w:t>
        <w:tab/>
        <w:t>Agreement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 xml:space="preserve">Investigation Period Extension  </w:t>
      </w:r>
      <w:r>
        <w:rPr>
          <w:rFonts w:ascii="Arial" w:cs="Arial" w:eastAsia="Arial" w:hAnsi="Arial"/>
          <w:sz w:val="18"/>
          <w:szCs w:val="18"/>
          <w:color w:val="auto"/>
        </w:rPr>
        <w:t>(as defined in Section 4(j) of the Original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Agreement) is extended so as to expire at 11:59 p.m. on June 30, 2021.</w:t>
      </w:r>
    </w:p>
    <w:p>
      <w:pPr>
        <w:spacing w:after="0" w:line="207" w:lineRule="exact"/>
        <w:rPr>
          <w:sz w:val="20"/>
          <w:szCs w:val="20"/>
          <w:color w:val="auto"/>
        </w:rPr>
      </w:pPr>
    </w:p>
    <w:p>
      <w:pPr>
        <w:ind w:left="1100" w:hanging="444"/>
        <w:spacing w:after="0"/>
        <w:tabs>
          <w:tab w:leader="none" w:pos="1100" w:val="left"/>
        </w:tabs>
        <w:numPr>
          <w:ilvl w:val="0"/>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6 of Original Agreement</w:t>
      </w:r>
      <w:r>
        <w:rPr>
          <w:rFonts w:ascii="Arial" w:cs="Arial" w:eastAsia="Arial" w:hAnsi="Arial"/>
          <w:sz w:val="18"/>
          <w:szCs w:val="18"/>
          <w:color w:val="auto"/>
        </w:rPr>
        <w:t>. Section 6 of the</w:t>
      </w:r>
      <w:r>
        <w:rPr>
          <w:rFonts w:ascii="Arial" w:cs="Arial" w:eastAsia="Arial" w:hAnsi="Arial"/>
          <w:sz w:val="18"/>
          <w:szCs w:val="18"/>
          <w:b w:val="1"/>
          <w:bCs w:val="1"/>
          <w:color w:val="auto"/>
        </w:rPr>
        <w:t xml:space="preserve"> Original Agreement </w:t>
      </w:r>
      <w:r>
        <w:rPr>
          <w:rFonts w:ascii="Arial" w:cs="Arial" w:eastAsia="Arial" w:hAnsi="Arial"/>
          <w:sz w:val="18"/>
          <w:szCs w:val="18"/>
          <w:color w:val="auto"/>
        </w:rPr>
        <w:t>is modified as follows:</w:t>
      </w:r>
    </w:p>
    <w:p>
      <w:pPr>
        <w:spacing w:after="0" w:line="225" w:lineRule="exact"/>
        <w:rPr>
          <w:sz w:val="20"/>
          <w:szCs w:val="20"/>
          <w:color w:val="auto"/>
        </w:rPr>
      </w:pPr>
    </w:p>
    <w:p>
      <w:pPr>
        <w:jc w:val="both"/>
        <w:ind w:left="2600" w:right="2600"/>
        <w:spacing w:after="0" w:line="256" w:lineRule="auto"/>
        <w:rPr>
          <w:sz w:val="20"/>
          <w:szCs w:val="20"/>
          <w:color w:val="auto"/>
        </w:rPr>
      </w:pPr>
      <w:r>
        <w:rPr>
          <w:rFonts w:ascii="Arial" w:cs="Arial" w:eastAsia="Arial" w:hAnsi="Arial"/>
          <w:sz w:val="18"/>
          <w:szCs w:val="18"/>
          <w:color w:val="auto"/>
        </w:rPr>
        <w:t xml:space="preserve">Notwithstanding any contrary provision of the </w:t>
      </w:r>
      <w:r>
        <w:rPr>
          <w:rFonts w:ascii="Arial" w:cs="Arial" w:eastAsia="Arial" w:hAnsi="Arial"/>
          <w:sz w:val="18"/>
          <w:szCs w:val="18"/>
          <w:b w:val="1"/>
          <w:bCs w:val="1"/>
          <w:color w:val="auto"/>
        </w:rPr>
        <w:t>Original Agreement,</w:t>
      </w:r>
      <w:r>
        <w:rPr>
          <w:rFonts w:ascii="Arial" w:cs="Arial" w:eastAsia="Arial" w:hAnsi="Arial"/>
          <w:sz w:val="18"/>
          <w:szCs w:val="18"/>
          <w:color w:val="auto"/>
        </w:rPr>
        <w:t xml:space="preserve"> provided that the investigations that are the subject of the Investigation Period Extension have been resolved by July 9, 2021,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(as defined in Section 6) will occur on a date mutually agreed by the Parties, but not earlier than July 16, 2021 and not later than July 23, 2021 (the </w:t>
      </w:r>
      <w:r>
        <w:rPr>
          <w:rFonts w:ascii="Arial" w:cs="Arial" w:eastAsia="Arial" w:hAnsi="Arial"/>
          <w:sz w:val="18"/>
          <w:szCs w:val="18"/>
          <w:b w:val="1"/>
          <w:bCs w:val="1"/>
          <w:color w:val="auto"/>
        </w:rPr>
        <w:t>“Closing Deadline”</w:t>
      </w:r>
      <w:r>
        <w:rPr>
          <w:rFonts w:ascii="Arial" w:cs="Arial" w:eastAsia="Arial" w:hAnsi="Arial"/>
          <w:sz w:val="18"/>
          <w:szCs w:val="18"/>
          <w:color w:val="auto"/>
        </w:rPr>
        <w:t>), unless otherwise agreed in writing by the Parties.</w:t>
      </w:r>
    </w:p>
    <w:p>
      <w:pPr>
        <w:spacing w:after="0" w:line="187" w:lineRule="exact"/>
        <w:rPr>
          <w:sz w:val="20"/>
          <w:szCs w:val="20"/>
          <w:color w:val="auto"/>
        </w:rPr>
      </w:pPr>
    </w:p>
    <w:p>
      <w:pPr>
        <w:ind w:right="140" w:firstLine="656"/>
        <w:spacing w:after="0" w:line="282" w:lineRule="auto"/>
        <w:tabs>
          <w:tab w:leader="none" w:pos="1098" w:val="left"/>
        </w:tabs>
        <w:numPr>
          <w:ilvl w:val="0"/>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Evidence of Financial Resources</w:t>
      </w:r>
      <w:r>
        <w:rPr>
          <w:rFonts w:ascii="Arial" w:cs="Arial" w:eastAsia="Arial" w:hAnsi="Arial"/>
          <w:sz w:val="18"/>
          <w:szCs w:val="18"/>
          <w:color w:val="auto"/>
        </w:rPr>
        <w:t>. Purchaser is delivering with its execution of this Amendment, evidence that Purchaser has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ability to close the purchase of the Property in accordance with the terms of the </w:t>
      </w:r>
      <w:r>
        <w:rPr>
          <w:rFonts w:ascii="Arial" w:cs="Arial" w:eastAsia="Arial" w:hAnsi="Arial"/>
          <w:sz w:val="18"/>
          <w:szCs w:val="18"/>
          <w:b w:val="1"/>
          <w:bCs w:val="1"/>
          <w:color w:val="auto"/>
        </w:rPr>
        <w:t>Original Agreement</w:t>
      </w:r>
      <w:r>
        <w:rPr>
          <w:rFonts w:ascii="Arial" w:cs="Arial" w:eastAsia="Arial" w:hAnsi="Arial"/>
          <w:sz w:val="18"/>
          <w:szCs w:val="18"/>
          <w:color w:val="auto"/>
        </w:rPr>
        <w:t xml:space="preserve"> as amended hereby.</w:t>
      </w:r>
    </w:p>
    <w:p>
      <w:pPr>
        <w:spacing w:after="0" w:line="161" w:lineRule="exact"/>
        <w:rPr>
          <w:rFonts w:ascii="Arial" w:cs="Arial" w:eastAsia="Arial" w:hAnsi="Arial"/>
          <w:sz w:val="18"/>
          <w:szCs w:val="18"/>
          <w:color w:val="auto"/>
        </w:rPr>
      </w:pPr>
    </w:p>
    <w:p>
      <w:pPr>
        <w:ind w:left="1100" w:hanging="444"/>
        <w:spacing w:after="0"/>
        <w:tabs>
          <w:tab w:leader="none" w:pos="1100" w:val="left"/>
        </w:tabs>
        <w:numPr>
          <w:ilvl w:val="0"/>
          <w:numId w:val="317"/>
        </w:numPr>
        <w:rPr>
          <w:rFonts w:ascii="Arial" w:cs="Arial" w:eastAsia="Arial" w:hAnsi="Arial"/>
          <w:sz w:val="17"/>
          <w:szCs w:val="17"/>
          <w:color w:val="auto"/>
        </w:rPr>
      </w:pPr>
      <w:r>
        <w:rPr>
          <w:rFonts w:ascii="Arial" w:cs="Arial" w:eastAsia="Arial" w:hAnsi="Arial"/>
          <w:sz w:val="17"/>
          <w:szCs w:val="17"/>
          <w:b w:val="1"/>
          <w:bCs w:val="1"/>
          <w:u w:val="single" w:color="auto"/>
          <w:color w:val="auto"/>
        </w:rPr>
        <w:t>Original Agreement</w:t>
      </w:r>
      <w:r>
        <w:rPr>
          <w:rFonts w:ascii="Arial" w:cs="Arial" w:eastAsia="Arial" w:hAnsi="Arial"/>
          <w:sz w:val="17"/>
          <w:szCs w:val="17"/>
          <w:color w:val="auto"/>
        </w:rPr>
        <w:t>. Except as expressly set forth herein, all terms and conditions of the</w:t>
      </w:r>
      <w:r>
        <w:rPr>
          <w:rFonts w:ascii="Arial" w:cs="Arial" w:eastAsia="Arial" w:hAnsi="Arial"/>
          <w:sz w:val="17"/>
          <w:szCs w:val="17"/>
          <w:b w:val="1"/>
          <w:bCs w:val="1"/>
          <w:color w:val="auto"/>
        </w:rPr>
        <w:t xml:space="preserve"> Original Agreement </w:t>
      </w:r>
      <w:r>
        <w:rPr>
          <w:rFonts w:ascii="Arial" w:cs="Arial" w:eastAsia="Arial" w:hAnsi="Arial"/>
          <w:sz w:val="17"/>
          <w:szCs w:val="17"/>
          <w:color w:val="auto"/>
        </w:rPr>
        <w:t>remain in full force and</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pages follow</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65" w:name="page266"/>
    <w:bookmarkEnd w:id="265"/>
    <w:p>
      <w:pPr>
        <w:ind w:left="1300"/>
        <w:spacing w:after="0"/>
        <w:rPr>
          <w:sz w:val="20"/>
          <w:szCs w:val="20"/>
          <w:color w:val="auto"/>
        </w:rPr>
      </w:pPr>
      <w:r>
        <w:rPr>
          <w:rFonts w:ascii="Arial" w:cs="Arial" w:eastAsia="Arial" w:hAnsi="Arial"/>
          <w:sz w:val="18"/>
          <w:szCs w:val="18"/>
          <w:color w:val="auto"/>
        </w:rPr>
        <w:t>IN WITNESS WHEREOF, the Seller has entered into this First Amendment as of the date first set forth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gridSpan w:val="2"/>
          </w:tcPr>
          <w:p>
            <w:pPr>
              <w:ind w:left="2620"/>
              <w:spacing w:after="0"/>
              <w:rPr>
                <w:sz w:val="20"/>
                <w:szCs w:val="20"/>
                <w:color w:val="auto"/>
              </w:rPr>
            </w:pPr>
            <w:r>
              <w:rPr>
                <w:rFonts w:ascii="Arial" w:cs="Arial" w:eastAsia="Arial" w:hAnsi="Arial"/>
                <w:sz w:val="18"/>
                <w:szCs w:val="18"/>
                <w:b w:val="1"/>
                <w:bCs w:val="1"/>
                <w:color w:val="auto"/>
              </w:rPr>
              <w:t>SELLER:</w:t>
            </w:r>
          </w:p>
        </w:tc>
      </w:tr>
      <w:tr>
        <w:trPr>
          <w:trHeight w:val="418"/>
        </w:trPr>
        <w:tc>
          <w:tcPr>
            <w:tcW w:w="3020" w:type="dxa"/>
            <w:vAlign w:val="bottom"/>
          </w:tcPr>
          <w:p>
            <w:pPr>
              <w:spacing w:after="0"/>
              <w:rPr>
                <w:sz w:val="24"/>
                <w:szCs w:val="24"/>
                <w:color w:val="auto"/>
              </w:rPr>
            </w:pPr>
          </w:p>
        </w:tc>
        <w:tc>
          <w:tcPr>
            <w:tcW w:w="8220" w:type="dxa"/>
            <w:vAlign w:val="bottom"/>
            <w:gridSpan w:val="2"/>
          </w:tcPr>
          <w:p>
            <w:pPr>
              <w:ind w:left="2620"/>
              <w:spacing w:after="0"/>
              <w:rPr>
                <w:sz w:val="20"/>
                <w:szCs w:val="20"/>
                <w:color w:val="auto"/>
              </w:rPr>
            </w:pPr>
            <w:r>
              <w:rPr>
                <w:rFonts w:ascii="Arial" w:cs="Arial" w:eastAsia="Arial" w:hAnsi="Arial"/>
                <w:sz w:val="18"/>
                <w:szCs w:val="18"/>
                <w:b w:val="1"/>
                <w:bCs w:val="1"/>
                <w:color w:val="auto"/>
              </w:rPr>
              <w:t>WEST END PROPERTY II, LLC, a</w:t>
            </w:r>
          </w:p>
        </w:tc>
      </w:tr>
      <w:tr>
        <w:trPr>
          <w:trHeight w:val="230"/>
        </w:trPr>
        <w:tc>
          <w:tcPr>
            <w:tcW w:w="3020" w:type="dxa"/>
            <w:vAlign w:val="bottom"/>
          </w:tcPr>
          <w:p>
            <w:pPr>
              <w:spacing w:after="0"/>
              <w:rPr>
                <w:sz w:val="20"/>
                <w:szCs w:val="20"/>
                <w:color w:val="auto"/>
              </w:rPr>
            </w:pPr>
          </w:p>
        </w:tc>
        <w:tc>
          <w:tcPr>
            <w:tcW w:w="8220" w:type="dxa"/>
            <w:vAlign w:val="bottom"/>
            <w:gridSpan w:val="2"/>
          </w:tcPr>
          <w:p>
            <w:pPr>
              <w:ind w:left="2620"/>
              <w:spacing w:after="0"/>
              <w:rPr>
                <w:sz w:val="20"/>
                <w:szCs w:val="20"/>
                <w:color w:val="auto"/>
              </w:rPr>
            </w:pPr>
            <w:r>
              <w:rPr>
                <w:rFonts w:ascii="Arial" w:cs="Arial" w:eastAsia="Arial" w:hAnsi="Arial"/>
                <w:sz w:val="18"/>
                <w:szCs w:val="18"/>
                <w:color w:val="auto"/>
              </w:rPr>
              <w:t>Tennessee limited liability company</w:t>
            </w:r>
          </w:p>
        </w:tc>
      </w:tr>
      <w:tr>
        <w:trPr>
          <w:trHeight w:val="2268"/>
        </w:trPr>
        <w:tc>
          <w:tcPr>
            <w:tcW w:w="3020" w:type="dxa"/>
            <w:vAlign w:val="bottom"/>
          </w:tcPr>
          <w:p>
            <w:pPr>
              <w:spacing w:after="0"/>
              <w:rPr>
                <w:sz w:val="20"/>
                <w:szCs w:val="20"/>
                <w:color w:val="auto"/>
              </w:rPr>
            </w:pPr>
            <w:r>
              <w:rPr>
                <w:rFonts w:ascii="Arial" w:cs="Arial" w:eastAsia="Arial" w:hAnsi="Arial"/>
                <w:sz w:val="18"/>
                <w:szCs w:val="18"/>
                <w:color w:val="auto"/>
              </w:rPr>
              <w:t>Date: June 8th, 2021</w:t>
            </w:r>
          </w:p>
        </w:tc>
        <w:tc>
          <w:tcPr>
            <w:tcW w:w="8220" w:type="dxa"/>
            <w:vAlign w:val="bottom"/>
            <w:gridSpan w:val="2"/>
          </w:tcPr>
          <w:p>
            <w:pPr>
              <w:ind w:left="2620"/>
              <w:spacing w:after="0"/>
              <w:rPr>
                <w:sz w:val="20"/>
                <w:szCs w:val="20"/>
                <w:color w:val="auto"/>
              </w:rPr>
            </w:pPr>
            <w:r>
              <w:rPr>
                <w:rFonts w:ascii="Arial" w:cs="Arial" w:eastAsia="Arial" w:hAnsi="Arial"/>
                <w:sz w:val="18"/>
                <w:szCs w:val="18"/>
                <w:color w:val="auto"/>
              </w:rPr>
              <w:t>By:</w:t>
            </w:r>
          </w:p>
        </w:tc>
      </w:tr>
      <w:tr>
        <w:trPr>
          <w:trHeight w:val="224"/>
        </w:trPr>
        <w:tc>
          <w:tcPr>
            <w:tcW w:w="30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K. White III, Chief Manager</w:t>
            </w:r>
          </w:p>
        </w:tc>
      </w:tr>
      <w:tr>
        <w:trPr>
          <w:trHeight w:val="418"/>
        </w:trPr>
        <w:tc>
          <w:tcPr>
            <w:tcW w:w="3020" w:type="dxa"/>
            <w:vAlign w:val="bottom"/>
          </w:tcPr>
          <w:p>
            <w:pPr>
              <w:spacing w:after="0"/>
              <w:rPr>
                <w:sz w:val="24"/>
                <w:szCs w:val="24"/>
                <w:color w:val="auto"/>
              </w:rPr>
            </w:pPr>
          </w:p>
        </w:tc>
        <w:tc>
          <w:tcPr>
            <w:tcW w:w="8220" w:type="dxa"/>
            <w:vAlign w:val="bottom"/>
            <w:gridSpan w:val="2"/>
          </w:tcPr>
          <w:p>
            <w:pPr>
              <w:ind w:left="1540"/>
              <w:spacing w:after="0"/>
              <w:rPr>
                <w:sz w:val="20"/>
                <w:szCs w:val="20"/>
                <w:color w:val="auto"/>
              </w:rPr>
            </w:pPr>
            <w:r>
              <w:rPr>
                <w:rFonts w:ascii="Arial" w:cs="Arial" w:eastAsia="Arial" w:hAnsi="Arial"/>
                <w:sz w:val="18"/>
                <w:szCs w:val="18"/>
                <w:b w:val="1"/>
                <w:bCs w:val="1"/>
                <w:i w:val="1"/>
                <w:iCs w:val="1"/>
                <w:color w:val="auto"/>
              </w:rPr>
              <w:t>[Signature Pages Continues]</w:t>
            </w:r>
          </w:p>
        </w:tc>
      </w:tr>
      <w:tr>
        <w:trPr>
          <w:trHeight w:val="480"/>
        </w:trPr>
        <w:tc>
          <w:tcPr>
            <w:tcW w:w="30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-2039620</wp:posOffset>
            </wp:positionV>
            <wp:extent cx="1628775" cy="126873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628775" cy="126873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6" w:name="page267"/>
    <w:bookmarkEnd w:id="266"/>
    <w:p>
      <w:pPr>
        <w:ind w:left="1300"/>
        <w:spacing w:after="0"/>
        <w:rPr>
          <w:sz w:val="20"/>
          <w:szCs w:val="20"/>
          <w:color w:val="auto"/>
        </w:rPr>
      </w:pPr>
      <w:r>
        <w:rPr>
          <w:rFonts w:ascii="Arial" w:cs="Arial" w:eastAsia="Arial" w:hAnsi="Arial"/>
          <w:sz w:val="18"/>
          <w:szCs w:val="18"/>
          <w:color w:val="auto"/>
        </w:rPr>
        <w:t>IN WITNESS WHEREOF, the Purchaser has entered into this First Amendment as of the date first set forth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PURCHASER:</w:t>
            </w:r>
          </w:p>
        </w:tc>
      </w:tr>
      <w:tr>
        <w:trPr>
          <w:trHeight w:val="432"/>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 xml:space="preserve">PUREGRAPHITE LLC, </w:t>
            </w:r>
            <w:r>
              <w:rPr>
                <w:rFonts w:ascii="Arial" w:cs="Arial" w:eastAsia="Arial" w:hAnsi="Arial"/>
                <w:sz w:val="18"/>
                <w:szCs w:val="18"/>
                <w:color w:val="auto"/>
              </w:rPr>
              <w:t>a Delaware limited liability company</w:t>
            </w:r>
          </w:p>
        </w:tc>
      </w:tr>
      <w:tr>
        <w:trPr>
          <w:trHeight w:val="945"/>
        </w:trPr>
        <w:tc>
          <w:tcPr>
            <w:tcW w:w="3500" w:type="dxa"/>
            <w:vAlign w:val="bottom"/>
            <w:gridSpan w:val="2"/>
          </w:tcPr>
          <w:p>
            <w:pPr>
              <w:spacing w:after="0"/>
              <w:rPr>
                <w:sz w:val="20"/>
                <w:szCs w:val="20"/>
                <w:color w:val="auto"/>
              </w:rPr>
            </w:pPr>
            <w:r>
              <w:rPr>
                <w:rFonts w:ascii="Arial" w:cs="Arial" w:eastAsia="Arial" w:hAnsi="Arial"/>
                <w:sz w:val="18"/>
                <w:szCs w:val="18"/>
                <w:color w:val="auto"/>
              </w:rPr>
              <w:t>Date: June 9, 2021</w:t>
            </w: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By:</w:t>
            </w:r>
          </w:p>
        </w:tc>
      </w:tr>
      <w:tr>
        <w:trPr>
          <w:trHeight w:val="224"/>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Christopher Burns, CEO</w:t>
            </w:r>
          </w:p>
        </w:tc>
      </w:tr>
      <w:tr>
        <w:trPr>
          <w:trHeight w:val="276"/>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-805180</wp:posOffset>
            </wp:positionV>
            <wp:extent cx="2400300" cy="42862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400300" cy="42862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277495</wp:posOffset>
            </wp:positionV>
            <wp:extent cx="7123430" cy="4318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23430" cy="43180"/>
                    </a:xfrm>
                    <a:prstGeom prst="rect">
                      <a:avLst/>
                    </a:prstGeom>
                    <a:noFill/>
                  </pic:spPr>
                </pic:pic>
              </a:graphicData>
            </a:graphic>
          </wp:anchor>
        </w:drawing>
        <w:t>Exhibit 4.6</w:t>
      </w:r>
    </w:p>
    <w:p>
      <w:pPr>
        <w:spacing w:after="0" w:line="242"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0F0F0F"/>
        </w:rPr>
        <w:t>SECOND AMENDMENT TO</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u w:val="single" w:color="auto"/>
          <w:color w:val="0F0F0F"/>
        </w:rPr>
        <w:t>PURCHASE AND SALE AGREEMENT</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0F0F0F"/>
        </w:rPr>
        <w:t xml:space="preserve">THIS SECOND AMENDMENT TO PURCHASE AND SALE AGREEMENT </w:t>
      </w:r>
      <w:r>
        <w:rPr>
          <w:rFonts w:ascii="Arial" w:cs="Arial" w:eastAsia="Arial" w:hAnsi="Arial"/>
          <w:sz w:val="17"/>
          <w:szCs w:val="17"/>
          <w:color w:val="0F0F0F"/>
        </w:rPr>
        <w:t>(this</w:t>
      </w:r>
      <w:r>
        <w:rPr>
          <w:rFonts w:ascii="Arial" w:cs="Arial" w:eastAsia="Arial" w:hAnsi="Arial"/>
          <w:sz w:val="17"/>
          <w:szCs w:val="17"/>
          <w:b w:val="1"/>
          <w:bCs w:val="1"/>
          <w:color w:val="0F0F0F"/>
        </w:rPr>
        <w:t xml:space="preserve"> “Agreement”</w:t>
      </w:r>
      <w:r>
        <w:rPr>
          <w:rFonts w:ascii="Arial" w:cs="Arial" w:eastAsia="Arial" w:hAnsi="Arial"/>
          <w:sz w:val="17"/>
          <w:szCs w:val="17"/>
          <w:color w:val="0F0F0F"/>
        </w:rPr>
        <w:t>) is made effective as of June 30, 2021 (the</w:t>
      </w:r>
      <w:r>
        <w:rPr>
          <w:rFonts w:ascii="Arial" w:cs="Arial" w:eastAsia="Arial" w:hAnsi="Arial"/>
          <w:sz w:val="17"/>
          <w:szCs w:val="17"/>
          <w:b w:val="1"/>
          <w:bCs w:val="1"/>
          <w:color w:val="0F0F0F"/>
        </w:rPr>
        <w:t xml:space="preserve"> “Effective Date”</w:t>
      </w:r>
      <w:r>
        <w:rPr>
          <w:rFonts w:ascii="Arial" w:cs="Arial" w:eastAsia="Arial" w:hAnsi="Arial"/>
          <w:sz w:val="17"/>
          <w:szCs w:val="17"/>
          <w:color w:val="0F0F0F"/>
        </w:rPr>
        <w:t>), between</w:t>
      </w:r>
      <w:r>
        <w:rPr>
          <w:rFonts w:ascii="Arial" w:cs="Arial" w:eastAsia="Arial" w:hAnsi="Arial"/>
          <w:sz w:val="17"/>
          <w:szCs w:val="17"/>
          <w:b w:val="1"/>
          <w:bCs w:val="1"/>
          <w:color w:val="0F0F0F"/>
        </w:rPr>
        <w:t xml:space="preserve"> WEST END PROPERTY II, LLC, </w:t>
      </w:r>
      <w:r>
        <w:rPr>
          <w:rFonts w:ascii="Arial" w:cs="Arial" w:eastAsia="Arial" w:hAnsi="Arial"/>
          <w:sz w:val="17"/>
          <w:szCs w:val="17"/>
          <w:color w:val="0F0F0F"/>
        </w:rPr>
        <w:t>a Tennessee limited liability company (</w:t>
      </w:r>
      <w:r>
        <w:rPr>
          <w:rFonts w:ascii="Arial" w:cs="Arial" w:eastAsia="Arial" w:hAnsi="Arial"/>
          <w:sz w:val="17"/>
          <w:szCs w:val="17"/>
          <w:b w:val="1"/>
          <w:bCs w:val="1"/>
          <w:color w:val="0F0F0F"/>
        </w:rPr>
        <w:t>“Seller”</w:t>
      </w:r>
      <w:r>
        <w:rPr>
          <w:rFonts w:ascii="Arial" w:cs="Arial" w:eastAsia="Arial" w:hAnsi="Arial"/>
          <w:sz w:val="17"/>
          <w:szCs w:val="17"/>
          <w:color w:val="0F0F0F"/>
        </w:rPr>
        <w:t>), and</w:t>
      </w:r>
      <w:r>
        <w:rPr>
          <w:rFonts w:ascii="Arial" w:cs="Arial" w:eastAsia="Arial" w:hAnsi="Arial"/>
          <w:sz w:val="17"/>
          <w:szCs w:val="17"/>
          <w:b w:val="1"/>
          <w:bCs w:val="1"/>
          <w:color w:val="0F0F0F"/>
        </w:rPr>
        <w:t xml:space="preserve"> PUREGRAPHITE LLC, </w:t>
      </w:r>
      <w:r>
        <w:rPr>
          <w:rFonts w:ascii="Arial" w:cs="Arial" w:eastAsia="Arial" w:hAnsi="Arial"/>
          <w:sz w:val="17"/>
          <w:szCs w:val="17"/>
          <w:color w:val="0F0F0F"/>
        </w:rPr>
        <w:t>a</w:t>
      </w:r>
      <w:r>
        <w:rPr>
          <w:rFonts w:ascii="Arial" w:cs="Arial" w:eastAsia="Arial" w:hAnsi="Arial"/>
          <w:sz w:val="17"/>
          <w:szCs w:val="17"/>
          <w:b w:val="1"/>
          <w:bCs w:val="1"/>
          <w:color w:val="0F0F0F"/>
        </w:rPr>
        <w:t xml:space="preserve"> </w:t>
      </w:r>
      <w:r>
        <w:rPr>
          <w:rFonts w:ascii="Arial" w:cs="Arial" w:eastAsia="Arial" w:hAnsi="Arial"/>
          <w:sz w:val="17"/>
          <w:szCs w:val="17"/>
          <w:color w:val="0F0F0F"/>
        </w:rPr>
        <w:t>Delaware limited liability company (</w:t>
      </w:r>
      <w:r>
        <w:rPr>
          <w:rFonts w:ascii="Arial" w:cs="Arial" w:eastAsia="Arial" w:hAnsi="Arial"/>
          <w:sz w:val="17"/>
          <w:szCs w:val="17"/>
          <w:b w:val="1"/>
          <w:bCs w:val="1"/>
          <w:color w:val="0F0F0F"/>
        </w:rPr>
        <w:t>“Purchaser”</w:t>
      </w:r>
      <w:r>
        <w:rPr>
          <w:rFonts w:ascii="Arial" w:cs="Arial" w:eastAsia="Arial" w:hAnsi="Arial"/>
          <w:sz w:val="17"/>
          <w:szCs w:val="17"/>
          <w:color w:val="0F0F0F"/>
        </w:rPr>
        <w:t xml:space="preserve">). This Agreement refers to Seller and Purchaser collectively as the </w:t>
      </w:r>
      <w:r>
        <w:rPr>
          <w:rFonts w:ascii="Arial" w:cs="Arial" w:eastAsia="Arial" w:hAnsi="Arial"/>
          <w:sz w:val="17"/>
          <w:szCs w:val="17"/>
          <w:b w:val="1"/>
          <w:bCs w:val="1"/>
          <w:color w:val="0F0F0F"/>
        </w:rPr>
        <w:t>“Parties.”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F0F0F"/>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F0F0F"/>
        </w:rPr>
        <w:t xml:space="preserve">IN CONSIDERATION OF </w:t>
      </w:r>
      <w:r>
        <w:rPr>
          <w:rFonts w:ascii="Arial" w:cs="Arial" w:eastAsia="Arial" w:hAnsi="Arial"/>
          <w:sz w:val="18"/>
          <w:szCs w:val="18"/>
          <w:color w:val="0F0F0F"/>
        </w:rPr>
        <w:t>the mutual covenants and conditions set forth below, the Parties hereby agree as follows:</w:t>
      </w:r>
    </w:p>
    <w:p>
      <w:pPr>
        <w:spacing w:after="0" w:line="225" w:lineRule="exact"/>
        <w:rPr>
          <w:sz w:val="20"/>
          <w:szCs w:val="20"/>
          <w:color w:val="auto"/>
        </w:rPr>
      </w:pPr>
    </w:p>
    <w:p>
      <w:pPr>
        <w:ind w:right="20" w:firstLine="656"/>
        <w:spacing w:after="0" w:line="282" w:lineRule="auto"/>
        <w:tabs>
          <w:tab w:leader="none" w:pos="1138" w:val="left"/>
        </w:tabs>
        <w:numPr>
          <w:ilvl w:val="0"/>
          <w:numId w:val="318"/>
        </w:numPr>
        <w:rPr>
          <w:rFonts w:ascii="Arial" w:cs="Arial" w:eastAsia="Arial" w:hAnsi="Arial"/>
          <w:sz w:val="18"/>
          <w:szCs w:val="18"/>
          <w:color w:val="0F0F0F"/>
        </w:rPr>
      </w:pPr>
      <w:r>
        <w:rPr>
          <w:rFonts w:ascii="Arial" w:cs="Arial" w:eastAsia="Arial" w:hAnsi="Arial"/>
          <w:sz w:val="18"/>
          <w:szCs w:val="18"/>
          <w:b w:val="1"/>
          <w:bCs w:val="1"/>
          <w:u w:val="single" w:color="auto"/>
          <w:color w:val="0F0F0F"/>
        </w:rPr>
        <w:t>Amendment</w:t>
      </w:r>
      <w:r>
        <w:rPr>
          <w:rFonts w:ascii="Arial" w:cs="Arial" w:eastAsia="Arial" w:hAnsi="Arial"/>
          <w:sz w:val="18"/>
          <w:szCs w:val="18"/>
          <w:color w:val="0F0F0F"/>
        </w:rPr>
        <w:t>. This Amendment amends that certain Purchase and Sale Agreement between the Parties with an Effective Date of April 12,</w:t>
      </w:r>
      <w:r>
        <w:rPr>
          <w:rFonts w:ascii="Arial" w:cs="Arial" w:eastAsia="Arial" w:hAnsi="Arial"/>
          <w:sz w:val="18"/>
          <w:szCs w:val="18"/>
          <w:b w:val="1"/>
          <w:bCs w:val="1"/>
          <w:color w:val="0F0F0F"/>
        </w:rPr>
        <w:t xml:space="preserve"> </w:t>
      </w:r>
      <w:r>
        <w:rPr>
          <w:rFonts w:ascii="Arial" w:cs="Arial" w:eastAsia="Arial" w:hAnsi="Arial"/>
          <w:sz w:val="18"/>
          <w:szCs w:val="18"/>
          <w:color w:val="0F0F0F"/>
        </w:rPr>
        <w:t>2021, as amended by that First Amendment to Purchase and Sale Agreement dated as of June 9, 2021 (collectively the “</w:t>
      </w:r>
      <w:r>
        <w:rPr>
          <w:rFonts w:ascii="Arial" w:cs="Arial" w:eastAsia="Arial" w:hAnsi="Arial"/>
          <w:sz w:val="18"/>
          <w:szCs w:val="18"/>
          <w:b w:val="1"/>
          <w:bCs w:val="1"/>
          <w:color w:val="0F0F0F"/>
        </w:rPr>
        <w:t>PSA</w:t>
      </w:r>
      <w:r>
        <w:rPr>
          <w:rFonts w:ascii="Arial" w:cs="Arial" w:eastAsia="Arial" w:hAnsi="Arial"/>
          <w:sz w:val="18"/>
          <w:szCs w:val="18"/>
          <w:color w:val="0F0F0F"/>
        </w:rPr>
        <w:t>”).</w:t>
      </w:r>
    </w:p>
    <w:p>
      <w:pPr>
        <w:spacing w:after="0" w:line="161" w:lineRule="exact"/>
        <w:rPr>
          <w:rFonts w:ascii="Arial" w:cs="Arial" w:eastAsia="Arial" w:hAnsi="Arial"/>
          <w:sz w:val="18"/>
          <w:szCs w:val="18"/>
          <w:color w:val="0F0F0F"/>
        </w:rPr>
      </w:pPr>
    </w:p>
    <w:p>
      <w:pPr>
        <w:ind w:left="1100" w:hanging="444"/>
        <w:spacing w:after="0"/>
        <w:tabs>
          <w:tab w:leader="none" w:pos="1100" w:val="left"/>
        </w:tabs>
        <w:numPr>
          <w:ilvl w:val="0"/>
          <w:numId w:val="318"/>
        </w:numPr>
        <w:rPr>
          <w:rFonts w:ascii="Arial" w:cs="Arial" w:eastAsia="Arial" w:hAnsi="Arial"/>
          <w:sz w:val="18"/>
          <w:szCs w:val="18"/>
          <w:color w:val="0F0F0F"/>
        </w:rPr>
      </w:pP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0F0F0F"/>
        </w:rPr>
        <w:t>Capitalized terms not otherwise defined herein will have the meanings ascribed thereto in the PSA.</w:t>
      </w:r>
    </w:p>
    <w:p>
      <w:pPr>
        <w:spacing w:after="0" w:line="225" w:lineRule="exact"/>
        <w:rPr>
          <w:rFonts w:ascii="Arial" w:cs="Arial" w:eastAsia="Arial" w:hAnsi="Arial"/>
          <w:sz w:val="18"/>
          <w:szCs w:val="18"/>
          <w:color w:val="0F0F0F"/>
        </w:rPr>
      </w:pPr>
    </w:p>
    <w:p>
      <w:pPr>
        <w:ind w:firstLine="656"/>
        <w:spacing w:after="0" w:line="347" w:lineRule="auto"/>
        <w:tabs>
          <w:tab w:leader="none" w:pos="1125" w:val="left"/>
        </w:tabs>
        <w:numPr>
          <w:ilvl w:val="0"/>
          <w:numId w:val="318"/>
        </w:numPr>
        <w:rPr>
          <w:rFonts w:ascii="Arial" w:cs="Arial" w:eastAsia="Arial" w:hAnsi="Arial"/>
          <w:sz w:val="16"/>
          <w:szCs w:val="16"/>
          <w:color w:val="0F0F0F"/>
        </w:rPr>
      </w:pPr>
      <w:r>
        <w:rPr>
          <w:rFonts w:ascii="Arial" w:cs="Arial" w:eastAsia="Arial" w:hAnsi="Arial"/>
          <w:sz w:val="16"/>
          <w:szCs w:val="16"/>
          <w:b w:val="1"/>
          <w:bCs w:val="1"/>
          <w:u w:val="single" w:color="auto"/>
          <w:color w:val="auto"/>
        </w:rPr>
        <w:t>Investigation Period</w:t>
      </w:r>
      <w:r>
        <w:rPr>
          <w:rFonts w:ascii="Arial" w:cs="Arial" w:eastAsia="Arial" w:hAnsi="Arial"/>
          <w:sz w:val="16"/>
          <w:szCs w:val="16"/>
          <w:b w:val="1"/>
          <w:bCs w:val="1"/>
          <w:color w:val="auto"/>
        </w:rPr>
        <w:t xml:space="preserve">. </w:t>
      </w:r>
      <w:r>
        <w:rPr>
          <w:rFonts w:ascii="Arial" w:cs="Arial" w:eastAsia="Arial" w:hAnsi="Arial"/>
          <w:sz w:val="16"/>
          <w:szCs w:val="16"/>
          <w:color w:val="0F0F0F"/>
        </w:rPr>
        <w:t>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F0F0F"/>
        </w:rPr>
        <w:t>Investigation Period</w:t>
      </w:r>
      <w:r>
        <w:rPr>
          <w:rFonts w:ascii="Arial" w:cs="Arial" w:eastAsia="Arial" w:hAnsi="Arial"/>
          <w:sz w:val="16"/>
          <w:szCs w:val="16"/>
          <w:b w:val="1"/>
          <w:bCs w:val="1"/>
          <w:color w:val="auto"/>
        </w:rPr>
        <w:t xml:space="preserve"> </w:t>
      </w:r>
      <w:r>
        <w:rPr>
          <w:rFonts w:ascii="Arial" w:cs="Arial" w:eastAsia="Arial" w:hAnsi="Arial"/>
          <w:sz w:val="16"/>
          <w:szCs w:val="16"/>
          <w:color w:val="0F0F0F"/>
        </w:rPr>
        <w:t>is extended until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F0F0F"/>
        </w:rPr>
        <w:t>Closing Deadline</w:t>
      </w:r>
      <w:r>
        <w:rPr>
          <w:rFonts w:ascii="Arial" w:cs="Arial" w:eastAsia="Arial" w:hAnsi="Arial"/>
          <w:sz w:val="16"/>
          <w:szCs w:val="16"/>
          <w:b w:val="1"/>
          <w:bCs w:val="1"/>
          <w:color w:val="auto"/>
        </w:rPr>
        <w:t xml:space="preserve"> </w:t>
      </w:r>
      <w:r>
        <w:rPr>
          <w:rFonts w:ascii="Arial" w:cs="Arial" w:eastAsia="Arial" w:hAnsi="Arial"/>
          <w:sz w:val="16"/>
          <w:szCs w:val="16"/>
          <w:color w:val="0F0F0F"/>
        </w:rPr>
        <w:t>of July 23, 2021, and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F0F0F"/>
        </w:rPr>
        <w:t>Deposit</w:t>
      </w:r>
      <w:r>
        <w:rPr>
          <w:rFonts w:ascii="Arial" w:cs="Arial" w:eastAsia="Arial" w:hAnsi="Arial"/>
          <w:sz w:val="16"/>
          <w:szCs w:val="16"/>
          <w:b w:val="1"/>
          <w:bCs w:val="1"/>
          <w:color w:val="auto"/>
        </w:rPr>
        <w:t xml:space="preserve"> </w:t>
      </w:r>
      <w:r>
        <w:rPr>
          <w:rFonts w:ascii="Arial" w:cs="Arial" w:eastAsia="Arial" w:hAnsi="Arial"/>
          <w:sz w:val="16"/>
          <w:szCs w:val="16"/>
          <w:color w:val="0F0F0F"/>
        </w:rPr>
        <w:t>is refundable to</w:t>
      </w:r>
      <w:r>
        <w:rPr>
          <w:rFonts w:ascii="Arial" w:cs="Arial" w:eastAsia="Arial" w:hAnsi="Arial"/>
          <w:sz w:val="16"/>
          <w:szCs w:val="16"/>
          <w:b w:val="1"/>
          <w:bCs w:val="1"/>
          <w:color w:val="auto"/>
        </w:rPr>
        <w:t xml:space="preserve"> </w:t>
      </w:r>
      <w:r>
        <w:rPr>
          <w:rFonts w:ascii="Arial" w:cs="Arial" w:eastAsia="Arial" w:hAnsi="Arial"/>
          <w:sz w:val="16"/>
          <w:szCs w:val="16"/>
          <w:color w:val="0F0F0F"/>
        </w:rPr>
        <w:t xml:space="preserve">Purchaser if the Purchaser, for any reason, is dissatisfied with the </w:t>
      </w:r>
      <w:r>
        <w:rPr>
          <w:rFonts w:ascii="Arial" w:cs="Arial" w:eastAsia="Arial" w:hAnsi="Arial"/>
          <w:sz w:val="16"/>
          <w:szCs w:val="16"/>
          <w:b w:val="1"/>
          <w:bCs w:val="1"/>
          <w:color w:val="0F0F0F"/>
        </w:rPr>
        <w:t>Property</w:t>
      </w:r>
      <w:r>
        <w:rPr>
          <w:rFonts w:ascii="Arial" w:cs="Arial" w:eastAsia="Arial" w:hAnsi="Arial"/>
          <w:sz w:val="16"/>
          <w:szCs w:val="16"/>
          <w:color w:val="0F0F0F"/>
        </w:rPr>
        <w:t xml:space="preserve"> and gives the </w:t>
      </w:r>
      <w:r>
        <w:rPr>
          <w:rFonts w:ascii="Arial" w:cs="Arial" w:eastAsia="Arial" w:hAnsi="Arial"/>
          <w:sz w:val="16"/>
          <w:szCs w:val="16"/>
          <w:b w:val="1"/>
          <w:bCs w:val="1"/>
          <w:color w:val="0F0F0F"/>
        </w:rPr>
        <w:t>Termination Notice</w:t>
      </w:r>
      <w:r>
        <w:rPr>
          <w:rFonts w:ascii="Arial" w:cs="Arial" w:eastAsia="Arial" w:hAnsi="Arial"/>
          <w:sz w:val="16"/>
          <w:szCs w:val="16"/>
          <w:color w:val="0F0F0F"/>
        </w:rPr>
        <w:t xml:space="preserve"> prior to the </w:t>
      </w:r>
      <w:r>
        <w:rPr>
          <w:rFonts w:ascii="Arial" w:cs="Arial" w:eastAsia="Arial" w:hAnsi="Arial"/>
          <w:sz w:val="16"/>
          <w:szCs w:val="16"/>
          <w:b w:val="1"/>
          <w:bCs w:val="1"/>
          <w:color w:val="0F0F0F"/>
        </w:rPr>
        <w:t>Closing Deadline</w:t>
      </w:r>
      <w:r>
        <w:rPr>
          <w:rFonts w:ascii="Arial" w:cs="Arial" w:eastAsia="Arial" w:hAnsi="Arial"/>
          <w:sz w:val="16"/>
          <w:szCs w:val="16"/>
          <w:color w:val="0F0F0F"/>
        </w:rPr>
        <w:t>.</w:t>
      </w:r>
    </w:p>
    <w:p>
      <w:pPr>
        <w:spacing w:after="0" w:line="115" w:lineRule="exact"/>
        <w:rPr>
          <w:rFonts w:ascii="Arial" w:cs="Arial" w:eastAsia="Arial" w:hAnsi="Arial"/>
          <w:sz w:val="16"/>
          <w:szCs w:val="16"/>
          <w:color w:val="0F0F0F"/>
        </w:rPr>
      </w:pPr>
    </w:p>
    <w:p>
      <w:pPr>
        <w:ind w:firstLine="656"/>
        <w:spacing w:after="0" w:line="282" w:lineRule="auto"/>
        <w:tabs>
          <w:tab w:leader="none" w:pos="1111" w:val="left"/>
        </w:tabs>
        <w:numPr>
          <w:ilvl w:val="0"/>
          <w:numId w:val="318"/>
        </w:numPr>
        <w:rPr>
          <w:rFonts w:ascii="Arial" w:cs="Arial" w:eastAsia="Arial" w:hAnsi="Arial"/>
          <w:sz w:val="18"/>
          <w:szCs w:val="18"/>
          <w:color w:val="0F0F0F"/>
        </w:rPr>
      </w:pPr>
      <w:r>
        <w:rPr>
          <w:rFonts w:ascii="Arial" w:cs="Arial" w:eastAsia="Arial" w:hAnsi="Arial"/>
          <w:sz w:val="18"/>
          <w:szCs w:val="18"/>
          <w:b w:val="1"/>
          <w:bCs w:val="1"/>
          <w:u w:val="single" w:color="auto"/>
          <w:color w:val="0F0F0F"/>
        </w:rPr>
        <w:t>Conditions Precedent</w:t>
      </w:r>
      <w:r>
        <w:rPr>
          <w:rFonts w:ascii="Arial" w:cs="Arial" w:eastAsia="Arial" w:hAnsi="Arial"/>
          <w:sz w:val="18"/>
          <w:szCs w:val="18"/>
          <w:b w:val="1"/>
          <w:bCs w:val="1"/>
          <w:color w:val="0F0F0F"/>
        </w:rPr>
        <w:t xml:space="preserve">. </w:t>
      </w:r>
      <w:r>
        <w:rPr>
          <w:rFonts w:ascii="Arial" w:cs="Arial" w:eastAsia="Arial" w:hAnsi="Arial"/>
          <w:sz w:val="18"/>
          <w:szCs w:val="18"/>
          <w:color w:val="0F0F0F"/>
        </w:rPr>
        <w:t>Seller and Purchaser waive the resolution of the</w:t>
      </w:r>
      <w:r>
        <w:rPr>
          <w:rFonts w:ascii="Arial" w:cs="Arial" w:eastAsia="Arial" w:hAnsi="Arial"/>
          <w:sz w:val="18"/>
          <w:szCs w:val="18"/>
          <w:b w:val="1"/>
          <w:bCs w:val="1"/>
          <w:color w:val="0F0F0F"/>
        </w:rPr>
        <w:t xml:space="preserve"> Conditions Precedent </w:t>
      </w:r>
      <w:r>
        <w:rPr>
          <w:rFonts w:ascii="Arial" w:cs="Arial" w:eastAsia="Arial" w:hAnsi="Arial"/>
          <w:sz w:val="18"/>
          <w:szCs w:val="18"/>
          <w:color w:val="0F0F0F"/>
        </w:rPr>
        <w:t>(as described in Section 4 of the</w:t>
      </w:r>
      <w:r>
        <w:rPr>
          <w:rFonts w:ascii="Arial" w:cs="Arial" w:eastAsia="Arial" w:hAnsi="Arial"/>
          <w:sz w:val="18"/>
          <w:szCs w:val="18"/>
          <w:b w:val="1"/>
          <w:bCs w:val="1"/>
          <w:color w:val="0F0F0F"/>
        </w:rPr>
        <w:t xml:space="preserve"> PSA) </w:t>
      </w:r>
      <w:r>
        <w:rPr>
          <w:rFonts w:ascii="Arial" w:cs="Arial" w:eastAsia="Arial" w:hAnsi="Arial"/>
          <w:sz w:val="18"/>
          <w:szCs w:val="18"/>
          <w:color w:val="0F0F0F"/>
        </w:rPr>
        <w:t>until</w:t>
      </w:r>
      <w:r>
        <w:rPr>
          <w:rFonts w:ascii="Arial" w:cs="Arial" w:eastAsia="Arial" w:hAnsi="Arial"/>
          <w:sz w:val="18"/>
          <w:szCs w:val="18"/>
          <w:b w:val="1"/>
          <w:bCs w:val="1"/>
          <w:color w:val="0F0F0F"/>
        </w:rPr>
        <w:t xml:space="preserve"> </w:t>
      </w:r>
      <w:r>
        <w:rPr>
          <w:rFonts w:ascii="Arial" w:cs="Arial" w:eastAsia="Arial" w:hAnsi="Arial"/>
          <w:sz w:val="18"/>
          <w:szCs w:val="18"/>
          <w:color w:val="0F0F0F"/>
        </w:rPr>
        <w:t xml:space="preserve">the </w:t>
      </w:r>
      <w:r>
        <w:rPr>
          <w:rFonts w:ascii="Arial" w:cs="Arial" w:eastAsia="Arial" w:hAnsi="Arial"/>
          <w:sz w:val="18"/>
          <w:szCs w:val="18"/>
          <w:b w:val="1"/>
          <w:bCs w:val="1"/>
          <w:color w:val="0F0F0F"/>
        </w:rPr>
        <w:t>Closing Deadline.</w:t>
      </w:r>
    </w:p>
    <w:p>
      <w:pPr>
        <w:spacing w:after="0" w:line="161" w:lineRule="exact"/>
        <w:rPr>
          <w:rFonts w:ascii="Arial" w:cs="Arial" w:eastAsia="Arial" w:hAnsi="Arial"/>
          <w:sz w:val="18"/>
          <w:szCs w:val="18"/>
          <w:color w:val="0F0F0F"/>
        </w:rPr>
      </w:pPr>
    </w:p>
    <w:p>
      <w:pPr>
        <w:ind w:left="1100" w:hanging="444"/>
        <w:spacing w:after="0"/>
        <w:tabs>
          <w:tab w:leader="none" w:pos="1100" w:val="left"/>
        </w:tabs>
        <w:numPr>
          <w:ilvl w:val="0"/>
          <w:numId w:val="318"/>
        </w:numPr>
        <w:rPr>
          <w:rFonts w:ascii="Arial" w:cs="Arial" w:eastAsia="Arial" w:hAnsi="Arial"/>
          <w:sz w:val="18"/>
          <w:szCs w:val="18"/>
          <w:color w:val="0F0F0F"/>
        </w:rPr>
      </w:pPr>
      <w:r>
        <w:rPr>
          <w:rFonts w:ascii="Arial" w:cs="Arial" w:eastAsia="Arial" w:hAnsi="Arial"/>
          <w:sz w:val="18"/>
          <w:szCs w:val="18"/>
          <w:b w:val="1"/>
          <w:bCs w:val="1"/>
          <w:u w:val="single" w:color="auto"/>
          <w:color w:val="0F0F0F"/>
        </w:rPr>
        <w:t>PSA</w:t>
      </w:r>
      <w:r>
        <w:rPr>
          <w:rFonts w:ascii="Arial" w:cs="Arial" w:eastAsia="Arial" w:hAnsi="Arial"/>
          <w:sz w:val="18"/>
          <w:szCs w:val="18"/>
          <w:color w:val="0F0F0F"/>
        </w:rPr>
        <w:t>. Except as expressly set forth herein, all terms and conditions of the</w:t>
      </w:r>
      <w:r>
        <w:rPr>
          <w:rFonts w:ascii="Arial" w:cs="Arial" w:eastAsia="Arial" w:hAnsi="Arial"/>
          <w:sz w:val="18"/>
          <w:szCs w:val="18"/>
          <w:b w:val="1"/>
          <w:bCs w:val="1"/>
          <w:color w:val="0F0F0F"/>
        </w:rPr>
        <w:t xml:space="preserve"> PSA </w:t>
      </w:r>
      <w:r>
        <w:rPr>
          <w:rFonts w:ascii="Arial" w:cs="Arial" w:eastAsia="Arial" w:hAnsi="Arial"/>
          <w:sz w:val="18"/>
          <w:szCs w:val="18"/>
          <w:color w:val="0F0F0F"/>
        </w:rPr>
        <w:t>remain in full force and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F0F0F"/>
        </w:rPr>
        <w:t>[</w:t>
      </w:r>
      <w:r>
        <w:rPr>
          <w:rFonts w:ascii="Arial" w:cs="Arial" w:eastAsia="Arial" w:hAnsi="Arial"/>
          <w:sz w:val="18"/>
          <w:szCs w:val="18"/>
          <w:b w:val="1"/>
          <w:bCs w:val="1"/>
          <w:i w:val="1"/>
          <w:iCs w:val="1"/>
          <w:color w:val="0F0F0F"/>
        </w:rPr>
        <w:t>Signature pages follow</w:t>
      </w:r>
      <w:r>
        <w:rPr>
          <w:rFonts w:ascii="Arial" w:cs="Arial" w:eastAsia="Arial" w:hAnsi="Arial"/>
          <w:sz w:val="18"/>
          <w:szCs w:val="18"/>
          <w:b w:val="1"/>
          <w:bCs w:val="1"/>
          <w:color w:val="0F0F0F"/>
        </w:rPr>
        <w:t>]</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8" w:name="page269"/>
    <w:bookmarkEnd w:id="268"/>
    <w:p>
      <w:pPr>
        <w:ind w:left="1320"/>
        <w:spacing w:after="0"/>
        <w:rPr>
          <w:sz w:val="20"/>
          <w:szCs w:val="20"/>
          <w:color w:val="auto"/>
        </w:rPr>
      </w:pPr>
      <w:r>
        <w:rPr>
          <w:rFonts w:ascii="Arial" w:cs="Arial" w:eastAsia="Arial" w:hAnsi="Arial"/>
          <w:sz w:val="18"/>
          <w:szCs w:val="18"/>
          <w:color w:val="131313"/>
        </w:rPr>
        <w:t>IN WITNESS WHEREOF, the Seller has entered into this Second Amendment as of the date first set forth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gridSpan w:val="2"/>
          </w:tcPr>
          <w:p>
            <w:pPr>
              <w:ind w:left="2620"/>
              <w:spacing w:after="0"/>
              <w:rPr>
                <w:sz w:val="20"/>
                <w:szCs w:val="20"/>
                <w:color w:val="auto"/>
              </w:rPr>
            </w:pPr>
            <w:r>
              <w:rPr>
                <w:rFonts w:ascii="Arial" w:cs="Arial" w:eastAsia="Arial" w:hAnsi="Arial"/>
                <w:sz w:val="18"/>
                <w:szCs w:val="18"/>
                <w:b w:val="1"/>
                <w:bCs w:val="1"/>
                <w:color w:val="auto"/>
              </w:rPr>
              <w:t>SELLER:</w:t>
            </w:r>
          </w:p>
        </w:tc>
      </w:tr>
      <w:tr>
        <w:trPr>
          <w:trHeight w:val="418"/>
        </w:trPr>
        <w:tc>
          <w:tcPr>
            <w:tcW w:w="3020" w:type="dxa"/>
            <w:vAlign w:val="bottom"/>
          </w:tcPr>
          <w:p>
            <w:pPr>
              <w:spacing w:after="0"/>
              <w:rPr>
                <w:sz w:val="24"/>
                <w:szCs w:val="24"/>
                <w:color w:val="auto"/>
              </w:rPr>
            </w:pPr>
          </w:p>
        </w:tc>
        <w:tc>
          <w:tcPr>
            <w:tcW w:w="8220" w:type="dxa"/>
            <w:vAlign w:val="bottom"/>
            <w:gridSpan w:val="2"/>
          </w:tcPr>
          <w:p>
            <w:pPr>
              <w:ind w:left="2620"/>
              <w:spacing w:after="0"/>
              <w:rPr>
                <w:sz w:val="20"/>
                <w:szCs w:val="20"/>
                <w:color w:val="auto"/>
              </w:rPr>
            </w:pPr>
            <w:r>
              <w:rPr>
                <w:rFonts w:ascii="Arial" w:cs="Arial" w:eastAsia="Arial" w:hAnsi="Arial"/>
                <w:sz w:val="18"/>
                <w:szCs w:val="18"/>
                <w:b w:val="1"/>
                <w:bCs w:val="1"/>
                <w:color w:val="auto"/>
              </w:rPr>
              <w:t>WEST END PROPERTY II, LLC, a</w:t>
            </w:r>
          </w:p>
        </w:tc>
      </w:tr>
      <w:tr>
        <w:trPr>
          <w:trHeight w:val="230"/>
        </w:trPr>
        <w:tc>
          <w:tcPr>
            <w:tcW w:w="3020" w:type="dxa"/>
            <w:vAlign w:val="bottom"/>
          </w:tcPr>
          <w:p>
            <w:pPr>
              <w:spacing w:after="0"/>
              <w:rPr>
                <w:sz w:val="20"/>
                <w:szCs w:val="20"/>
                <w:color w:val="auto"/>
              </w:rPr>
            </w:pPr>
          </w:p>
        </w:tc>
        <w:tc>
          <w:tcPr>
            <w:tcW w:w="8220" w:type="dxa"/>
            <w:vAlign w:val="bottom"/>
            <w:gridSpan w:val="2"/>
          </w:tcPr>
          <w:p>
            <w:pPr>
              <w:ind w:left="2620"/>
              <w:spacing w:after="0"/>
              <w:rPr>
                <w:sz w:val="20"/>
                <w:szCs w:val="20"/>
                <w:color w:val="auto"/>
              </w:rPr>
            </w:pPr>
            <w:r>
              <w:rPr>
                <w:rFonts w:ascii="Arial" w:cs="Arial" w:eastAsia="Arial" w:hAnsi="Arial"/>
                <w:sz w:val="18"/>
                <w:szCs w:val="18"/>
                <w:color w:val="auto"/>
              </w:rPr>
              <w:t>Tennessee limited liability company</w:t>
            </w:r>
          </w:p>
        </w:tc>
      </w:tr>
      <w:tr>
        <w:trPr>
          <w:trHeight w:val="1768"/>
        </w:trPr>
        <w:tc>
          <w:tcPr>
            <w:tcW w:w="3020" w:type="dxa"/>
            <w:vAlign w:val="bottom"/>
          </w:tcPr>
          <w:p>
            <w:pPr>
              <w:spacing w:after="0"/>
              <w:rPr>
                <w:sz w:val="20"/>
                <w:szCs w:val="20"/>
                <w:color w:val="auto"/>
              </w:rPr>
            </w:pPr>
            <w:r>
              <w:rPr>
                <w:rFonts w:ascii="Arial" w:cs="Arial" w:eastAsia="Arial" w:hAnsi="Arial"/>
                <w:sz w:val="18"/>
                <w:szCs w:val="18"/>
                <w:color w:val="auto"/>
              </w:rPr>
              <w:t>Date: June 29, 2021</w:t>
            </w:r>
          </w:p>
        </w:tc>
        <w:tc>
          <w:tcPr>
            <w:tcW w:w="8220" w:type="dxa"/>
            <w:vAlign w:val="bottom"/>
            <w:gridSpan w:val="2"/>
          </w:tcPr>
          <w:p>
            <w:pPr>
              <w:ind w:left="2620"/>
              <w:spacing w:after="0"/>
              <w:rPr>
                <w:sz w:val="20"/>
                <w:szCs w:val="20"/>
                <w:color w:val="auto"/>
              </w:rPr>
            </w:pPr>
            <w:r>
              <w:rPr>
                <w:rFonts w:ascii="Arial" w:cs="Arial" w:eastAsia="Arial" w:hAnsi="Arial"/>
                <w:sz w:val="18"/>
                <w:szCs w:val="18"/>
                <w:color w:val="auto"/>
              </w:rPr>
              <w:t>By:</w:t>
            </w:r>
          </w:p>
        </w:tc>
      </w:tr>
      <w:tr>
        <w:trPr>
          <w:trHeight w:val="224"/>
        </w:trPr>
        <w:tc>
          <w:tcPr>
            <w:tcW w:w="30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K. White III, Chief Manager</w:t>
            </w:r>
          </w:p>
        </w:tc>
      </w:tr>
      <w:tr>
        <w:trPr>
          <w:trHeight w:val="418"/>
        </w:trPr>
        <w:tc>
          <w:tcPr>
            <w:tcW w:w="3020" w:type="dxa"/>
            <w:vAlign w:val="bottom"/>
          </w:tcPr>
          <w:p>
            <w:pPr>
              <w:spacing w:after="0"/>
              <w:rPr>
                <w:sz w:val="24"/>
                <w:szCs w:val="24"/>
                <w:color w:val="auto"/>
              </w:rPr>
            </w:pPr>
          </w:p>
        </w:tc>
        <w:tc>
          <w:tcPr>
            <w:tcW w:w="8220" w:type="dxa"/>
            <w:vAlign w:val="bottom"/>
            <w:gridSpan w:val="2"/>
          </w:tcPr>
          <w:p>
            <w:pPr>
              <w:ind w:left="1560"/>
              <w:spacing w:after="0"/>
              <w:rPr>
                <w:sz w:val="20"/>
                <w:szCs w:val="20"/>
                <w:color w:val="auto"/>
              </w:rPr>
            </w:pPr>
            <w:r>
              <w:rPr>
                <w:rFonts w:ascii="Arial" w:cs="Arial" w:eastAsia="Arial" w:hAnsi="Arial"/>
                <w:sz w:val="18"/>
                <w:szCs w:val="18"/>
                <w:b w:val="1"/>
                <w:bCs w:val="1"/>
                <w:i w:val="1"/>
                <w:iCs w:val="1"/>
                <w:color w:val="131313"/>
              </w:rPr>
              <w:t>[Signature Page Continues]</w:t>
            </w:r>
          </w:p>
        </w:tc>
      </w:tr>
      <w:tr>
        <w:trPr>
          <w:trHeight w:val="418"/>
        </w:trPr>
        <w:tc>
          <w:tcPr>
            <w:tcW w:w="3020" w:type="dxa"/>
            <w:vAlign w:val="bottom"/>
          </w:tcPr>
          <w:p>
            <w:pPr>
              <w:spacing w:after="0"/>
              <w:rPr>
                <w:sz w:val="24"/>
                <w:szCs w:val="24"/>
                <w:color w:val="auto"/>
              </w:rPr>
            </w:pPr>
          </w:p>
        </w:tc>
        <w:tc>
          <w:tcPr>
            <w:tcW w:w="2940" w:type="dxa"/>
            <w:vAlign w:val="bottom"/>
          </w:tcPr>
          <w:p>
            <w:pPr>
              <w:ind w:left="2540"/>
              <w:spacing w:after="0"/>
              <w:rPr>
                <w:sz w:val="20"/>
                <w:szCs w:val="20"/>
                <w:color w:val="auto"/>
              </w:rPr>
            </w:pPr>
            <w:r>
              <w:rPr>
                <w:rFonts w:ascii="Arial" w:cs="Arial" w:eastAsia="Arial" w:hAnsi="Arial"/>
                <w:sz w:val="18"/>
                <w:szCs w:val="18"/>
                <w:color w:val="auto"/>
              </w:rPr>
              <w:t>2</w:t>
            </w:r>
          </w:p>
        </w:tc>
        <w:tc>
          <w:tcPr>
            <w:tcW w:w="5280" w:type="dxa"/>
            <w:vAlign w:val="bottom"/>
          </w:tcPr>
          <w:p>
            <w:pPr>
              <w:spacing w:after="0"/>
              <w:rPr>
                <w:sz w:val="24"/>
                <w:szCs w:val="24"/>
                <w:color w:val="auto"/>
              </w:rPr>
            </w:pPr>
          </w:p>
        </w:tc>
      </w:tr>
      <w:tr>
        <w:trPr>
          <w:trHeight w:val="61"/>
        </w:trPr>
        <w:tc>
          <w:tcPr>
            <w:tcW w:w="302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-1722120</wp:posOffset>
            </wp:positionV>
            <wp:extent cx="1543050" cy="95123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543050" cy="95123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9" w:name="page270"/>
    <w:bookmarkEnd w:id="269"/>
    <w:p>
      <w:pPr>
        <w:ind w:left="1320"/>
        <w:spacing w:after="0"/>
        <w:rPr>
          <w:sz w:val="20"/>
          <w:szCs w:val="20"/>
          <w:color w:val="auto"/>
        </w:rPr>
      </w:pPr>
      <w:r>
        <w:rPr>
          <w:rFonts w:ascii="Arial" w:cs="Arial" w:eastAsia="Arial" w:hAnsi="Arial"/>
          <w:sz w:val="18"/>
          <w:szCs w:val="18"/>
          <w:color w:val="131313"/>
        </w:rPr>
        <w:t xml:space="preserve">IN WITNESS WHEREOF, the Purchaser has entered into this Second </w:t>
      </w:r>
      <w:r>
        <w:rPr>
          <w:rFonts w:ascii="Arial" w:cs="Arial" w:eastAsia="Arial" w:hAnsi="Arial"/>
          <w:sz w:val="18"/>
          <w:szCs w:val="18"/>
          <w:color w:val="000000"/>
        </w:rPr>
        <w:t>Amendment</w:t>
      </w:r>
      <w:r>
        <w:rPr>
          <w:rFonts w:ascii="Arial" w:cs="Arial" w:eastAsia="Arial" w:hAnsi="Arial"/>
          <w:sz w:val="18"/>
          <w:szCs w:val="18"/>
          <w:color w:val="131313"/>
        </w:rPr>
        <w:t xml:space="preserve"> as of the date first set forth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PURCHASER:</w:t>
            </w:r>
          </w:p>
        </w:tc>
      </w:tr>
      <w:tr>
        <w:trPr>
          <w:trHeight w:val="432"/>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 xml:space="preserve">PUREGRAPHITE LLC, </w:t>
            </w:r>
            <w:r>
              <w:rPr>
                <w:rFonts w:ascii="Arial" w:cs="Arial" w:eastAsia="Arial" w:hAnsi="Arial"/>
                <w:sz w:val="18"/>
                <w:szCs w:val="18"/>
                <w:color w:val="auto"/>
              </w:rPr>
              <w:t>a Delaware limited liability company</w:t>
            </w:r>
          </w:p>
        </w:tc>
      </w:tr>
      <w:tr>
        <w:trPr>
          <w:trHeight w:val="1013"/>
        </w:trPr>
        <w:tc>
          <w:tcPr>
            <w:tcW w:w="3500" w:type="dxa"/>
            <w:vAlign w:val="bottom"/>
            <w:gridSpan w:val="2"/>
          </w:tcPr>
          <w:p>
            <w:pPr>
              <w:spacing w:after="0"/>
              <w:rPr>
                <w:sz w:val="20"/>
                <w:szCs w:val="20"/>
                <w:color w:val="auto"/>
              </w:rPr>
            </w:pPr>
            <w:r>
              <w:rPr>
                <w:rFonts w:ascii="Arial" w:cs="Arial" w:eastAsia="Arial" w:hAnsi="Arial"/>
                <w:sz w:val="18"/>
                <w:szCs w:val="18"/>
                <w:color w:val="auto"/>
              </w:rPr>
              <w:t>Date: June 29, 2021</w:t>
            </w: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By:</w:t>
            </w:r>
          </w:p>
        </w:tc>
      </w:tr>
      <w:tr>
        <w:trPr>
          <w:trHeight w:val="224"/>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Christopher Burns, CEO</w:t>
            </w:r>
          </w:p>
        </w:tc>
      </w:tr>
      <w:tr>
        <w:trPr>
          <w:trHeight w:val="41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6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5280" w:type="dxa"/>
            <w:vAlign w:val="bottom"/>
          </w:tcPr>
          <w:p>
            <w:pPr>
              <w:spacing w:after="0"/>
              <w:rPr>
                <w:sz w:val="24"/>
                <w:szCs w:val="24"/>
                <w:color w:val="auto"/>
              </w:rPr>
            </w:pPr>
          </w:p>
        </w:tc>
      </w:tr>
      <w:tr>
        <w:trPr>
          <w:trHeight w:val="74"/>
        </w:trPr>
        <w:tc>
          <w:tcPr>
            <w:tcW w:w="20" w:type="dxa"/>
            <w:vAlign w:val="bottom"/>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528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-984885</wp:posOffset>
            </wp:positionV>
            <wp:extent cx="2151380" cy="47180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151380" cy="4718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277495</wp:posOffset>
            </wp:positionV>
            <wp:extent cx="7123430" cy="4318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23430" cy="43180"/>
                    </a:xfrm>
                    <a:prstGeom prst="rect">
                      <a:avLst/>
                    </a:prstGeom>
                    <a:noFill/>
                  </pic:spPr>
                </pic:pic>
              </a:graphicData>
            </a:graphic>
          </wp:anchor>
        </w:drawing>
        <w:t>Exhibit 4.7</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THIRD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AND SALE AGREEMENT</w:t>
      </w:r>
    </w:p>
    <w:p>
      <w:pPr>
        <w:spacing w:after="0" w:line="207" w:lineRule="exact"/>
        <w:rPr>
          <w:sz w:val="20"/>
          <w:szCs w:val="20"/>
          <w:color w:val="auto"/>
        </w:rPr>
      </w:pPr>
    </w:p>
    <w:p>
      <w:pPr>
        <w:ind w:right="240" w:firstLine="648"/>
        <w:spacing w:after="0" w:line="289" w:lineRule="auto"/>
        <w:rPr>
          <w:sz w:val="20"/>
          <w:szCs w:val="20"/>
          <w:color w:val="auto"/>
        </w:rPr>
      </w:pPr>
      <w:r>
        <w:rPr>
          <w:rFonts w:ascii="Arial" w:cs="Arial" w:eastAsia="Arial" w:hAnsi="Arial"/>
          <w:sz w:val="17"/>
          <w:szCs w:val="17"/>
          <w:b w:val="1"/>
          <w:bCs w:val="1"/>
          <w:color w:val="212121"/>
        </w:rPr>
        <w:t xml:space="preserve">THIS THIRD AMENDMENT TO PURCHASE AND SALE AGREEMENT </w:t>
      </w:r>
      <w:r>
        <w:rPr>
          <w:rFonts w:ascii="Arial" w:cs="Arial" w:eastAsia="Arial" w:hAnsi="Arial"/>
          <w:sz w:val="17"/>
          <w:szCs w:val="17"/>
          <w:color w:val="212121"/>
        </w:rPr>
        <w:t>(this</w:t>
      </w:r>
      <w:r>
        <w:rPr>
          <w:rFonts w:ascii="Arial" w:cs="Arial" w:eastAsia="Arial" w:hAnsi="Arial"/>
          <w:sz w:val="17"/>
          <w:szCs w:val="17"/>
          <w:b w:val="1"/>
          <w:bCs w:val="1"/>
          <w:color w:val="212121"/>
        </w:rPr>
        <w:t xml:space="preserve"> “Agreement”) </w:t>
      </w:r>
      <w:r>
        <w:rPr>
          <w:rFonts w:ascii="Arial" w:cs="Arial" w:eastAsia="Arial" w:hAnsi="Arial"/>
          <w:sz w:val="17"/>
          <w:szCs w:val="17"/>
          <w:color w:val="212121"/>
        </w:rPr>
        <w:t>is made effective as of July 22, 2021 (the</w:t>
      </w:r>
      <w:r>
        <w:rPr>
          <w:rFonts w:ascii="Arial" w:cs="Arial" w:eastAsia="Arial" w:hAnsi="Arial"/>
          <w:sz w:val="17"/>
          <w:szCs w:val="17"/>
          <w:b w:val="1"/>
          <w:bCs w:val="1"/>
          <w:color w:val="212121"/>
        </w:rPr>
        <w:t xml:space="preserve"> “Effective Date”), </w:t>
      </w:r>
      <w:r>
        <w:rPr>
          <w:rFonts w:ascii="Arial" w:cs="Arial" w:eastAsia="Arial" w:hAnsi="Arial"/>
          <w:sz w:val="17"/>
          <w:szCs w:val="17"/>
          <w:color w:val="212121"/>
        </w:rPr>
        <w:t>between</w:t>
      </w:r>
      <w:r>
        <w:rPr>
          <w:rFonts w:ascii="Arial" w:cs="Arial" w:eastAsia="Arial" w:hAnsi="Arial"/>
          <w:sz w:val="17"/>
          <w:szCs w:val="17"/>
          <w:b w:val="1"/>
          <w:bCs w:val="1"/>
          <w:color w:val="212121"/>
        </w:rPr>
        <w:t xml:space="preserve"> WEST END PROPERTY II, LLC</w:t>
      </w:r>
      <w:r>
        <w:rPr>
          <w:rFonts w:ascii="Arial" w:cs="Arial" w:eastAsia="Arial" w:hAnsi="Arial"/>
          <w:sz w:val="17"/>
          <w:szCs w:val="17"/>
          <w:color w:val="212121"/>
        </w:rPr>
        <w:t>, a Tennessee limited liability company (</w:t>
      </w:r>
      <w:r>
        <w:rPr>
          <w:rFonts w:ascii="Arial" w:cs="Arial" w:eastAsia="Arial" w:hAnsi="Arial"/>
          <w:sz w:val="17"/>
          <w:szCs w:val="17"/>
          <w:b w:val="1"/>
          <w:bCs w:val="1"/>
          <w:color w:val="212121"/>
        </w:rPr>
        <w:t>“Seller”</w:t>
      </w:r>
      <w:r>
        <w:rPr>
          <w:rFonts w:ascii="Arial" w:cs="Arial" w:eastAsia="Arial" w:hAnsi="Arial"/>
          <w:sz w:val="17"/>
          <w:szCs w:val="17"/>
          <w:color w:val="212121"/>
        </w:rPr>
        <w:t>), and</w:t>
      </w:r>
      <w:r>
        <w:rPr>
          <w:rFonts w:ascii="Arial" w:cs="Arial" w:eastAsia="Arial" w:hAnsi="Arial"/>
          <w:sz w:val="17"/>
          <w:szCs w:val="17"/>
          <w:b w:val="1"/>
          <w:bCs w:val="1"/>
          <w:color w:val="212121"/>
        </w:rPr>
        <w:t xml:space="preserve"> PUREGRAPHITE LLC</w:t>
      </w:r>
      <w:r>
        <w:rPr>
          <w:rFonts w:ascii="Arial" w:cs="Arial" w:eastAsia="Arial" w:hAnsi="Arial"/>
          <w:sz w:val="17"/>
          <w:szCs w:val="17"/>
          <w:color w:val="212121"/>
        </w:rPr>
        <w:t>, a</w:t>
      </w:r>
      <w:r>
        <w:rPr>
          <w:rFonts w:ascii="Arial" w:cs="Arial" w:eastAsia="Arial" w:hAnsi="Arial"/>
          <w:sz w:val="17"/>
          <w:szCs w:val="17"/>
          <w:b w:val="1"/>
          <w:bCs w:val="1"/>
          <w:color w:val="212121"/>
        </w:rPr>
        <w:t xml:space="preserve"> </w:t>
      </w:r>
      <w:r>
        <w:rPr>
          <w:rFonts w:ascii="Arial" w:cs="Arial" w:eastAsia="Arial" w:hAnsi="Arial"/>
          <w:sz w:val="17"/>
          <w:szCs w:val="17"/>
          <w:color w:val="212121"/>
        </w:rPr>
        <w:t>Delaware limited liability company (“</w:t>
      </w:r>
      <w:r>
        <w:rPr>
          <w:rFonts w:ascii="Arial" w:cs="Arial" w:eastAsia="Arial" w:hAnsi="Arial"/>
          <w:sz w:val="17"/>
          <w:szCs w:val="17"/>
          <w:b w:val="1"/>
          <w:bCs w:val="1"/>
          <w:color w:val="212121"/>
        </w:rPr>
        <w:t>Purchaser</w:t>
      </w:r>
      <w:r>
        <w:rPr>
          <w:rFonts w:ascii="Arial" w:cs="Arial" w:eastAsia="Arial" w:hAnsi="Arial"/>
          <w:sz w:val="17"/>
          <w:szCs w:val="17"/>
          <w:color w:val="212121"/>
        </w:rPr>
        <w:t xml:space="preserve">”). This Agreement refers to Seller and Purchaser collectively as the </w:t>
      </w:r>
      <w:r>
        <w:rPr>
          <w:rFonts w:ascii="Arial" w:cs="Arial" w:eastAsia="Arial" w:hAnsi="Arial"/>
          <w:sz w:val="17"/>
          <w:szCs w:val="17"/>
          <w:b w:val="1"/>
          <w:bCs w:val="1"/>
          <w:color w:val="212121"/>
        </w:rPr>
        <w:t>“Parties.”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121"/>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12121"/>
        </w:rPr>
        <w:t xml:space="preserve">IN CONSIDERATION OF </w:t>
      </w:r>
      <w:r>
        <w:rPr>
          <w:rFonts w:ascii="Arial" w:cs="Arial" w:eastAsia="Arial" w:hAnsi="Arial"/>
          <w:sz w:val="18"/>
          <w:szCs w:val="18"/>
          <w:color w:val="212121"/>
        </w:rPr>
        <w:t>the mutual covenants and conditions set forth below, the Parties hereby agree as follows:</w:t>
      </w:r>
    </w:p>
    <w:p>
      <w:pPr>
        <w:spacing w:after="0" w:line="225" w:lineRule="exact"/>
        <w:rPr>
          <w:sz w:val="20"/>
          <w:szCs w:val="20"/>
          <w:color w:val="auto"/>
        </w:rPr>
      </w:pPr>
    </w:p>
    <w:p>
      <w:pPr>
        <w:ind w:right="100" w:firstLine="656"/>
        <w:spacing w:after="0" w:line="266" w:lineRule="auto"/>
        <w:tabs>
          <w:tab w:leader="none" w:pos="1098" w:val="left"/>
        </w:tabs>
        <w:numPr>
          <w:ilvl w:val="0"/>
          <w:numId w:val="319"/>
        </w:numPr>
        <w:rPr>
          <w:rFonts w:ascii="Arial" w:cs="Arial" w:eastAsia="Arial" w:hAnsi="Arial"/>
          <w:sz w:val="18"/>
          <w:szCs w:val="18"/>
          <w:color w:val="212121"/>
        </w:rPr>
      </w:pPr>
      <w:r>
        <w:rPr>
          <w:rFonts w:ascii="Arial" w:cs="Arial" w:eastAsia="Arial" w:hAnsi="Arial"/>
          <w:sz w:val="18"/>
          <w:szCs w:val="18"/>
          <w:b w:val="1"/>
          <w:bCs w:val="1"/>
          <w:u w:val="single" w:color="auto"/>
          <w:color w:val="212121"/>
        </w:rPr>
        <w:t>Amendment</w:t>
      </w:r>
      <w:r>
        <w:rPr>
          <w:rFonts w:ascii="Arial" w:cs="Arial" w:eastAsia="Arial" w:hAnsi="Arial"/>
          <w:sz w:val="18"/>
          <w:szCs w:val="18"/>
          <w:b w:val="1"/>
          <w:bCs w:val="1"/>
          <w:color w:val="212121"/>
        </w:rPr>
        <w:t xml:space="preserve">. </w:t>
      </w:r>
      <w:r>
        <w:rPr>
          <w:rFonts w:ascii="Arial" w:cs="Arial" w:eastAsia="Arial" w:hAnsi="Arial"/>
          <w:sz w:val="18"/>
          <w:szCs w:val="18"/>
          <w:color w:val="212121"/>
        </w:rPr>
        <w:t>This Amendment amends that certain Purchase and Sale Agreement between the Parties with an Effective Date of April 12,</w:t>
      </w:r>
      <w:r>
        <w:rPr>
          <w:rFonts w:ascii="Arial" w:cs="Arial" w:eastAsia="Arial" w:hAnsi="Arial"/>
          <w:sz w:val="18"/>
          <w:szCs w:val="18"/>
          <w:b w:val="1"/>
          <w:bCs w:val="1"/>
          <w:color w:val="212121"/>
        </w:rPr>
        <w:t xml:space="preserve"> </w:t>
      </w:r>
      <w:r>
        <w:rPr>
          <w:rFonts w:ascii="Arial" w:cs="Arial" w:eastAsia="Arial" w:hAnsi="Arial"/>
          <w:sz w:val="18"/>
          <w:szCs w:val="18"/>
          <w:color w:val="212121"/>
        </w:rPr>
        <w:t>2021, as amended by that First Amendment to Purchase and Sale Agreement dated as of June 9, 2021, and as further amended by that Second Amendment to Purchase and Sale Agreement with an Effective Date of June 30, 2021 (collectively the “</w:t>
      </w:r>
      <w:r>
        <w:rPr>
          <w:rFonts w:ascii="Arial" w:cs="Arial" w:eastAsia="Arial" w:hAnsi="Arial"/>
          <w:sz w:val="18"/>
          <w:szCs w:val="18"/>
          <w:b w:val="1"/>
          <w:bCs w:val="1"/>
          <w:color w:val="212121"/>
        </w:rPr>
        <w:t>PSA</w:t>
      </w:r>
      <w:r>
        <w:rPr>
          <w:rFonts w:ascii="Arial" w:cs="Arial" w:eastAsia="Arial" w:hAnsi="Arial"/>
          <w:sz w:val="18"/>
          <w:szCs w:val="18"/>
          <w:color w:val="212121"/>
        </w:rPr>
        <w:t>”).</w:t>
      </w:r>
    </w:p>
    <w:p>
      <w:pPr>
        <w:spacing w:after="0" w:line="175" w:lineRule="exact"/>
        <w:rPr>
          <w:rFonts w:ascii="Arial" w:cs="Arial" w:eastAsia="Arial" w:hAnsi="Arial"/>
          <w:sz w:val="18"/>
          <w:szCs w:val="18"/>
          <w:color w:val="212121"/>
        </w:rPr>
      </w:pPr>
    </w:p>
    <w:p>
      <w:pPr>
        <w:ind w:left="1100" w:hanging="444"/>
        <w:spacing w:after="0"/>
        <w:tabs>
          <w:tab w:leader="none" w:pos="1100" w:val="left"/>
        </w:tabs>
        <w:numPr>
          <w:ilvl w:val="0"/>
          <w:numId w:val="319"/>
        </w:numPr>
        <w:rPr>
          <w:rFonts w:ascii="Arial" w:cs="Arial" w:eastAsia="Arial" w:hAnsi="Arial"/>
          <w:sz w:val="18"/>
          <w:szCs w:val="18"/>
          <w:color w:val="212121"/>
        </w:rPr>
      </w:pPr>
      <w:r>
        <w:rPr>
          <w:rFonts w:ascii="Arial" w:cs="Arial" w:eastAsia="Arial" w:hAnsi="Arial"/>
          <w:sz w:val="18"/>
          <w:szCs w:val="18"/>
          <w:b w:val="1"/>
          <w:bCs w:val="1"/>
          <w:u w:val="single" w:color="auto"/>
          <w:color w:val="auto"/>
        </w:rPr>
        <w:t>Capitalized Terms</w:t>
      </w:r>
      <w:r>
        <w:rPr>
          <w:rFonts w:ascii="Arial" w:cs="Arial" w:eastAsia="Arial" w:hAnsi="Arial"/>
          <w:sz w:val="18"/>
          <w:szCs w:val="18"/>
          <w:b w:val="1"/>
          <w:bCs w:val="1"/>
          <w:color w:val="auto"/>
        </w:rPr>
        <w:t xml:space="preserve">. </w:t>
      </w:r>
      <w:r>
        <w:rPr>
          <w:rFonts w:ascii="Arial" w:cs="Arial" w:eastAsia="Arial" w:hAnsi="Arial"/>
          <w:sz w:val="18"/>
          <w:szCs w:val="18"/>
          <w:color w:val="212121"/>
        </w:rPr>
        <w:t>Capitalized terms not otherwise defined herein will have the meanings ascribed thereto in the PSA.</w:t>
      </w:r>
    </w:p>
    <w:p>
      <w:pPr>
        <w:spacing w:after="0" w:line="225" w:lineRule="exact"/>
        <w:rPr>
          <w:rFonts w:ascii="Arial" w:cs="Arial" w:eastAsia="Arial" w:hAnsi="Arial"/>
          <w:sz w:val="18"/>
          <w:szCs w:val="18"/>
          <w:color w:val="212121"/>
        </w:rPr>
      </w:pPr>
    </w:p>
    <w:p>
      <w:pPr>
        <w:ind w:right="80" w:firstLine="656"/>
        <w:spacing w:after="0" w:line="282" w:lineRule="auto"/>
        <w:tabs>
          <w:tab w:leader="none" w:pos="1098" w:val="left"/>
        </w:tabs>
        <w:numPr>
          <w:ilvl w:val="0"/>
          <w:numId w:val="319"/>
        </w:numPr>
        <w:rPr>
          <w:rFonts w:ascii="Arial" w:cs="Arial" w:eastAsia="Arial" w:hAnsi="Arial"/>
          <w:sz w:val="18"/>
          <w:szCs w:val="18"/>
          <w:color w:val="212121"/>
        </w:rPr>
      </w:pPr>
      <w:r>
        <w:rPr>
          <w:rFonts w:ascii="Arial" w:cs="Arial" w:eastAsia="Arial" w:hAnsi="Arial"/>
          <w:sz w:val="18"/>
          <w:szCs w:val="18"/>
          <w:b w:val="1"/>
          <w:bCs w:val="1"/>
          <w:u w:val="single" w:color="auto"/>
          <w:color w:val="auto"/>
        </w:rPr>
        <w:t>Investigation Period</w:t>
      </w:r>
      <w:r>
        <w:rPr>
          <w:rFonts w:ascii="Arial" w:cs="Arial" w:eastAsia="Arial" w:hAnsi="Arial"/>
          <w:sz w:val="18"/>
          <w:szCs w:val="18"/>
          <w:b w:val="1"/>
          <w:bCs w:val="1"/>
          <w:color w:val="auto"/>
        </w:rPr>
        <w:t xml:space="preserve">. </w:t>
      </w:r>
      <w:r>
        <w:rPr>
          <w:rFonts w:ascii="Arial" w:cs="Arial" w:eastAsia="Arial" w:hAnsi="Arial"/>
          <w:sz w:val="18"/>
          <w:szCs w:val="18"/>
          <w:color w:val="212121"/>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12121"/>
        </w:rPr>
        <w:t>Investigation Period</w:t>
      </w:r>
      <w:r>
        <w:rPr>
          <w:rFonts w:ascii="Arial" w:cs="Arial" w:eastAsia="Arial" w:hAnsi="Arial"/>
          <w:sz w:val="18"/>
          <w:szCs w:val="18"/>
          <w:b w:val="1"/>
          <w:bCs w:val="1"/>
          <w:color w:val="auto"/>
        </w:rPr>
        <w:t xml:space="preserve"> </w:t>
      </w:r>
      <w:r>
        <w:rPr>
          <w:rFonts w:ascii="Arial" w:cs="Arial" w:eastAsia="Arial" w:hAnsi="Arial"/>
          <w:sz w:val="18"/>
          <w:szCs w:val="18"/>
          <w:color w:val="212121"/>
        </w:rPr>
        <w:t>expires at 11:59 PM on July 23, 2021, and 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12121"/>
        </w:rPr>
        <w:t>Deposit</w:t>
      </w:r>
      <w:r>
        <w:rPr>
          <w:rFonts w:ascii="Arial" w:cs="Arial" w:eastAsia="Arial" w:hAnsi="Arial"/>
          <w:sz w:val="18"/>
          <w:szCs w:val="18"/>
          <w:b w:val="1"/>
          <w:bCs w:val="1"/>
          <w:color w:val="auto"/>
        </w:rPr>
        <w:t xml:space="preserve"> </w:t>
      </w:r>
      <w:r>
        <w:rPr>
          <w:rFonts w:ascii="Arial" w:cs="Arial" w:eastAsia="Arial" w:hAnsi="Arial"/>
          <w:sz w:val="18"/>
          <w:szCs w:val="18"/>
          <w:color w:val="212121"/>
        </w:rPr>
        <w:t>thereafter becomes non-refundable</w:t>
      </w:r>
      <w:r>
        <w:rPr>
          <w:rFonts w:ascii="Arial" w:cs="Arial" w:eastAsia="Arial" w:hAnsi="Arial"/>
          <w:sz w:val="18"/>
          <w:szCs w:val="18"/>
          <w:b w:val="1"/>
          <w:bCs w:val="1"/>
          <w:color w:val="auto"/>
        </w:rPr>
        <w:t xml:space="preserve"> </w:t>
      </w:r>
      <w:r>
        <w:rPr>
          <w:rFonts w:ascii="Arial" w:cs="Arial" w:eastAsia="Arial" w:hAnsi="Arial"/>
          <w:sz w:val="18"/>
          <w:szCs w:val="18"/>
          <w:color w:val="212121"/>
        </w:rPr>
        <w:t>to Purchaser, except in the event of a Seller default.</w:t>
      </w:r>
    </w:p>
    <w:p>
      <w:pPr>
        <w:spacing w:after="0" w:line="161" w:lineRule="exact"/>
        <w:rPr>
          <w:rFonts w:ascii="Arial" w:cs="Arial" w:eastAsia="Arial" w:hAnsi="Arial"/>
          <w:sz w:val="18"/>
          <w:szCs w:val="18"/>
          <w:color w:val="212121"/>
        </w:rPr>
      </w:pPr>
    </w:p>
    <w:p>
      <w:pPr>
        <w:ind w:left="1100" w:hanging="444"/>
        <w:spacing w:after="0"/>
        <w:tabs>
          <w:tab w:leader="none" w:pos="1100" w:val="left"/>
        </w:tabs>
        <w:numPr>
          <w:ilvl w:val="0"/>
          <w:numId w:val="319"/>
        </w:numPr>
        <w:rPr>
          <w:rFonts w:ascii="Arial" w:cs="Arial" w:eastAsia="Arial" w:hAnsi="Arial"/>
          <w:sz w:val="18"/>
          <w:szCs w:val="18"/>
          <w:color w:val="212121"/>
        </w:rPr>
      </w:pPr>
      <w:r>
        <w:rPr>
          <w:rFonts w:ascii="Arial" w:cs="Arial" w:eastAsia="Arial" w:hAnsi="Arial"/>
          <w:sz w:val="18"/>
          <w:szCs w:val="18"/>
          <w:b w:val="1"/>
          <w:bCs w:val="1"/>
          <w:u w:val="single" w:color="auto"/>
          <w:color w:val="auto"/>
        </w:rPr>
        <w:t>Closing Deadline</w:t>
      </w:r>
      <w:r>
        <w:rPr>
          <w:rFonts w:ascii="Arial" w:cs="Arial" w:eastAsia="Arial" w:hAnsi="Arial"/>
          <w:sz w:val="18"/>
          <w:szCs w:val="18"/>
          <w:b w:val="1"/>
          <w:bCs w:val="1"/>
          <w:color w:val="auto"/>
        </w:rPr>
        <w:t xml:space="preserve">. </w:t>
      </w:r>
      <w:r>
        <w:rPr>
          <w:rFonts w:ascii="Arial" w:cs="Arial" w:eastAsia="Arial" w:hAnsi="Arial"/>
          <w:sz w:val="18"/>
          <w:szCs w:val="18"/>
          <w:color w:val="212121"/>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12121"/>
        </w:rPr>
        <w:t>Closing Deadline</w:t>
      </w:r>
      <w:r>
        <w:rPr>
          <w:rFonts w:ascii="Arial" w:cs="Arial" w:eastAsia="Arial" w:hAnsi="Arial"/>
          <w:sz w:val="18"/>
          <w:szCs w:val="18"/>
          <w:b w:val="1"/>
          <w:bCs w:val="1"/>
          <w:color w:val="auto"/>
        </w:rPr>
        <w:t xml:space="preserve"> </w:t>
      </w:r>
      <w:r>
        <w:rPr>
          <w:rFonts w:ascii="Arial" w:cs="Arial" w:eastAsia="Arial" w:hAnsi="Arial"/>
          <w:sz w:val="18"/>
          <w:szCs w:val="18"/>
          <w:color w:val="212121"/>
        </w:rPr>
        <w:t>is extended to July 28, 2021, at 3:30 PM EDT.</w:t>
      </w:r>
    </w:p>
    <w:p>
      <w:pPr>
        <w:spacing w:after="0" w:line="225" w:lineRule="exact"/>
        <w:rPr>
          <w:rFonts w:ascii="Arial" w:cs="Arial" w:eastAsia="Arial" w:hAnsi="Arial"/>
          <w:sz w:val="18"/>
          <w:szCs w:val="18"/>
          <w:color w:val="212121"/>
        </w:rPr>
      </w:pPr>
    </w:p>
    <w:p>
      <w:pPr>
        <w:ind w:left="1100" w:hanging="444"/>
        <w:spacing w:after="0"/>
        <w:tabs>
          <w:tab w:leader="none" w:pos="1100" w:val="left"/>
        </w:tabs>
        <w:numPr>
          <w:ilvl w:val="0"/>
          <w:numId w:val="319"/>
        </w:numPr>
        <w:rPr>
          <w:rFonts w:ascii="Arial" w:cs="Arial" w:eastAsia="Arial" w:hAnsi="Arial"/>
          <w:sz w:val="18"/>
          <w:szCs w:val="18"/>
          <w:color w:val="212121"/>
        </w:rPr>
      </w:pPr>
      <w:r>
        <w:rPr>
          <w:rFonts w:ascii="Arial" w:cs="Arial" w:eastAsia="Arial" w:hAnsi="Arial"/>
          <w:sz w:val="18"/>
          <w:szCs w:val="18"/>
          <w:b w:val="1"/>
          <w:bCs w:val="1"/>
          <w:u w:val="single" w:color="auto"/>
          <w:color w:val="212121"/>
        </w:rPr>
        <w:t>PSA</w:t>
      </w:r>
      <w:r>
        <w:rPr>
          <w:rFonts w:ascii="Arial" w:cs="Arial" w:eastAsia="Arial" w:hAnsi="Arial"/>
          <w:sz w:val="18"/>
          <w:szCs w:val="18"/>
          <w:color w:val="212121"/>
        </w:rPr>
        <w:t>. Except as expressly set forth herein, all terms and conditions of the</w:t>
      </w:r>
      <w:r>
        <w:rPr>
          <w:rFonts w:ascii="Arial" w:cs="Arial" w:eastAsia="Arial" w:hAnsi="Arial"/>
          <w:sz w:val="18"/>
          <w:szCs w:val="18"/>
          <w:b w:val="1"/>
          <w:bCs w:val="1"/>
          <w:color w:val="212121"/>
        </w:rPr>
        <w:t xml:space="preserve"> PSA </w:t>
      </w:r>
      <w:r>
        <w:rPr>
          <w:rFonts w:ascii="Arial" w:cs="Arial" w:eastAsia="Arial" w:hAnsi="Arial"/>
          <w:sz w:val="18"/>
          <w:szCs w:val="18"/>
          <w:color w:val="212121"/>
        </w:rPr>
        <w:t>remain in full force and effect.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121"/>
        </w:rPr>
        <w:t>[</w:t>
      </w:r>
      <w:r>
        <w:rPr>
          <w:rFonts w:ascii="Arial" w:cs="Arial" w:eastAsia="Arial" w:hAnsi="Arial"/>
          <w:sz w:val="18"/>
          <w:szCs w:val="18"/>
          <w:b w:val="1"/>
          <w:bCs w:val="1"/>
          <w:i w:val="1"/>
          <w:iCs w:val="1"/>
          <w:color w:val="212121"/>
        </w:rPr>
        <w:t>Signature pages follows</w:t>
      </w:r>
      <w:r>
        <w:rPr>
          <w:rFonts w:ascii="Arial" w:cs="Arial" w:eastAsia="Arial" w:hAnsi="Arial"/>
          <w:sz w:val="18"/>
          <w:szCs w:val="18"/>
          <w:b w:val="1"/>
          <w:bCs w:val="1"/>
          <w:color w:val="212121"/>
        </w:rPr>
        <w:t>]</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1" w:name="page272"/>
    <w:bookmarkEnd w:id="271"/>
    <w:p>
      <w:pPr>
        <w:ind w:left="1220"/>
        <w:spacing w:after="0"/>
        <w:rPr>
          <w:sz w:val="20"/>
          <w:szCs w:val="20"/>
          <w:color w:val="auto"/>
        </w:rPr>
      </w:pPr>
      <w:r>
        <w:rPr>
          <w:rFonts w:ascii="Arial" w:cs="Arial" w:eastAsia="Arial" w:hAnsi="Arial"/>
          <w:sz w:val="18"/>
          <w:szCs w:val="18"/>
          <w:color w:val="161616"/>
        </w:rPr>
        <w:t>IN WITNESS WHEREOF, the Seller has entered into this Third Amendment as of the date first set forth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8260" w:type="dxa"/>
            <w:vAlign w:val="bottom"/>
            <w:gridSpan w:val="2"/>
          </w:tcPr>
          <w:p>
            <w:pPr>
              <w:ind w:left="2660"/>
              <w:spacing w:after="0"/>
              <w:rPr>
                <w:sz w:val="20"/>
                <w:szCs w:val="20"/>
                <w:color w:val="auto"/>
              </w:rPr>
            </w:pPr>
            <w:r>
              <w:rPr>
                <w:rFonts w:ascii="Arial" w:cs="Arial" w:eastAsia="Arial" w:hAnsi="Arial"/>
                <w:sz w:val="18"/>
                <w:szCs w:val="18"/>
                <w:b w:val="1"/>
                <w:bCs w:val="1"/>
                <w:color w:val="auto"/>
              </w:rPr>
              <w:t>SELLER:</w:t>
            </w:r>
          </w:p>
        </w:tc>
      </w:tr>
      <w:tr>
        <w:trPr>
          <w:trHeight w:val="418"/>
        </w:trPr>
        <w:tc>
          <w:tcPr>
            <w:tcW w:w="2980" w:type="dxa"/>
            <w:vAlign w:val="bottom"/>
          </w:tcPr>
          <w:p>
            <w:pPr>
              <w:spacing w:after="0"/>
              <w:rPr>
                <w:sz w:val="24"/>
                <w:szCs w:val="24"/>
                <w:color w:val="auto"/>
              </w:rPr>
            </w:pPr>
          </w:p>
        </w:tc>
        <w:tc>
          <w:tcPr>
            <w:tcW w:w="8260" w:type="dxa"/>
            <w:vAlign w:val="bottom"/>
            <w:gridSpan w:val="2"/>
          </w:tcPr>
          <w:p>
            <w:pPr>
              <w:ind w:left="2660"/>
              <w:spacing w:after="0"/>
              <w:rPr>
                <w:sz w:val="20"/>
                <w:szCs w:val="20"/>
                <w:color w:val="auto"/>
              </w:rPr>
            </w:pPr>
            <w:r>
              <w:rPr>
                <w:rFonts w:ascii="Arial" w:cs="Arial" w:eastAsia="Arial" w:hAnsi="Arial"/>
                <w:sz w:val="18"/>
                <w:szCs w:val="18"/>
                <w:b w:val="1"/>
                <w:bCs w:val="1"/>
                <w:color w:val="auto"/>
              </w:rPr>
              <w:t>WEST END PROPERTY II, LLC, a</w:t>
            </w:r>
          </w:p>
        </w:tc>
      </w:tr>
      <w:tr>
        <w:trPr>
          <w:trHeight w:val="230"/>
        </w:trPr>
        <w:tc>
          <w:tcPr>
            <w:tcW w:w="2980" w:type="dxa"/>
            <w:vAlign w:val="bottom"/>
          </w:tcPr>
          <w:p>
            <w:pPr>
              <w:spacing w:after="0"/>
              <w:rPr>
                <w:sz w:val="20"/>
                <w:szCs w:val="20"/>
                <w:color w:val="auto"/>
              </w:rPr>
            </w:pPr>
          </w:p>
        </w:tc>
        <w:tc>
          <w:tcPr>
            <w:tcW w:w="8260" w:type="dxa"/>
            <w:vAlign w:val="bottom"/>
            <w:gridSpan w:val="2"/>
          </w:tcPr>
          <w:p>
            <w:pPr>
              <w:ind w:left="2660"/>
              <w:spacing w:after="0"/>
              <w:rPr>
                <w:sz w:val="20"/>
                <w:szCs w:val="20"/>
                <w:color w:val="auto"/>
              </w:rPr>
            </w:pPr>
            <w:r>
              <w:rPr>
                <w:rFonts w:ascii="Arial" w:cs="Arial" w:eastAsia="Arial" w:hAnsi="Arial"/>
                <w:sz w:val="18"/>
                <w:szCs w:val="18"/>
                <w:color w:val="auto"/>
              </w:rPr>
              <w:t>Tennessee limited liability company</w:t>
            </w:r>
          </w:p>
        </w:tc>
      </w:tr>
      <w:tr>
        <w:trPr>
          <w:trHeight w:val="1498"/>
        </w:trPr>
        <w:tc>
          <w:tcPr>
            <w:tcW w:w="2980" w:type="dxa"/>
            <w:vAlign w:val="bottom"/>
          </w:tcPr>
          <w:p>
            <w:pPr>
              <w:spacing w:after="0"/>
              <w:rPr>
                <w:sz w:val="20"/>
                <w:szCs w:val="20"/>
                <w:color w:val="auto"/>
              </w:rPr>
            </w:pPr>
            <w:r>
              <w:rPr>
                <w:rFonts w:ascii="Arial" w:cs="Arial" w:eastAsia="Arial" w:hAnsi="Arial"/>
                <w:sz w:val="18"/>
                <w:szCs w:val="18"/>
                <w:color w:val="auto"/>
              </w:rPr>
              <w:t>Date: July 22, 2021</w:t>
            </w:r>
          </w:p>
        </w:tc>
        <w:tc>
          <w:tcPr>
            <w:tcW w:w="8260" w:type="dxa"/>
            <w:vAlign w:val="bottom"/>
            <w:gridSpan w:val="2"/>
          </w:tcPr>
          <w:p>
            <w:pPr>
              <w:ind w:left="2660"/>
              <w:spacing w:after="0"/>
              <w:rPr>
                <w:sz w:val="20"/>
                <w:szCs w:val="20"/>
                <w:color w:val="auto"/>
              </w:rPr>
            </w:pPr>
            <w:r>
              <w:rPr>
                <w:rFonts w:ascii="Arial" w:cs="Arial" w:eastAsia="Arial" w:hAnsi="Arial"/>
                <w:sz w:val="18"/>
                <w:szCs w:val="18"/>
                <w:color w:val="auto"/>
              </w:rPr>
              <w:t>By:</w:t>
            </w:r>
          </w:p>
        </w:tc>
      </w:tr>
      <w:tr>
        <w:trPr>
          <w:trHeight w:val="224"/>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K. White III, Chief Manager</w:t>
            </w:r>
          </w:p>
        </w:tc>
      </w:tr>
      <w:tr>
        <w:trPr>
          <w:trHeight w:val="418"/>
        </w:trPr>
        <w:tc>
          <w:tcPr>
            <w:tcW w:w="2980" w:type="dxa"/>
            <w:vAlign w:val="bottom"/>
          </w:tcPr>
          <w:p>
            <w:pPr>
              <w:spacing w:after="0"/>
              <w:rPr>
                <w:sz w:val="24"/>
                <w:szCs w:val="24"/>
                <w:color w:val="auto"/>
              </w:rPr>
            </w:pPr>
          </w:p>
        </w:tc>
        <w:tc>
          <w:tcPr>
            <w:tcW w:w="8260" w:type="dxa"/>
            <w:vAlign w:val="bottom"/>
            <w:gridSpan w:val="2"/>
          </w:tcPr>
          <w:p>
            <w:pPr>
              <w:ind w:left="1580"/>
              <w:spacing w:after="0"/>
              <w:rPr>
                <w:sz w:val="20"/>
                <w:szCs w:val="20"/>
                <w:color w:val="auto"/>
              </w:rPr>
            </w:pPr>
            <w:r>
              <w:rPr>
                <w:rFonts w:ascii="Arial" w:cs="Arial" w:eastAsia="Arial" w:hAnsi="Arial"/>
                <w:sz w:val="18"/>
                <w:szCs w:val="18"/>
                <w:b w:val="1"/>
                <w:bCs w:val="1"/>
                <w:i w:val="1"/>
                <w:iCs w:val="1"/>
                <w:color w:val="auto"/>
              </w:rPr>
              <w:t>[Signature Pages Continues]</w:t>
            </w:r>
          </w:p>
        </w:tc>
      </w:tr>
      <w:tr>
        <w:trPr>
          <w:trHeight w:val="418"/>
        </w:trPr>
        <w:tc>
          <w:tcPr>
            <w:tcW w:w="2980" w:type="dxa"/>
            <w:vAlign w:val="bottom"/>
          </w:tcPr>
          <w:p>
            <w:pPr>
              <w:spacing w:after="0"/>
              <w:rPr>
                <w:sz w:val="24"/>
                <w:szCs w:val="24"/>
                <w:color w:val="auto"/>
              </w:rPr>
            </w:pPr>
          </w:p>
        </w:tc>
        <w:tc>
          <w:tcPr>
            <w:tcW w:w="2980" w:type="dxa"/>
            <w:vAlign w:val="bottom"/>
          </w:tcPr>
          <w:p>
            <w:pPr>
              <w:ind w:left="2580"/>
              <w:spacing w:after="0"/>
              <w:rPr>
                <w:sz w:val="20"/>
                <w:szCs w:val="20"/>
                <w:color w:val="auto"/>
              </w:rPr>
            </w:pPr>
            <w:r>
              <w:rPr>
                <w:rFonts w:ascii="Arial" w:cs="Arial" w:eastAsia="Arial" w:hAnsi="Arial"/>
                <w:sz w:val="18"/>
                <w:szCs w:val="18"/>
                <w:color w:val="auto"/>
              </w:rPr>
              <w:t>2</w:t>
            </w:r>
          </w:p>
        </w:tc>
        <w:tc>
          <w:tcPr>
            <w:tcW w:w="5280" w:type="dxa"/>
            <w:vAlign w:val="bottom"/>
          </w:tcPr>
          <w:p>
            <w:pPr>
              <w:spacing w:after="0"/>
              <w:rPr>
                <w:sz w:val="24"/>
                <w:szCs w:val="24"/>
                <w:color w:val="auto"/>
              </w:rPr>
            </w:pPr>
          </w:p>
        </w:tc>
      </w:tr>
      <w:tr>
        <w:trPr>
          <w:trHeight w:val="61"/>
        </w:trPr>
        <w:tc>
          <w:tcPr>
            <w:tcW w:w="298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52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-1550670</wp:posOffset>
            </wp:positionV>
            <wp:extent cx="857250" cy="77978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57250" cy="77978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2" w:name="page273"/>
    <w:bookmarkEnd w:id="272"/>
    <w:p>
      <w:pPr>
        <w:ind w:left="1240"/>
        <w:spacing w:after="0"/>
        <w:rPr>
          <w:sz w:val="20"/>
          <w:szCs w:val="20"/>
          <w:color w:val="auto"/>
        </w:rPr>
      </w:pPr>
      <w:r>
        <w:rPr>
          <w:rFonts w:ascii="Arial" w:cs="Arial" w:eastAsia="Arial" w:hAnsi="Arial"/>
          <w:sz w:val="18"/>
          <w:szCs w:val="18"/>
          <w:color w:val="2B2B2B"/>
        </w:rPr>
        <w:t>IN WITNESS WHEREOF, the Purchaser has entered into this Third Amendment as of the date first set forth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Arial" w:cs="Arial" w:eastAsia="Arial" w:hAnsi="Arial"/>
                <w:sz w:val="18"/>
                <w:szCs w:val="18"/>
                <w:b w:val="1"/>
                <w:bCs w:val="1"/>
                <w:color w:val="auto"/>
              </w:rPr>
              <w:t>PURCHASER:</w:t>
            </w:r>
          </w:p>
        </w:tc>
      </w:tr>
      <w:tr>
        <w:trPr>
          <w:trHeight w:val="432"/>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760" w:type="dxa"/>
            <w:vAlign w:val="bottom"/>
            <w:gridSpan w:val="2"/>
          </w:tcPr>
          <w:p>
            <w:pPr>
              <w:ind w:left="2160"/>
              <w:spacing w:after="0"/>
              <w:rPr>
                <w:sz w:val="20"/>
                <w:szCs w:val="20"/>
                <w:color w:val="auto"/>
              </w:rPr>
            </w:pPr>
            <w:r>
              <w:rPr>
                <w:rFonts w:ascii="Arial" w:cs="Arial" w:eastAsia="Arial" w:hAnsi="Arial"/>
                <w:sz w:val="18"/>
                <w:szCs w:val="18"/>
                <w:b w:val="1"/>
                <w:bCs w:val="1"/>
                <w:color w:val="auto"/>
              </w:rPr>
              <w:t xml:space="preserve">PUREGRAPHITE LLC, </w:t>
            </w:r>
            <w:r>
              <w:rPr>
                <w:rFonts w:ascii="Arial" w:cs="Arial" w:eastAsia="Arial" w:hAnsi="Arial"/>
                <w:sz w:val="18"/>
                <w:szCs w:val="18"/>
                <w:color w:val="auto"/>
              </w:rPr>
              <w:t>a Delaware limited liability company</w:t>
            </w:r>
          </w:p>
        </w:tc>
      </w:tr>
      <w:tr>
        <w:trPr>
          <w:trHeight w:val="716"/>
        </w:trPr>
        <w:tc>
          <w:tcPr>
            <w:tcW w:w="3480" w:type="dxa"/>
            <w:vAlign w:val="bottom"/>
            <w:gridSpan w:val="2"/>
          </w:tcPr>
          <w:p>
            <w:pPr>
              <w:spacing w:after="0"/>
              <w:rPr>
                <w:sz w:val="20"/>
                <w:szCs w:val="20"/>
                <w:color w:val="auto"/>
              </w:rPr>
            </w:pPr>
            <w:r>
              <w:rPr>
                <w:rFonts w:ascii="Arial" w:cs="Arial" w:eastAsia="Arial" w:hAnsi="Arial"/>
                <w:sz w:val="18"/>
                <w:szCs w:val="18"/>
                <w:color w:val="auto"/>
              </w:rPr>
              <w:t>Date: July 22, 2021</w:t>
            </w:r>
          </w:p>
        </w:tc>
        <w:tc>
          <w:tcPr>
            <w:tcW w:w="7760" w:type="dxa"/>
            <w:vAlign w:val="bottom"/>
            <w:gridSpan w:val="2"/>
          </w:tcPr>
          <w:p>
            <w:pPr>
              <w:ind w:left="2160"/>
              <w:spacing w:after="0"/>
              <w:rPr>
                <w:sz w:val="20"/>
                <w:szCs w:val="20"/>
                <w:color w:val="auto"/>
              </w:rPr>
            </w:pPr>
            <w:r>
              <w:rPr>
                <w:rFonts w:ascii="Arial" w:cs="Arial" w:eastAsia="Arial" w:hAnsi="Arial"/>
                <w:sz w:val="18"/>
                <w:szCs w:val="18"/>
                <w:color w:val="auto"/>
              </w:rPr>
              <w:t>By:</w:t>
            </w:r>
          </w:p>
        </w:tc>
      </w:tr>
      <w:tr>
        <w:trPr>
          <w:trHeight w:val="224"/>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Christopher Burns, CEO</w:t>
            </w:r>
          </w:p>
        </w:tc>
      </w:tr>
      <w:tr>
        <w:trPr>
          <w:trHeight w:val="418"/>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80" w:type="dxa"/>
            <w:vAlign w:val="bottom"/>
          </w:tcPr>
          <w:p>
            <w:pPr>
              <w:jc w:val="right"/>
              <w:ind w:right="250"/>
              <w:spacing w:after="0"/>
              <w:rPr>
                <w:sz w:val="20"/>
                <w:szCs w:val="20"/>
                <w:color w:val="auto"/>
              </w:rPr>
            </w:pPr>
            <w:r>
              <w:rPr>
                <w:rFonts w:ascii="Arial" w:cs="Arial" w:eastAsia="Arial" w:hAnsi="Arial"/>
                <w:sz w:val="18"/>
                <w:szCs w:val="18"/>
                <w:color w:val="2B2B2B"/>
              </w:rPr>
              <w:t>3</w:t>
            </w:r>
          </w:p>
        </w:tc>
        <w:tc>
          <w:tcPr>
            <w:tcW w:w="5280" w:type="dxa"/>
            <w:vAlign w:val="bottom"/>
          </w:tcPr>
          <w:p>
            <w:pPr>
              <w:spacing w:after="0"/>
              <w:rPr>
                <w:sz w:val="24"/>
                <w:szCs w:val="24"/>
                <w:color w:val="auto"/>
              </w:rPr>
            </w:pPr>
          </w:p>
        </w:tc>
      </w:tr>
      <w:tr>
        <w:trPr>
          <w:trHeight w:val="74"/>
        </w:trPr>
        <w:tc>
          <w:tcPr>
            <w:tcW w:w="20" w:type="dxa"/>
            <w:vAlign w:val="bottom"/>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528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-796290</wp:posOffset>
            </wp:positionV>
            <wp:extent cx="1800225" cy="28321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800225" cy="28321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4.8</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28,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NOVONIX 1029, LLC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DBR INVESTMENTS CO.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Lender</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ROPERTY</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1029 West 19</w:t>
      </w:r>
      <w:r>
        <w:rPr>
          <w:rFonts w:ascii="Arial" w:cs="Arial" w:eastAsia="Arial" w:hAnsi="Arial"/>
          <w:sz w:val="24"/>
          <w:szCs w:val="24"/>
          <w:b w:val="1"/>
          <w:bCs w:val="1"/>
          <w:color w:val="auto"/>
          <w:vertAlign w:val="superscript"/>
        </w:rPr>
        <w:t>th</w:t>
      </w:r>
      <w:r>
        <w:rPr>
          <w:rFonts w:ascii="Arial" w:cs="Arial" w:eastAsia="Arial" w:hAnsi="Arial"/>
          <w:sz w:val="15"/>
          <w:szCs w:val="15"/>
          <w:b w:val="1"/>
          <w:bCs w:val="1"/>
          <w:color w:val="auto"/>
        </w:rPr>
        <w:t xml:space="preserve"> Street</w:t>
      </w:r>
    </w:p>
    <w:p>
      <w:pPr>
        <w:ind w:left="1300"/>
        <w:spacing w:after="0"/>
        <w:rPr>
          <w:sz w:val="20"/>
          <w:szCs w:val="20"/>
          <w:color w:val="auto"/>
        </w:rPr>
      </w:pPr>
      <w:r>
        <w:rPr>
          <w:rFonts w:ascii="Arial" w:cs="Arial" w:eastAsia="Arial" w:hAnsi="Arial"/>
          <w:sz w:val="18"/>
          <w:szCs w:val="18"/>
          <w:b w:val="1"/>
          <w:bCs w:val="1"/>
          <w:color w:val="auto"/>
        </w:rPr>
        <w:t>Chattanooga, Tennessee 37408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9340" w:type="dxa"/>
            <w:vAlign w:val="bottom"/>
          </w:tcPr>
          <w:p>
            <w:pPr>
              <w:ind w:left="31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r>
      <w:tr>
        <w:trPr>
          <w:trHeight w:val="432"/>
        </w:trPr>
        <w:tc>
          <w:tcPr>
            <w:tcW w:w="15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411"/>
        </w:trPr>
        <w:tc>
          <w:tcPr>
            <w:tcW w:w="10880" w:type="dxa"/>
            <w:vAlign w:val="bottom"/>
            <w:gridSpan w:val="2"/>
          </w:tcPr>
          <w:p>
            <w:pPr>
              <w:spacing w:after="0"/>
              <w:rPr>
                <w:sz w:val="20"/>
                <w:szCs w:val="20"/>
                <w:color w:val="auto"/>
              </w:rPr>
            </w:pPr>
            <w:r>
              <w:rPr>
                <w:rFonts w:ascii="Arial" w:cs="Arial" w:eastAsia="Arial" w:hAnsi="Arial"/>
                <w:sz w:val="18"/>
                <w:szCs w:val="18"/>
                <w:color w:val="auto"/>
              </w:rPr>
              <w:t>ARTICLE 1 DEFINITIONS; PRINCIPLES OF CONSTRUCTION</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40" w:type="dxa"/>
            <w:vAlign w:val="bottom"/>
          </w:tcPr>
          <w:p>
            <w:pPr>
              <w:jc w:val="center"/>
              <w:ind w:left="230"/>
              <w:spacing w:after="0"/>
              <w:rPr>
                <w:sz w:val="20"/>
                <w:szCs w:val="20"/>
                <w:color w:val="auto"/>
              </w:rPr>
            </w:pPr>
            <w:r>
              <w:rPr>
                <w:rFonts w:ascii="Arial" w:cs="Arial" w:eastAsia="Arial" w:hAnsi="Arial"/>
                <w:sz w:val="18"/>
                <w:szCs w:val="18"/>
                <w:color w:val="auto"/>
                <w:w w:val="91"/>
              </w:rPr>
              <w:t>Section 1.1</w:t>
            </w:r>
          </w:p>
        </w:tc>
        <w:tc>
          <w:tcPr>
            <w:tcW w:w="9340" w:type="dxa"/>
            <w:vAlign w:val="bottom"/>
          </w:tcPr>
          <w:p>
            <w:pPr>
              <w:ind w:left="140"/>
              <w:spacing w:after="0"/>
              <w:rPr>
                <w:sz w:val="20"/>
                <w:szCs w:val="20"/>
                <w:color w:val="auto"/>
              </w:rPr>
            </w:pPr>
            <w:r>
              <w:rPr>
                <w:rFonts w:ascii="Arial" w:cs="Arial" w:eastAsia="Arial" w:hAnsi="Arial"/>
                <w:sz w:val="18"/>
                <w:szCs w:val="18"/>
                <w:color w:val="auto"/>
              </w:rPr>
              <w:t>Specific 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40" w:type="dxa"/>
            <w:vAlign w:val="bottom"/>
          </w:tcPr>
          <w:p>
            <w:pPr>
              <w:jc w:val="center"/>
              <w:ind w:left="230"/>
              <w:spacing w:after="0"/>
              <w:rPr>
                <w:sz w:val="20"/>
                <w:szCs w:val="20"/>
                <w:color w:val="auto"/>
              </w:rPr>
            </w:pPr>
            <w:r>
              <w:rPr>
                <w:rFonts w:ascii="Arial" w:cs="Arial" w:eastAsia="Arial" w:hAnsi="Arial"/>
                <w:sz w:val="18"/>
                <w:szCs w:val="18"/>
                <w:color w:val="auto"/>
                <w:w w:val="91"/>
              </w:rPr>
              <w:t>Section 1.2</w:t>
            </w:r>
          </w:p>
        </w:tc>
        <w:tc>
          <w:tcPr>
            <w:tcW w:w="9340" w:type="dxa"/>
            <w:vAlign w:val="bottom"/>
          </w:tcPr>
          <w:p>
            <w:pPr>
              <w:ind w:left="140"/>
              <w:spacing w:after="0"/>
              <w:rPr>
                <w:sz w:val="20"/>
                <w:szCs w:val="20"/>
                <w:color w:val="auto"/>
              </w:rPr>
            </w:pPr>
            <w:r>
              <w:rPr>
                <w:rFonts w:ascii="Arial" w:cs="Arial" w:eastAsia="Arial" w:hAnsi="Arial"/>
                <w:sz w:val="18"/>
                <w:szCs w:val="18"/>
                <w:color w:val="auto"/>
              </w:rPr>
              <w:t>Index of Other 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540" w:type="dxa"/>
            <w:vAlign w:val="bottom"/>
          </w:tcPr>
          <w:p>
            <w:pPr>
              <w:jc w:val="center"/>
              <w:ind w:left="230"/>
              <w:spacing w:after="0"/>
              <w:rPr>
                <w:sz w:val="20"/>
                <w:szCs w:val="20"/>
                <w:color w:val="auto"/>
              </w:rPr>
            </w:pPr>
            <w:r>
              <w:rPr>
                <w:rFonts w:ascii="Arial" w:cs="Arial" w:eastAsia="Arial" w:hAnsi="Arial"/>
                <w:sz w:val="18"/>
                <w:szCs w:val="18"/>
                <w:color w:val="auto"/>
                <w:w w:val="91"/>
              </w:rPr>
              <w:t>Section 1.3</w:t>
            </w:r>
          </w:p>
        </w:tc>
        <w:tc>
          <w:tcPr>
            <w:tcW w:w="9340" w:type="dxa"/>
            <w:vAlign w:val="bottom"/>
          </w:tcPr>
          <w:p>
            <w:pPr>
              <w:ind w:left="140"/>
              <w:spacing w:after="0"/>
              <w:rPr>
                <w:sz w:val="20"/>
                <w:szCs w:val="20"/>
                <w:color w:val="auto"/>
              </w:rPr>
            </w:pPr>
            <w:r>
              <w:rPr>
                <w:rFonts w:ascii="Arial" w:cs="Arial" w:eastAsia="Arial" w:hAnsi="Arial"/>
                <w:sz w:val="18"/>
                <w:szCs w:val="18"/>
                <w:color w:val="auto"/>
              </w:rPr>
              <w:t>Principles of Construction</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0880" w:type="dxa"/>
            <w:vAlign w:val="bottom"/>
            <w:gridSpan w:val="2"/>
          </w:tcPr>
          <w:p>
            <w:pPr>
              <w:jc w:val="center"/>
              <w:ind w:right="8950"/>
              <w:spacing w:after="0"/>
              <w:rPr>
                <w:sz w:val="20"/>
                <w:szCs w:val="20"/>
                <w:color w:val="auto"/>
              </w:rPr>
            </w:pPr>
            <w:r>
              <w:rPr>
                <w:rFonts w:ascii="Arial" w:cs="Arial" w:eastAsia="Arial" w:hAnsi="Arial"/>
                <w:sz w:val="18"/>
                <w:szCs w:val="18"/>
                <w:color w:val="auto"/>
                <w:w w:val="98"/>
              </w:rPr>
              <w:t>ARTICLE 2 THE LOAN</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center"/>
              <w:ind w:left="230"/>
              <w:spacing w:after="0"/>
              <w:rPr>
                <w:sz w:val="20"/>
                <w:szCs w:val="20"/>
                <w:color w:val="auto"/>
              </w:rPr>
            </w:pPr>
            <w:r>
              <w:rPr>
                <w:rFonts w:ascii="Arial" w:cs="Arial" w:eastAsia="Arial" w:hAnsi="Arial"/>
                <w:sz w:val="18"/>
                <w:szCs w:val="18"/>
                <w:color w:val="auto"/>
                <w:w w:val="91"/>
              </w:rPr>
              <w:t>Section 2.1</w:t>
            </w:r>
          </w:p>
        </w:tc>
        <w:tc>
          <w:tcPr>
            <w:tcW w:w="9340" w:type="dxa"/>
            <w:vAlign w:val="bottom"/>
          </w:tcPr>
          <w:p>
            <w:pPr>
              <w:ind w:left="140"/>
              <w:spacing w:after="0"/>
              <w:rPr>
                <w:sz w:val="20"/>
                <w:szCs w:val="20"/>
                <w:color w:val="auto"/>
              </w:rPr>
            </w:pPr>
            <w:r>
              <w:rPr>
                <w:rFonts w:ascii="Arial" w:cs="Arial" w:eastAsia="Arial" w:hAnsi="Arial"/>
                <w:sz w:val="18"/>
                <w:szCs w:val="18"/>
                <w:color w:val="auto"/>
              </w:rPr>
              <w:t>The Loan</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9340" w:type="dxa"/>
            <w:vAlign w:val="bottom"/>
          </w:tcPr>
          <w:p>
            <w:pPr>
              <w:ind w:left="140"/>
              <w:spacing w:after="0"/>
              <w:rPr>
                <w:sz w:val="20"/>
                <w:szCs w:val="20"/>
                <w:color w:val="auto"/>
              </w:rPr>
            </w:pPr>
            <w:r>
              <w:rPr>
                <w:rFonts w:ascii="Arial" w:cs="Arial" w:eastAsia="Arial" w:hAnsi="Arial"/>
                <w:sz w:val="18"/>
                <w:szCs w:val="18"/>
                <w:color w:val="auto"/>
              </w:rPr>
              <w:t>Agreement to Lend and Borrow</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9340" w:type="dxa"/>
            <w:vAlign w:val="bottom"/>
          </w:tcPr>
          <w:p>
            <w:pPr>
              <w:ind w:left="140"/>
              <w:spacing w:after="0"/>
              <w:rPr>
                <w:sz w:val="20"/>
                <w:szCs w:val="20"/>
                <w:color w:val="auto"/>
              </w:rPr>
            </w:pPr>
            <w:r>
              <w:rPr>
                <w:rFonts w:ascii="Arial" w:cs="Arial" w:eastAsia="Arial" w:hAnsi="Arial"/>
                <w:sz w:val="18"/>
                <w:szCs w:val="18"/>
                <w:color w:val="auto"/>
              </w:rPr>
              <w:t>Single Disbursement to Borrower</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9340" w:type="dxa"/>
            <w:vAlign w:val="bottom"/>
          </w:tcPr>
          <w:p>
            <w:pPr>
              <w:ind w:left="140"/>
              <w:spacing w:after="0"/>
              <w:rPr>
                <w:sz w:val="20"/>
                <w:szCs w:val="20"/>
                <w:color w:val="auto"/>
              </w:rPr>
            </w:pPr>
            <w:r>
              <w:rPr>
                <w:rFonts w:ascii="Arial" w:cs="Arial" w:eastAsia="Arial" w:hAnsi="Arial"/>
                <w:sz w:val="18"/>
                <w:szCs w:val="18"/>
                <w:color w:val="auto"/>
              </w:rPr>
              <w:t>The Note</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9340" w:type="dxa"/>
            <w:vAlign w:val="bottom"/>
          </w:tcPr>
          <w:p>
            <w:pPr>
              <w:ind w:left="140"/>
              <w:spacing w:after="0"/>
              <w:rPr>
                <w:sz w:val="20"/>
                <w:szCs w:val="20"/>
                <w:color w:val="auto"/>
              </w:rPr>
            </w:pPr>
            <w:r>
              <w:rPr>
                <w:rFonts w:ascii="Arial" w:cs="Arial" w:eastAsia="Arial" w:hAnsi="Arial"/>
                <w:sz w:val="18"/>
                <w:szCs w:val="18"/>
                <w:color w:val="auto"/>
              </w:rPr>
              <w:t>Use of Proceeds</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center"/>
              <w:ind w:left="230"/>
              <w:spacing w:after="0"/>
              <w:rPr>
                <w:sz w:val="20"/>
                <w:szCs w:val="20"/>
                <w:color w:val="auto"/>
              </w:rPr>
            </w:pPr>
            <w:r>
              <w:rPr>
                <w:rFonts w:ascii="Arial" w:cs="Arial" w:eastAsia="Arial" w:hAnsi="Arial"/>
                <w:sz w:val="18"/>
                <w:szCs w:val="18"/>
                <w:color w:val="auto"/>
                <w:w w:val="91"/>
              </w:rPr>
              <w:t>Section 2.2</w:t>
            </w:r>
          </w:p>
        </w:tc>
        <w:tc>
          <w:tcPr>
            <w:tcW w:w="934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2.2.1</w:t>
            </w:r>
          </w:p>
        </w:tc>
        <w:tc>
          <w:tcPr>
            <w:tcW w:w="934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2.2.2</w:t>
            </w:r>
          </w:p>
        </w:tc>
        <w:tc>
          <w:tcPr>
            <w:tcW w:w="9340" w:type="dxa"/>
            <w:vAlign w:val="bottom"/>
          </w:tcPr>
          <w:p>
            <w:pPr>
              <w:ind w:left="140"/>
              <w:spacing w:after="0"/>
              <w:rPr>
                <w:sz w:val="20"/>
                <w:szCs w:val="20"/>
                <w:color w:val="auto"/>
              </w:rPr>
            </w:pPr>
            <w:r>
              <w:rPr>
                <w:rFonts w:ascii="Arial" w:cs="Arial" w:eastAsia="Arial" w:hAnsi="Arial"/>
                <w:sz w:val="18"/>
                <w:szCs w:val="18"/>
                <w:color w:val="auto"/>
              </w:rPr>
              <w:t>Default Rate</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2.2.3</w:t>
            </w:r>
          </w:p>
        </w:tc>
        <w:tc>
          <w:tcPr>
            <w:tcW w:w="9340" w:type="dxa"/>
            <w:vAlign w:val="bottom"/>
          </w:tcPr>
          <w:p>
            <w:pPr>
              <w:ind w:left="140"/>
              <w:spacing w:after="0"/>
              <w:rPr>
                <w:sz w:val="20"/>
                <w:szCs w:val="20"/>
                <w:color w:val="auto"/>
              </w:rPr>
            </w:pPr>
            <w:r>
              <w:rPr>
                <w:rFonts w:ascii="Arial" w:cs="Arial" w:eastAsia="Arial" w:hAnsi="Arial"/>
                <w:sz w:val="18"/>
                <w:szCs w:val="18"/>
                <w:color w:val="auto"/>
              </w:rPr>
              <w:t>Interest Calculation</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2.2.4</w:t>
            </w:r>
          </w:p>
        </w:tc>
        <w:tc>
          <w:tcPr>
            <w:tcW w:w="9340" w:type="dxa"/>
            <w:vAlign w:val="bottom"/>
          </w:tcPr>
          <w:p>
            <w:pPr>
              <w:ind w:left="140"/>
              <w:spacing w:after="0"/>
              <w:rPr>
                <w:sz w:val="20"/>
                <w:szCs w:val="20"/>
                <w:color w:val="auto"/>
              </w:rPr>
            </w:pPr>
            <w:r>
              <w:rPr>
                <w:rFonts w:ascii="Arial" w:cs="Arial" w:eastAsia="Arial" w:hAnsi="Arial"/>
                <w:sz w:val="18"/>
                <w:szCs w:val="18"/>
                <w:color w:val="auto"/>
              </w:rPr>
              <w:t>Usury Savings</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40" w:type="dxa"/>
            <w:vAlign w:val="bottom"/>
          </w:tcPr>
          <w:p>
            <w:pPr>
              <w:jc w:val="center"/>
              <w:ind w:left="230"/>
              <w:spacing w:after="0"/>
              <w:rPr>
                <w:sz w:val="20"/>
                <w:szCs w:val="20"/>
                <w:color w:val="auto"/>
              </w:rPr>
            </w:pPr>
            <w:r>
              <w:rPr>
                <w:rFonts w:ascii="Arial" w:cs="Arial" w:eastAsia="Arial" w:hAnsi="Arial"/>
                <w:sz w:val="18"/>
                <w:szCs w:val="18"/>
                <w:color w:val="auto"/>
                <w:w w:val="91"/>
              </w:rPr>
              <w:t>Section 2.3</w:t>
            </w:r>
          </w:p>
        </w:tc>
        <w:tc>
          <w:tcPr>
            <w:tcW w:w="9340" w:type="dxa"/>
            <w:vAlign w:val="bottom"/>
          </w:tcPr>
          <w:p>
            <w:pPr>
              <w:ind w:left="140"/>
              <w:spacing w:after="0"/>
              <w:rPr>
                <w:sz w:val="20"/>
                <w:szCs w:val="20"/>
                <w:color w:val="auto"/>
              </w:rPr>
            </w:pPr>
            <w:r>
              <w:rPr>
                <w:rFonts w:ascii="Arial" w:cs="Arial" w:eastAsia="Arial" w:hAnsi="Arial"/>
                <w:sz w:val="18"/>
                <w:szCs w:val="18"/>
                <w:color w:val="auto"/>
              </w:rPr>
              <w:t>Loan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9340" w:type="dxa"/>
            <w:vAlign w:val="bottom"/>
          </w:tcPr>
          <w:p>
            <w:pPr>
              <w:ind w:left="140"/>
              <w:spacing w:after="0"/>
              <w:rPr>
                <w:sz w:val="20"/>
                <w:szCs w:val="20"/>
                <w:color w:val="auto"/>
              </w:rPr>
            </w:pPr>
            <w:r>
              <w:rPr>
                <w:rFonts w:ascii="Arial" w:cs="Arial" w:eastAsia="Arial" w:hAnsi="Arial"/>
                <w:sz w:val="18"/>
                <w:szCs w:val="18"/>
                <w:color w:val="auto"/>
              </w:rPr>
              <w:t>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9340" w:type="dxa"/>
            <w:vAlign w:val="bottom"/>
          </w:tcPr>
          <w:p>
            <w:pPr>
              <w:ind w:left="140"/>
              <w:spacing w:after="0"/>
              <w:rPr>
                <w:sz w:val="20"/>
                <w:szCs w:val="20"/>
                <w:color w:val="auto"/>
              </w:rPr>
            </w:pPr>
            <w:r>
              <w:rPr>
                <w:rFonts w:ascii="Arial" w:cs="Arial" w:eastAsia="Arial" w:hAnsi="Arial"/>
                <w:sz w:val="18"/>
                <w:szCs w:val="18"/>
                <w:color w:val="auto"/>
              </w:rPr>
              <w:t>Payments Generally</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2.3.3</w:t>
            </w:r>
          </w:p>
        </w:tc>
        <w:tc>
          <w:tcPr>
            <w:tcW w:w="9340" w:type="dxa"/>
            <w:vAlign w:val="bottom"/>
          </w:tcPr>
          <w:p>
            <w:pPr>
              <w:ind w:left="140"/>
              <w:spacing w:after="0"/>
              <w:rPr>
                <w:sz w:val="20"/>
                <w:szCs w:val="20"/>
                <w:color w:val="auto"/>
              </w:rPr>
            </w:pPr>
            <w:r>
              <w:rPr>
                <w:rFonts w:ascii="Arial" w:cs="Arial" w:eastAsia="Arial" w:hAnsi="Arial"/>
                <w:sz w:val="18"/>
                <w:szCs w:val="18"/>
                <w:color w:val="auto"/>
              </w:rPr>
              <w:t>Payment on Maturity Date</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2.3.4</w:t>
            </w:r>
          </w:p>
        </w:tc>
        <w:tc>
          <w:tcPr>
            <w:tcW w:w="9340" w:type="dxa"/>
            <w:vAlign w:val="bottom"/>
          </w:tcPr>
          <w:p>
            <w:pPr>
              <w:ind w:left="140"/>
              <w:spacing w:after="0"/>
              <w:rPr>
                <w:sz w:val="20"/>
                <w:szCs w:val="20"/>
                <w:color w:val="auto"/>
              </w:rPr>
            </w:pPr>
            <w:r>
              <w:rPr>
                <w:rFonts w:ascii="Arial" w:cs="Arial" w:eastAsia="Arial" w:hAnsi="Arial"/>
                <w:sz w:val="18"/>
                <w:szCs w:val="18"/>
                <w:color w:val="auto"/>
              </w:rPr>
              <w:t>Late Payment Charge</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2.3.5</w:t>
            </w:r>
          </w:p>
        </w:tc>
        <w:tc>
          <w:tcPr>
            <w:tcW w:w="9340" w:type="dxa"/>
            <w:vAlign w:val="bottom"/>
          </w:tcPr>
          <w:p>
            <w:pPr>
              <w:ind w:left="140"/>
              <w:spacing w:after="0"/>
              <w:rPr>
                <w:sz w:val="20"/>
                <w:szCs w:val="20"/>
                <w:color w:val="auto"/>
              </w:rPr>
            </w:pPr>
            <w:r>
              <w:rPr>
                <w:rFonts w:ascii="Arial" w:cs="Arial" w:eastAsia="Arial" w:hAnsi="Arial"/>
                <w:sz w:val="18"/>
                <w:szCs w:val="18"/>
                <w:color w:val="auto"/>
              </w:rPr>
              <w:t>Method and Place of Payment</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40" w:type="dxa"/>
            <w:vAlign w:val="bottom"/>
          </w:tcPr>
          <w:p>
            <w:pPr>
              <w:jc w:val="center"/>
              <w:ind w:left="230"/>
              <w:spacing w:after="0"/>
              <w:rPr>
                <w:sz w:val="20"/>
                <w:szCs w:val="20"/>
                <w:color w:val="auto"/>
              </w:rPr>
            </w:pPr>
            <w:r>
              <w:rPr>
                <w:rFonts w:ascii="Arial" w:cs="Arial" w:eastAsia="Arial" w:hAnsi="Arial"/>
                <w:sz w:val="18"/>
                <w:szCs w:val="18"/>
                <w:color w:val="auto"/>
                <w:w w:val="91"/>
              </w:rPr>
              <w:t>Section 2.4</w:t>
            </w:r>
          </w:p>
        </w:tc>
        <w:tc>
          <w:tcPr>
            <w:tcW w:w="9340" w:type="dxa"/>
            <w:vAlign w:val="bottom"/>
          </w:tcPr>
          <w:p>
            <w:pPr>
              <w:ind w:left="140"/>
              <w:spacing w:after="0"/>
              <w:rPr>
                <w:sz w:val="20"/>
                <w:szCs w:val="20"/>
                <w:color w:val="auto"/>
              </w:rPr>
            </w:pPr>
            <w:r>
              <w:rPr>
                <w:rFonts w:ascii="Arial" w:cs="Arial" w:eastAsia="Arial" w:hAnsi="Arial"/>
                <w:sz w:val="18"/>
                <w:szCs w:val="18"/>
                <w:color w:val="auto"/>
              </w:rPr>
              <w:t>Prepayments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2.4.1</w:t>
            </w:r>
          </w:p>
        </w:tc>
        <w:tc>
          <w:tcPr>
            <w:tcW w:w="9340" w:type="dxa"/>
            <w:vAlign w:val="bottom"/>
          </w:tcPr>
          <w:p>
            <w:pPr>
              <w:ind w:left="140"/>
              <w:spacing w:after="0"/>
              <w:rPr>
                <w:sz w:val="20"/>
                <w:szCs w:val="20"/>
                <w:color w:val="auto"/>
              </w:rPr>
            </w:pPr>
            <w:r>
              <w:rPr>
                <w:rFonts w:ascii="Arial" w:cs="Arial" w:eastAsia="Arial" w:hAnsi="Arial"/>
                <w:sz w:val="18"/>
                <w:szCs w:val="18"/>
                <w:color w:val="auto"/>
              </w:rPr>
              <w:t>Prepayments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2.4.2</w:t>
            </w:r>
          </w:p>
        </w:tc>
        <w:tc>
          <w:tcPr>
            <w:tcW w:w="9340" w:type="dxa"/>
            <w:vAlign w:val="bottom"/>
          </w:tcPr>
          <w:p>
            <w:pPr>
              <w:ind w:left="140"/>
              <w:spacing w:after="0"/>
              <w:rPr>
                <w:sz w:val="20"/>
                <w:szCs w:val="20"/>
                <w:color w:val="auto"/>
              </w:rPr>
            </w:pPr>
            <w:r>
              <w:rPr>
                <w:rFonts w:ascii="Arial" w:cs="Arial" w:eastAsia="Arial" w:hAnsi="Arial"/>
                <w:sz w:val="18"/>
                <w:szCs w:val="18"/>
                <w:color w:val="auto"/>
              </w:rPr>
              <w:t>Defeasance</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2.4.3</w:t>
            </w:r>
          </w:p>
        </w:tc>
        <w:tc>
          <w:tcPr>
            <w:tcW w:w="9340" w:type="dxa"/>
            <w:vAlign w:val="bottom"/>
          </w:tcPr>
          <w:p>
            <w:pPr>
              <w:ind w:left="140"/>
              <w:spacing w:after="0"/>
              <w:rPr>
                <w:sz w:val="20"/>
                <w:szCs w:val="20"/>
                <w:color w:val="auto"/>
              </w:rPr>
            </w:pPr>
            <w:r>
              <w:rPr>
                <w:rFonts w:ascii="Arial" w:cs="Arial" w:eastAsia="Arial" w:hAnsi="Arial"/>
                <w:sz w:val="18"/>
                <w:szCs w:val="18"/>
                <w:color w:val="auto"/>
              </w:rPr>
              <w:t>Open Prepayment</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2.4.4</w:t>
            </w:r>
          </w:p>
        </w:tc>
        <w:tc>
          <w:tcPr>
            <w:tcW w:w="9340" w:type="dxa"/>
            <w:vAlign w:val="bottom"/>
          </w:tcPr>
          <w:p>
            <w:pPr>
              <w:ind w:left="140"/>
              <w:spacing w:after="0"/>
              <w:rPr>
                <w:sz w:val="20"/>
                <w:szCs w:val="20"/>
                <w:color w:val="auto"/>
              </w:rPr>
            </w:pPr>
            <w:r>
              <w:rPr>
                <w:rFonts w:ascii="Arial" w:cs="Arial" w:eastAsia="Arial" w:hAnsi="Arial"/>
                <w:sz w:val="18"/>
                <w:szCs w:val="18"/>
                <w:color w:val="auto"/>
              </w:rPr>
              <w:t>Mandatory Prepayments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2.4.5</w:t>
            </w:r>
          </w:p>
        </w:tc>
        <w:tc>
          <w:tcPr>
            <w:tcW w:w="9340" w:type="dxa"/>
            <w:vAlign w:val="bottom"/>
          </w:tcPr>
          <w:p>
            <w:pPr>
              <w:ind w:left="140"/>
              <w:spacing w:after="0"/>
              <w:rPr>
                <w:sz w:val="20"/>
                <w:szCs w:val="20"/>
                <w:color w:val="auto"/>
              </w:rPr>
            </w:pPr>
            <w:r>
              <w:rPr>
                <w:rFonts w:ascii="Arial" w:cs="Arial" w:eastAsia="Arial" w:hAnsi="Arial"/>
                <w:sz w:val="18"/>
                <w:szCs w:val="18"/>
                <w:color w:val="auto"/>
              </w:rPr>
              <w:t>Prepayments After Default</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jc w:val="center"/>
              <w:ind w:left="230"/>
              <w:spacing w:after="0"/>
              <w:rPr>
                <w:sz w:val="20"/>
                <w:szCs w:val="20"/>
                <w:color w:val="auto"/>
              </w:rPr>
            </w:pPr>
            <w:r>
              <w:rPr>
                <w:rFonts w:ascii="Arial" w:cs="Arial" w:eastAsia="Arial" w:hAnsi="Arial"/>
                <w:sz w:val="18"/>
                <w:szCs w:val="18"/>
                <w:color w:val="auto"/>
                <w:w w:val="91"/>
              </w:rPr>
              <w:t>Section 2.5</w:t>
            </w:r>
          </w:p>
        </w:tc>
        <w:tc>
          <w:tcPr>
            <w:tcW w:w="9340" w:type="dxa"/>
            <w:vAlign w:val="bottom"/>
          </w:tcPr>
          <w:p>
            <w:pPr>
              <w:ind w:left="140"/>
              <w:spacing w:after="0"/>
              <w:rPr>
                <w:sz w:val="20"/>
                <w:szCs w:val="20"/>
                <w:color w:val="auto"/>
              </w:rPr>
            </w:pPr>
            <w:r>
              <w:rPr>
                <w:rFonts w:ascii="Arial" w:cs="Arial" w:eastAsia="Arial" w:hAnsi="Arial"/>
                <w:sz w:val="18"/>
                <w:szCs w:val="18"/>
                <w:color w:val="auto"/>
              </w:rPr>
              <w:t>Release of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2.5.1</w:t>
            </w:r>
          </w:p>
        </w:tc>
        <w:tc>
          <w:tcPr>
            <w:tcW w:w="9340" w:type="dxa"/>
            <w:vAlign w:val="bottom"/>
          </w:tcPr>
          <w:p>
            <w:pPr>
              <w:ind w:left="140"/>
              <w:spacing w:after="0"/>
              <w:rPr>
                <w:sz w:val="20"/>
                <w:szCs w:val="20"/>
                <w:color w:val="auto"/>
              </w:rPr>
            </w:pPr>
            <w:r>
              <w:rPr>
                <w:rFonts w:ascii="Arial" w:cs="Arial" w:eastAsia="Arial" w:hAnsi="Arial"/>
                <w:sz w:val="18"/>
                <w:szCs w:val="18"/>
                <w:color w:val="auto"/>
              </w:rPr>
              <w:t>Release Upon Defeasance</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2.5.2</w:t>
            </w:r>
          </w:p>
        </w:tc>
        <w:tc>
          <w:tcPr>
            <w:tcW w:w="9340" w:type="dxa"/>
            <w:vAlign w:val="bottom"/>
          </w:tcPr>
          <w:p>
            <w:pPr>
              <w:ind w:left="140"/>
              <w:spacing w:after="0"/>
              <w:rPr>
                <w:sz w:val="20"/>
                <w:szCs w:val="20"/>
                <w:color w:val="auto"/>
              </w:rPr>
            </w:pPr>
            <w:r>
              <w:rPr>
                <w:rFonts w:ascii="Arial" w:cs="Arial" w:eastAsia="Arial" w:hAnsi="Arial"/>
                <w:sz w:val="18"/>
                <w:szCs w:val="18"/>
                <w:color w:val="auto"/>
              </w:rPr>
              <w:t>Release on Payment in Full</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jc w:val="center"/>
              <w:ind w:left="230"/>
              <w:spacing w:after="0"/>
              <w:rPr>
                <w:sz w:val="20"/>
                <w:szCs w:val="20"/>
                <w:color w:val="auto"/>
              </w:rPr>
            </w:pPr>
            <w:r>
              <w:rPr>
                <w:rFonts w:ascii="Arial" w:cs="Arial" w:eastAsia="Arial" w:hAnsi="Arial"/>
                <w:sz w:val="18"/>
                <w:szCs w:val="18"/>
                <w:color w:val="auto"/>
                <w:w w:val="91"/>
              </w:rPr>
              <w:t>Section 3.1</w:t>
            </w:r>
          </w:p>
        </w:tc>
        <w:tc>
          <w:tcPr>
            <w:tcW w:w="9340" w:type="dxa"/>
            <w:vAlign w:val="bottom"/>
          </w:tcPr>
          <w:p>
            <w:pPr>
              <w:ind w:left="140"/>
              <w:spacing w:after="0"/>
              <w:rPr>
                <w:sz w:val="20"/>
                <w:szCs w:val="20"/>
                <w:color w:val="auto"/>
              </w:rPr>
            </w:pPr>
            <w:r>
              <w:rPr>
                <w:rFonts w:ascii="Arial" w:cs="Arial" w:eastAsia="Arial" w:hAnsi="Arial"/>
                <w:sz w:val="18"/>
                <w:szCs w:val="18"/>
                <w:color w:val="auto"/>
              </w:rPr>
              <w:t>Borrower Representations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9340" w:type="dxa"/>
            <w:vAlign w:val="bottom"/>
          </w:tcPr>
          <w:p>
            <w:pPr>
              <w:ind w:left="140"/>
              <w:spacing w:after="0"/>
              <w:rPr>
                <w:sz w:val="20"/>
                <w:szCs w:val="20"/>
                <w:color w:val="auto"/>
              </w:rPr>
            </w:pPr>
            <w:r>
              <w:rPr>
                <w:rFonts w:ascii="Arial" w:cs="Arial" w:eastAsia="Arial" w:hAnsi="Arial"/>
                <w:sz w:val="18"/>
                <w:szCs w:val="18"/>
                <w:color w:val="auto"/>
              </w:rPr>
              <w:t>Organization; Special Purpose</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9340" w:type="dxa"/>
            <w:vAlign w:val="bottom"/>
          </w:tcPr>
          <w:p>
            <w:pPr>
              <w:ind w:left="140"/>
              <w:spacing w:after="0"/>
              <w:rPr>
                <w:sz w:val="20"/>
                <w:szCs w:val="20"/>
                <w:color w:val="auto"/>
              </w:rPr>
            </w:pPr>
            <w:r>
              <w:rPr>
                <w:rFonts w:ascii="Arial" w:cs="Arial" w:eastAsia="Arial" w:hAnsi="Arial"/>
                <w:sz w:val="18"/>
                <w:szCs w:val="18"/>
                <w:color w:val="auto"/>
              </w:rPr>
              <w:t>Proceedings; Enforceability</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3.1.3</w:t>
            </w:r>
          </w:p>
        </w:tc>
        <w:tc>
          <w:tcPr>
            <w:tcW w:w="9340" w:type="dxa"/>
            <w:vAlign w:val="bottom"/>
          </w:tcPr>
          <w:p>
            <w:pPr>
              <w:ind w:left="140"/>
              <w:spacing w:after="0"/>
              <w:rPr>
                <w:sz w:val="20"/>
                <w:szCs w:val="20"/>
                <w:color w:val="auto"/>
              </w:rPr>
            </w:pPr>
            <w:r>
              <w:rPr>
                <w:rFonts w:ascii="Arial" w:cs="Arial" w:eastAsia="Arial" w:hAnsi="Arial"/>
                <w:sz w:val="18"/>
                <w:szCs w:val="18"/>
                <w:color w:val="auto"/>
              </w:rPr>
              <w:t>No Conflicts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3.1.4</w:t>
            </w:r>
          </w:p>
        </w:tc>
        <w:tc>
          <w:tcPr>
            <w:tcW w:w="934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3.1.5</w:t>
            </w:r>
          </w:p>
        </w:tc>
        <w:tc>
          <w:tcPr>
            <w:tcW w:w="9340" w:type="dxa"/>
            <w:vAlign w:val="bottom"/>
          </w:tcPr>
          <w:p>
            <w:pPr>
              <w:ind w:left="140"/>
              <w:spacing w:after="0"/>
              <w:rPr>
                <w:sz w:val="20"/>
                <w:szCs w:val="20"/>
                <w:color w:val="auto"/>
              </w:rPr>
            </w:pPr>
            <w:r>
              <w:rPr>
                <w:rFonts w:ascii="Arial" w:cs="Arial" w:eastAsia="Arial" w:hAnsi="Arial"/>
                <w:sz w:val="18"/>
                <w:szCs w:val="18"/>
                <w:color w:val="auto"/>
              </w:rPr>
              <w:t>Agreements</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3.1.6</w:t>
            </w:r>
          </w:p>
        </w:tc>
        <w:tc>
          <w:tcPr>
            <w:tcW w:w="9340" w:type="dxa"/>
            <w:vAlign w:val="bottom"/>
          </w:tcPr>
          <w:p>
            <w:pPr>
              <w:ind w:left="140"/>
              <w:spacing w:after="0"/>
              <w:rPr>
                <w:sz w:val="20"/>
                <w:szCs w:val="20"/>
                <w:color w:val="auto"/>
              </w:rPr>
            </w:pPr>
            <w:r>
              <w:rPr>
                <w:rFonts w:ascii="Arial" w:cs="Arial" w:eastAsia="Arial" w:hAnsi="Arial"/>
                <w:sz w:val="18"/>
                <w:szCs w:val="18"/>
                <w:color w:val="auto"/>
              </w:rPr>
              <w:t>Consents</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3.1.7</w:t>
            </w:r>
          </w:p>
        </w:tc>
        <w:tc>
          <w:tcPr>
            <w:tcW w:w="9340" w:type="dxa"/>
            <w:vAlign w:val="bottom"/>
          </w:tcPr>
          <w:p>
            <w:pPr>
              <w:ind w:left="140"/>
              <w:spacing w:after="0"/>
              <w:rPr>
                <w:sz w:val="20"/>
                <w:szCs w:val="20"/>
                <w:color w:val="auto"/>
              </w:rPr>
            </w:pPr>
            <w:r>
              <w:rPr>
                <w:rFonts w:ascii="Arial" w:cs="Arial" w:eastAsia="Arial" w:hAnsi="Arial"/>
                <w:sz w:val="18"/>
                <w:szCs w:val="18"/>
                <w:color w:val="auto"/>
              </w:rPr>
              <w:t>Property; Title</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540" w:type="dxa"/>
            <w:vAlign w:val="bottom"/>
          </w:tcPr>
          <w:p>
            <w:pPr>
              <w:jc w:val="right"/>
              <w:ind w:right="50"/>
              <w:spacing w:after="0"/>
              <w:rPr>
                <w:sz w:val="20"/>
                <w:szCs w:val="20"/>
                <w:color w:val="auto"/>
              </w:rPr>
            </w:pPr>
            <w:r>
              <w:rPr>
                <w:rFonts w:ascii="Arial" w:cs="Arial" w:eastAsia="Arial" w:hAnsi="Arial"/>
                <w:sz w:val="18"/>
                <w:szCs w:val="18"/>
                <w:color w:val="auto"/>
              </w:rPr>
              <w:t>3.1.8</w:t>
            </w:r>
          </w:p>
        </w:tc>
        <w:tc>
          <w:tcPr>
            <w:tcW w:w="9340" w:type="dxa"/>
            <w:vAlign w:val="bottom"/>
          </w:tcPr>
          <w:p>
            <w:pPr>
              <w:ind w:left="140"/>
              <w:spacing w:after="0"/>
              <w:rPr>
                <w:sz w:val="20"/>
                <w:szCs w:val="20"/>
                <w:color w:val="auto"/>
              </w:rPr>
            </w:pPr>
            <w:r>
              <w:rPr>
                <w:rFonts w:ascii="Arial" w:cs="Arial" w:eastAsia="Arial" w:hAnsi="Arial"/>
                <w:sz w:val="18"/>
                <w:szCs w:val="18"/>
                <w:color w:val="auto"/>
              </w:rPr>
              <w:t>ERISA; No Plan Assets</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411"/>
        </w:trPr>
        <w:tc>
          <w:tcPr>
            <w:tcW w:w="1580" w:type="dxa"/>
            <w:vAlign w:val="bottom"/>
          </w:tcPr>
          <w:p>
            <w:pPr>
              <w:ind w:left="1040"/>
              <w:spacing w:after="0"/>
              <w:rPr>
                <w:sz w:val="20"/>
                <w:szCs w:val="20"/>
                <w:color w:val="auto"/>
              </w:rPr>
            </w:pPr>
            <w:r>
              <w:rPr>
                <w:rFonts w:ascii="Arial" w:cs="Arial" w:eastAsia="Arial" w:hAnsi="Arial"/>
                <w:sz w:val="18"/>
                <w:szCs w:val="18"/>
                <w:color w:val="auto"/>
              </w:rPr>
              <w:t>3.1.9</w:t>
            </w:r>
          </w:p>
        </w:tc>
        <w:tc>
          <w:tcPr>
            <w:tcW w:w="9300" w:type="dxa"/>
            <w:vAlign w:val="bottom"/>
          </w:tcPr>
          <w:p>
            <w:pPr>
              <w:ind w:left="100"/>
              <w:spacing w:after="0"/>
              <w:rPr>
                <w:sz w:val="20"/>
                <w:szCs w:val="20"/>
                <w:color w:val="auto"/>
              </w:rPr>
            </w:pPr>
            <w:r>
              <w:rPr>
                <w:rFonts w:ascii="Arial" w:cs="Arial" w:eastAsia="Arial" w:hAnsi="Arial"/>
                <w:sz w:val="18"/>
                <w:szCs w:val="18"/>
                <w:color w:val="auto"/>
              </w:rPr>
              <w:t>Compliance</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3.1.10</w:t>
            </w:r>
          </w:p>
        </w:tc>
        <w:tc>
          <w:tcPr>
            <w:tcW w:w="9300" w:type="dxa"/>
            <w:vAlign w:val="bottom"/>
          </w:tcPr>
          <w:p>
            <w:pPr>
              <w:ind w:left="100"/>
              <w:spacing w:after="0"/>
              <w:rPr>
                <w:sz w:val="20"/>
                <w:szCs w:val="20"/>
                <w:color w:val="auto"/>
              </w:rPr>
            </w:pPr>
            <w:r>
              <w:rPr>
                <w:rFonts w:ascii="Arial" w:cs="Arial" w:eastAsia="Arial" w:hAnsi="Arial"/>
                <w:sz w:val="18"/>
                <w:szCs w:val="18"/>
                <w:color w:val="auto"/>
              </w:rPr>
              <w:t>Financial Information</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3.1.11</w:t>
            </w:r>
          </w:p>
        </w:tc>
        <w:tc>
          <w:tcPr>
            <w:tcW w:w="9300" w:type="dxa"/>
            <w:vAlign w:val="bottom"/>
          </w:tcPr>
          <w:p>
            <w:pPr>
              <w:ind w:left="100"/>
              <w:spacing w:after="0"/>
              <w:rPr>
                <w:sz w:val="20"/>
                <w:szCs w:val="20"/>
                <w:color w:val="auto"/>
              </w:rPr>
            </w:pPr>
            <w:r>
              <w:rPr>
                <w:rFonts w:ascii="Arial" w:cs="Arial" w:eastAsia="Arial" w:hAnsi="Arial"/>
                <w:sz w:val="18"/>
                <w:szCs w:val="18"/>
                <w:color w:val="auto"/>
              </w:rPr>
              <w:t>Easements; Utilities and Public Access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3.1.12</w:t>
            </w:r>
          </w:p>
        </w:tc>
        <w:tc>
          <w:tcPr>
            <w:tcW w:w="9300" w:type="dxa"/>
            <w:vAlign w:val="bottom"/>
          </w:tcPr>
          <w:p>
            <w:pPr>
              <w:ind w:left="100"/>
              <w:spacing w:after="0"/>
              <w:rPr>
                <w:sz w:val="20"/>
                <w:szCs w:val="20"/>
                <w:color w:val="auto"/>
              </w:rPr>
            </w:pPr>
            <w:r>
              <w:rPr>
                <w:rFonts w:ascii="Arial" w:cs="Arial" w:eastAsia="Arial" w:hAnsi="Arial"/>
                <w:sz w:val="18"/>
                <w:szCs w:val="18"/>
                <w:color w:val="auto"/>
              </w:rPr>
              <w:t>Assignment of Leases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3.1.13</w:t>
            </w:r>
          </w:p>
        </w:tc>
        <w:tc>
          <w:tcPr>
            <w:tcW w:w="930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3.1.14</w:t>
            </w:r>
          </w:p>
        </w:tc>
        <w:tc>
          <w:tcPr>
            <w:tcW w:w="9300" w:type="dxa"/>
            <w:vAlign w:val="bottom"/>
          </w:tcPr>
          <w:p>
            <w:pPr>
              <w:ind w:left="100"/>
              <w:spacing w:after="0"/>
              <w:rPr>
                <w:sz w:val="20"/>
                <w:szCs w:val="20"/>
                <w:color w:val="auto"/>
              </w:rPr>
            </w:pPr>
            <w:r>
              <w:rPr>
                <w:rFonts w:ascii="Arial" w:cs="Arial" w:eastAsia="Arial" w:hAnsi="Arial"/>
                <w:sz w:val="18"/>
                <w:szCs w:val="18"/>
                <w:color w:val="auto"/>
              </w:rPr>
              <w:t>Flood Zone</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3.1.15</w:t>
            </w:r>
          </w:p>
        </w:tc>
        <w:tc>
          <w:tcPr>
            <w:tcW w:w="9300" w:type="dxa"/>
            <w:vAlign w:val="bottom"/>
          </w:tcPr>
          <w:p>
            <w:pPr>
              <w:ind w:left="100"/>
              <w:spacing w:after="0"/>
              <w:rPr>
                <w:sz w:val="20"/>
                <w:szCs w:val="20"/>
                <w:color w:val="auto"/>
              </w:rPr>
            </w:pPr>
            <w:r>
              <w:rPr>
                <w:rFonts w:ascii="Arial" w:cs="Arial" w:eastAsia="Arial" w:hAnsi="Arial"/>
                <w:sz w:val="18"/>
                <w:szCs w:val="18"/>
                <w:color w:val="auto"/>
              </w:rPr>
              <w:t>Physical Condition</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3.1.16</w:t>
            </w:r>
          </w:p>
        </w:tc>
        <w:tc>
          <w:tcPr>
            <w:tcW w:w="9300" w:type="dxa"/>
            <w:vAlign w:val="bottom"/>
          </w:tcPr>
          <w:p>
            <w:pPr>
              <w:ind w:left="100"/>
              <w:spacing w:after="0"/>
              <w:rPr>
                <w:sz w:val="20"/>
                <w:szCs w:val="20"/>
                <w:color w:val="auto"/>
              </w:rPr>
            </w:pPr>
            <w:r>
              <w:rPr>
                <w:rFonts w:ascii="Arial" w:cs="Arial" w:eastAsia="Arial" w:hAnsi="Arial"/>
                <w:sz w:val="18"/>
                <w:szCs w:val="18"/>
                <w:color w:val="auto"/>
              </w:rPr>
              <w:t>Boundaries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3.1.17</w:t>
            </w:r>
          </w:p>
        </w:tc>
        <w:tc>
          <w:tcPr>
            <w:tcW w:w="9300" w:type="dxa"/>
            <w:vAlign w:val="bottom"/>
          </w:tcPr>
          <w:p>
            <w:pPr>
              <w:ind w:left="100"/>
              <w:spacing w:after="0"/>
              <w:rPr>
                <w:sz w:val="20"/>
                <w:szCs w:val="20"/>
                <w:color w:val="auto"/>
              </w:rPr>
            </w:pPr>
            <w:r>
              <w:rPr>
                <w:rFonts w:ascii="Arial" w:cs="Arial" w:eastAsia="Arial" w:hAnsi="Arial"/>
                <w:sz w:val="18"/>
                <w:szCs w:val="18"/>
                <w:color w:val="auto"/>
              </w:rPr>
              <w:t>Leases</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3.1.18</w:t>
            </w:r>
          </w:p>
        </w:tc>
        <w:tc>
          <w:tcPr>
            <w:tcW w:w="9300" w:type="dxa"/>
            <w:vAlign w:val="bottom"/>
          </w:tcPr>
          <w:p>
            <w:pPr>
              <w:ind w:left="100"/>
              <w:spacing w:after="0"/>
              <w:rPr>
                <w:sz w:val="20"/>
                <w:szCs w:val="20"/>
                <w:color w:val="auto"/>
              </w:rPr>
            </w:pPr>
            <w:r>
              <w:rPr>
                <w:rFonts w:ascii="Arial" w:cs="Arial" w:eastAsia="Arial" w:hAnsi="Arial"/>
                <w:sz w:val="18"/>
                <w:szCs w:val="18"/>
                <w:color w:val="auto"/>
              </w:rPr>
              <w:t>Tax Filings</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3.1.19</w:t>
            </w:r>
          </w:p>
        </w:tc>
        <w:tc>
          <w:tcPr>
            <w:tcW w:w="9300" w:type="dxa"/>
            <w:vAlign w:val="bottom"/>
          </w:tcPr>
          <w:p>
            <w:pPr>
              <w:ind w:left="100"/>
              <w:spacing w:after="0"/>
              <w:rPr>
                <w:sz w:val="20"/>
                <w:szCs w:val="20"/>
                <w:color w:val="auto"/>
              </w:rPr>
            </w:pPr>
            <w:r>
              <w:rPr>
                <w:rFonts w:ascii="Arial" w:cs="Arial" w:eastAsia="Arial" w:hAnsi="Arial"/>
                <w:sz w:val="18"/>
                <w:szCs w:val="18"/>
                <w:color w:val="auto"/>
              </w:rPr>
              <w:t>No Fraudulent Transfer</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3.1.20</w:t>
            </w:r>
          </w:p>
        </w:tc>
        <w:tc>
          <w:tcPr>
            <w:tcW w:w="9300" w:type="dxa"/>
            <w:vAlign w:val="bottom"/>
          </w:tcPr>
          <w:p>
            <w:pPr>
              <w:ind w:left="100"/>
              <w:spacing w:after="0"/>
              <w:rPr>
                <w:sz w:val="20"/>
                <w:szCs w:val="20"/>
                <w:color w:val="auto"/>
              </w:rPr>
            </w:pPr>
            <w:r>
              <w:rPr>
                <w:rFonts w:ascii="Arial" w:cs="Arial" w:eastAsia="Arial" w:hAnsi="Arial"/>
                <w:sz w:val="18"/>
                <w:szCs w:val="18"/>
                <w:color w:val="auto"/>
              </w:rPr>
              <w:t>Federal Reserve Regulations</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3.1.21</w:t>
            </w:r>
          </w:p>
        </w:tc>
        <w:tc>
          <w:tcPr>
            <w:tcW w:w="9300" w:type="dxa"/>
            <w:vAlign w:val="bottom"/>
          </w:tcPr>
          <w:p>
            <w:pPr>
              <w:ind w:left="100"/>
              <w:spacing w:after="0"/>
              <w:rPr>
                <w:sz w:val="20"/>
                <w:szCs w:val="20"/>
                <w:color w:val="auto"/>
              </w:rPr>
            </w:pPr>
            <w:r>
              <w:rPr>
                <w:rFonts w:ascii="Arial" w:cs="Arial" w:eastAsia="Arial" w:hAnsi="Arial"/>
                <w:sz w:val="18"/>
                <w:szCs w:val="18"/>
                <w:color w:val="auto"/>
              </w:rPr>
              <w:t>Organizational Chart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3.1.22</w:t>
            </w:r>
          </w:p>
        </w:tc>
        <w:tc>
          <w:tcPr>
            <w:tcW w:w="9300" w:type="dxa"/>
            <w:vAlign w:val="bottom"/>
          </w:tcPr>
          <w:p>
            <w:pPr>
              <w:ind w:left="100"/>
              <w:spacing w:after="0"/>
              <w:rPr>
                <w:sz w:val="20"/>
                <w:szCs w:val="20"/>
                <w:color w:val="auto"/>
              </w:rPr>
            </w:pPr>
            <w:r>
              <w:rPr>
                <w:rFonts w:ascii="Arial" w:cs="Arial" w:eastAsia="Arial" w:hAnsi="Arial"/>
                <w:sz w:val="18"/>
                <w:szCs w:val="18"/>
                <w:color w:val="auto"/>
              </w:rPr>
              <w:t>Organizational Status</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3.1.23</w:t>
            </w:r>
          </w:p>
        </w:tc>
        <w:tc>
          <w:tcPr>
            <w:tcW w:w="9300" w:type="dxa"/>
            <w:vAlign w:val="bottom"/>
          </w:tcPr>
          <w:p>
            <w:pPr>
              <w:ind w:left="100"/>
              <w:spacing w:after="0"/>
              <w:rPr>
                <w:sz w:val="20"/>
                <w:szCs w:val="20"/>
                <w:color w:val="auto"/>
              </w:rPr>
            </w:pPr>
            <w:r>
              <w:rPr>
                <w:rFonts w:ascii="Arial" w:cs="Arial" w:eastAsia="Arial" w:hAnsi="Arial"/>
                <w:sz w:val="18"/>
                <w:szCs w:val="18"/>
                <w:color w:val="auto"/>
              </w:rPr>
              <w:t>Bank Holding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3.1.24</w:t>
            </w:r>
          </w:p>
        </w:tc>
        <w:tc>
          <w:tcPr>
            <w:tcW w:w="9300" w:type="dxa"/>
            <w:vAlign w:val="bottom"/>
          </w:tcPr>
          <w:p>
            <w:pPr>
              <w:ind w:left="100"/>
              <w:spacing w:after="0"/>
              <w:rPr>
                <w:sz w:val="20"/>
                <w:szCs w:val="20"/>
                <w:color w:val="auto"/>
              </w:rPr>
            </w:pPr>
            <w:r>
              <w:rPr>
                <w:rFonts w:ascii="Arial" w:cs="Arial" w:eastAsia="Arial" w:hAnsi="Arial"/>
                <w:sz w:val="18"/>
                <w:szCs w:val="18"/>
                <w:color w:val="auto"/>
              </w:rPr>
              <w:t>No Casualty</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3.1.25</w:t>
            </w:r>
          </w:p>
        </w:tc>
        <w:tc>
          <w:tcPr>
            <w:tcW w:w="9300" w:type="dxa"/>
            <w:vAlign w:val="bottom"/>
          </w:tcPr>
          <w:p>
            <w:pPr>
              <w:ind w:left="100"/>
              <w:spacing w:after="0"/>
              <w:rPr>
                <w:sz w:val="20"/>
                <w:szCs w:val="20"/>
                <w:color w:val="auto"/>
              </w:rPr>
            </w:pPr>
            <w:r>
              <w:rPr>
                <w:rFonts w:ascii="Arial" w:cs="Arial" w:eastAsia="Arial" w:hAnsi="Arial"/>
                <w:sz w:val="18"/>
                <w:szCs w:val="18"/>
                <w:color w:val="auto"/>
              </w:rPr>
              <w:t>Purchase Options</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3.1.26</w:t>
            </w:r>
          </w:p>
        </w:tc>
        <w:tc>
          <w:tcPr>
            <w:tcW w:w="9300" w:type="dxa"/>
            <w:vAlign w:val="bottom"/>
          </w:tcPr>
          <w:p>
            <w:pPr>
              <w:ind w:left="100"/>
              <w:spacing w:after="0"/>
              <w:rPr>
                <w:sz w:val="20"/>
                <w:szCs w:val="20"/>
                <w:color w:val="auto"/>
              </w:rPr>
            </w:pPr>
            <w:r>
              <w:rPr>
                <w:rFonts w:ascii="Arial" w:cs="Arial" w:eastAsia="Arial" w:hAnsi="Arial"/>
                <w:sz w:val="18"/>
                <w:szCs w:val="18"/>
                <w:color w:val="auto"/>
              </w:rPr>
              <w:t>FIRPTA</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3.1.27</w:t>
            </w:r>
          </w:p>
        </w:tc>
        <w:tc>
          <w:tcPr>
            <w:tcW w:w="9300" w:type="dxa"/>
            <w:vAlign w:val="bottom"/>
          </w:tcPr>
          <w:p>
            <w:pPr>
              <w:ind w:left="100"/>
              <w:spacing w:after="0"/>
              <w:rPr>
                <w:sz w:val="20"/>
                <w:szCs w:val="20"/>
                <w:color w:val="auto"/>
              </w:rPr>
            </w:pPr>
            <w:r>
              <w:rPr>
                <w:rFonts w:ascii="Arial" w:cs="Arial" w:eastAsia="Arial" w:hAnsi="Arial"/>
                <w:sz w:val="18"/>
                <w:szCs w:val="18"/>
                <w:color w:val="auto"/>
              </w:rPr>
              <w:t>Investment Company Act</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3.1.28</w:t>
            </w:r>
          </w:p>
        </w:tc>
        <w:tc>
          <w:tcPr>
            <w:tcW w:w="9300" w:type="dxa"/>
            <w:vAlign w:val="bottom"/>
          </w:tcPr>
          <w:p>
            <w:pPr>
              <w:ind w:left="100"/>
              <w:spacing w:after="0"/>
              <w:rPr>
                <w:sz w:val="20"/>
                <w:szCs w:val="20"/>
                <w:color w:val="auto"/>
              </w:rPr>
            </w:pPr>
            <w:r>
              <w:rPr>
                <w:rFonts w:ascii="Arial" w:cs="Arial" w:eastAsia="Arial" w:hAnsi="Arial"/>
                <w:sz w:val="18"/>
                <w:szCs w:val="18"/>
                <w:color w:val="auto"/>
              </w:rPr>
              <w:t>Fiscal Year</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3.1.29</w:t>
            </w:r>
          </w:p>
        </w:tc>
        <w:tc>
          <w:tcPr>
            <w:tcW w:w="9300" w:type="dxa"/>
            <w:vAlign w:val="bottom"/>
          </w:tcPr>
          <w:p>
            <w:pPr>
              <w:ind w:left="100"/>
              <w:spacing w:after="0"/>
              <w:rPr>
                <w:sz w:val="20"/>
                <w:szCs w:val="20"/>
                <w:color w:val="auto"/>
              </w:rPr>
            </w:pPr>
            <w:r>
              <w:rPr>
                <w:rFonts w:ascii="Arial" w:cs="Arial" w:eastAsia="Arial" w:hAnsi="Arial"/>
                <w:sz w:val="18"/>
                <w:szCs w:val="18"/>
                <w:color w:val="auto"/>
              </w:rPr>
              <w:t>Other Debt</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3.1.30</w:t>
            </w:r>
          </w:p>
        </w:tc>
        <w:tc>
          <w:tcPr>
            <w:tcW w:w="9300" w:type="dxa"/>
            <w:vAlign w:val="bottom"/>
          </w:tcPr>
          <w:p>
            <w:pPr>
              <w:ind w:left="100"/>
              <w:spacing w:after="0"/>
              <w:rPr>
                <w:sz w:val="20"/>
                <w:szCs w:val="20"/>
                <w:color w:val="auto"/>
              </w:rPr>
            </w:pPr>
            <w:r>
              <w:rPr>
                <w:rFonts w:ascii="Arial" w:cs="Arial" w:eastAsia="Arial" w:hAnsi="Arial"/>
                <w:sz w:val="18"/>
                <w:szCs w:val="18"/>
                <w:color w:val="auto"/>
              </w:rPr>
              <w:t>Contracts</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3.1.31</w:t>
            </w:r>
          </w:p>
        </w:tc>
        <w:tc>
          <w:tcPr>
            <w:tcW w:w="9300" w:type="dxa"/>
            <w:vAlign w:val="bottom"/>
          </w:tcPr>
          <w:p>
            <w:pPr>
              <w:ind w:left="100"/>
              <w:spacing w:after="0"/>
              <w:rPr>
                <w:sz w:val="20"/>
                <w:szCs w:val="20"/>
                <w:color w:val="auto"/>
              </w:rPr>
            </w:pPr>
            <w:r>
              <w:rPr>
                <w:rFonts w:ascii="Arial" w:cs="Arial" w:eastAsia="Arial" w:hAnsi="Arial"/>
                <w:sz w:val="18"/>
                <w:szCs w:val="18"/>
                <w:color w:val="auto"/>
              </w:rPr>
              <w:t>Full and Accurate Disclosure</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3.1.32</w:t>
            </w:r>
          </w:p>
        </w:tc>
        <w:tc>
          <w:tcPr>
            <w:tcW w:w="9300" w:type="dxa"/>
            <w:vAlign w:val="bottom"/>
          </w:tcPr>
          <w:p>
            <w:pPr>
              <w:ind w:left="100"/>
              <w:spacing w:after="0"/>
              <w:rPr>
                <w:sz w:val="20"/>
                <w:szCs w:val="20"/>
                <w:color w:val="auto"/>
              </w:rPr>
            </w:pPr>
            <w:r>
              <w:rPr>
                <w:rFonts w:ascii="Arial" w:cs="Arial" w:eastAsia="Arial" w:hAnsi="Arial"/>
                <w:sz w:val="18"/>
                <w:szCs w:val="18"/>
                <w:color w:val="auto"/>
              </w:rPr>
              <w:t>Other Obligations and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3.1.33</w:t>
            </w:r>
          </w:p>
        </w:tc>
        <w:tc>
          <w:tcPr>
            <w:tcW w:w="9300" w:type="dxa"/>
            <w:vAlign w:val="bottom"/>
          </w:tcPr>
          <w:p>
            <w:pPr>
              <w:ind w:left="100"/>
              <w:spacing w:after="0"/>
              <w:rPr>
                <w:sz w:val="20"/>
                <w:szCs w:val="20"/>
                <w:color w:val="auto"/>
              </w:rPr>
            </w:pPr>
            <w:r>
              <w:rPr>
                <w:rFonts w:ascii="Arial" w:cs="Arial" w:eastAsia="Arial" w:hAnsi="Arial"/>
                <w:sz w:val="18"/>
                <w:szCs w:val="18"/>
                <w:color w:val="auto"/>
              </w:rPr>
              <w:t>Intellectual Property/Websites</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3.1.34</w:t>
            </w:r>
          </w:p>
        </w:tc>
        <w:tc>
          <w:tcPr>
            <w:tcW w:w="9300" w:type="dxa"/>
            <w:vAlign w:val="bottom"/>
          </w:tcPr>
          <w:p>
            <w:pPr>
              <w:ind w:left="100"/>
              <w:spacing w:after="0"/>
              <w:rPr>
                <w:sz w:val="20"/>
                <w:szCs w:val="20"/>
                <w:color w:val="auto"/>
              </w:rPr>
            </w:pPr>
            <w:r>
              <w:rPr>
                <w:rFonts w:ascii="Arial" w:cs="Arial" w:eastAsia="Arial" w:hAnsi="Arial"/>
                <w:sz w:val="18"/>
                <w:szCs w:val="18"/>
                <w:color w:val="auto"/>
              </w:rPr>
              <w:t>Operations Agreements</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3.1.35</w:t>
            </w:r>
          </w:p>
        </w:tc>
        <w:tc>
          <w:tcPr>
            <w:tcW w:w="9300" w:type="dxa"/>
            <w:vAlign w:val="bottom"/>
          </w:tcPr>
          <w:p>
            <w:pPr>
              <w:ind w:left="100"/>
              <w:spacing w:after="0"/>
              <w:rPr>
                <w:sz w:val="20"/>
                <w:szCs w:val="20"/>
                <w:color w:val="auto"/>
              </w:rPr>
            </w:pPr>
            <w:r>
              <w:rPr>
                <w:rFonts w:ascii="Arial" w:cs="Arial" w:eastAsia="Arial" w:hAnsi="Arial"/>
                <w:sz w:val="18"/>
                <w:szCs w:val="18"/>
                <w:color w:val="auto"/>
              </w:rPr>
              <w:t>Ground Lease</w:t>
            </w: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3.1.36</w:t>
            </w:r>
          </w:p>
        </w:tc>
        <w:tc>
          <w:tcPr>
            <w:tcW w:w="9300" w:type="dxa"/>
            <w:vAlign w:val="bottom"/>
          </w:tcPr>
          <w:p>
            <w:pPr>
              <w:ind w:left="100"/>
              <w:spacing w:after="0"/>
              <w:rPr>
                <w:sz w:val="20"/>
                <w:szCs w:val="20"/>
                <w:color w:val="auto"/>
              </w:rPr>
            </w:pPr>
            <w:r>
              <w:rPr>
                <w:rFonts w:ascii="Arial" w:cs="Arial" w:eastAsia="Arial" w:hAnsi="Arial"/>
                <w:sz w:val="18"/>
                <w:szCs w:val="18"/>
                <w:color w:val="auto"/>
              </w:rPr>
              <w:t>Tenant Grants and Credits</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3.1.37</w:t>
            </w:r>
          </w:p>
        </w:tc>
        <w:tc>
          <w:tcPr>
            <w:tcW w:w="9300" w:type="dxa"/>
            <w:vAlign w:val="bottom"/>
          </w:tcPr>
          <w:p>
            <w:pPr>
              <w:ind w:left="100"/>
              <w:spacing w:after="0"/>
              <w:rPr>
                <w:sz w:val="20"/>
                <w:szCs w:val="20"/>
                <w:color w:val="auto"/>
              </w:rPr>
            </w:pPr>
            <w:r>
              <w:rPr>
                <w:rFonts w:ascii="Arial" w:cs="Arial" w:eastAsia="Arial" w:hAnsi="Arial"/>
                <w:sz w:val="18"/>
                <w:szCs w:val="18"/>
                <w:color w:val="auto"/>
              </w:rPr>
              <w:t>Illegal Activity</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580" w:type="dxa"/>
            <w:vAlign w:val="bottom"/>
          </w:tcPr>
          <w:p>
            <w:pPr>
              <w:ind w:left="520"/>
              <w:spacing w:after="0"/>
              <w:rPr>
                <w:sz w:val="20"/>
                <w:szCs w:val="20"/>
                <w:color w:val="auto"/>
              </w:rPr>
            </w:pPr>
            <w:r>
              <w:rPr>
                <w:rFonts w:ascii="Arial" w:cs="Arial" w:eastAsia="Arial" w:hAnsi="Arial"/>
                <w:sz w:val="18"/>
                <w:szCs w:val="18"/>
                <w:color w:val="auto"/>
              </w:rPr>
              <w:t>Section 3.2</w:t>
            </w:r>
          </w:p>
        </w:tc>
        <w:tc>
          <w:tcPr>
            <w:tcW w:w="9300" w:type="dxa"/>
            <w:vAlign w:val="bottom"/>
          </w:tcPr>
          <w:p>
            <w:pPr>
              <w:ind w:left="100"/>
              <w:spacing w:after="0"/>
              <w:rPr>
                <w:sz w:val="20"/>
                <w:szCs w:val="20"/>
                <w:color w:val="auto"/>
              </w:rPr>
            </w:pPr>
            <w:r>
              <w:rPr>
                <w:rFonts w:ascii="Arial" w:cs="Arial" w:eastAsia="Arial" w:hAnsi="Arial"/>
                <w:sz w:val="18"/>
                <w:szCs w:val="18"/>
                <w:color w:val="auto"/>
              </w:rPr>
              <w:t>Survival of Representations</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4 BORROWER 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4.1</w:t>
            </w:r>
          </w:p>
        </w:tc>
        <w:tc>
          <w:tcPr>
            <w:tcW w:w="9300" w:type="dxa"/>
            <w:vAlign w:val="bottom"/>
          </w:tcPr>
          <w:p>
            <w:pPr>
              <w:ind w:left="100"/>
              <w:spacing w:after="0"/>
              <w:rPr>
                <w:sz w:val="20"/>
                <w:szCs w:val="20"/>
                <w:color w:val="auto"/>
              </w:rPr>
            </w:pPr>
            <w:r>
              <w:rPr>
                <w:rFonts w:ascii="Arial" w:cs="Arial" w:eastAsia="Arial" w:hAnsi="Arial"/>
                <w:sz w:val="18"/>
                <w:szCs w:val="18"/>
                <w:color w:val="auto"/>
              </w:rPr>
              <w:t>Payment and Performance of Obligations</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4.2</w:t>
            </w:r>
          </w:p>
        </w:tc>
        <w:tc>
          <w:tcPr>
            <w:tcW w:w="9300" w:type="dxa"/>
            <w:vAlign w:val="bottom"/>
          </w:tcPr>
          <w:p>
            <w:pPr>
              <w:ind w:left="100"/>
              <w:spacing w:after="0"/>
              <w:rPr>
                <w:sz w:val="20"/>
                <w:szCs w:val="20"/>
                <w:color w:val="auto"/>
              </w:rPr>
            </w:pPr>
            <w:r>
              <w:rPr>
                <w:rFonts w:ascii="Arial" w:cs="Arial" w:eastAsia="Arial" w:hAnsi="Arial"/>
                <w:sz w:val="18"/>
                <w:szCs w:val="18"/>
                <w:color w:val="auto"/>
              </w:rPr>
              <w:t>Due on Sale and Encumbrance; Transfers of Interests</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4.3</w:t>
            </w:r>
          </w:p>
        </w:tc>
        <w:tc>
          <w:tcPr>
            <w:tcW w:w="9300" w:type="dxa"/>
            <w:vAlign w:val="bottom"/>
          </w:tcPr>
          <w:p>
            <w:pPr>
              <w:ind w:left="100"/>
              <w:spacing w:after="0"/>
              <w:rPr>
                <w:sz w:val="20"/>
                <w:szCs w:val="20"/>
                <w:color w:val="auto"/>
              </w:rPr>
            </w:pPr>
            <w:r>
              <w:rPr>
                <w:rFonts w:ascii="Arial" w:cs="Arial" w:eastAsia="Arial" w:hAnsi="Arial"/>
                <w:sz w:val="18"/>
                <w:szCs w:val="18"/>
                <w:color w:val="auto"/>
              </w:rPr>
              <w:t>Liens</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4.4</w:t>
            </w:r>
          </w:p>
        </w:tc>
        <w:tc>
          <w:tcPr>
            <w:tcW w:w="9300" w:type="dxa"/>
            <w:vAlign w:val="bottom"/>
          </w:tcPr>
          <w:p>
            <w:pPr>
              <w:ind w:left="100"/>
              <w:spacing w:after="0"/>
              <w:rPr>
                <w:sz w:val="20"/>
                <w:szCs w:val="20"/>
                <w:color w:val="auto"/>
              </w:rPr>
            </w:pPr>
            <w:r>
              <w:rPr>
                <w:rFonts w:ascii="Arial" w:cs="Arial" w:eastAsia="Arial" w:hAnsi="Arial"/>
                <w:sz w:val="18"/>
                <w:szCs w:val="18"/>
                <w:color w:val="auto"/>
              </w:rPr>
              <w:t>Special Purpose</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4.5</w:t>
            </w:r>
          </w:p>
        </w:tc>
        <w:tc>
          <w:tcPr>
            <w:tcW w:w="9300" w:type="dxa"/>
            <w:vAlign w:val="bottom"/>
          </w:tcPr>
          <w:p>
            <w:pPr>
              <w:ind w:left="100"/>
              <w:spacing w:after="0"/>
              <w:rPr>
                <w:sz w:val="20"/>
                <w:szCs w:val="20"/>
                <w:color w:val="auto"/>
              </w:rPr>
            </w:pPr>
            <w:r>
              <w:rPr>
                <w:rFonts w:ascii="Arial" w:cs="Arial" w:eastAsia="Arial" w:hAnsi="Arial"/>
                <w:sz w:val="18"/>
                <w:szCs w:val="18"/>
                <w:color w:val="auto"/>
              </w:rPr>
              <w:t>Existence; Compliance with Legal Requirements</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4.6</w:t>
            </w:r>
          </w:p>
        </w:tc>
        <w:tc>
          <w:tcPr>
            <w:tcW w:w="9300" w:type="dxa"/>
            <w:vAlign w:val="bottom"/>
          </w:tcPr>
          <w:p>
            <w:pPr>
              <w:ind w:left="100"/>
              <w:spacing w:after="0"/>
              <w:rPr>
                <w:sz w:val="20"/>
                <w:szCs w:val="20"/>
                <w:color w:val="auto"/>
              </w:rPr>
            </w:pPr>
            <w:r>
              <w:rPr>
                <w:rFonts w:ascii="Arial" w:cs="Arial" w:eastAsia="Arial" w:hAnsi="Arial"/>
                <w:sz w:val="18"/>
                <w:szCs w:val="18"/>
                <w:color w:val="auto"/>
              </w:rPr>
              <w:t>Taxes and Other Charges</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4.7</w:t>
            </w:r>
          </w:p>
        </w:tc>
        <w:tc>
          <w:tcPr>
            <w:tcW w:w="930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4.8</w:t>
            </w:r>
          </w:p>
        </w:tc>
        <w:tc>
          <w:tcPr>
            <w:tcW w:w="9300" w:type="dxa"/>
            <w:vAlign w:val="bottom"/>
          </w:tcPr>
          <w:p>
            <w:pPr>
              <w:ind w:left="100"/>
              <w:spacing w:after="0"/>
              <w:rPr>
                <w:sz w:val="20"/>
                <w:szCs w:val="20"/>
                <w:color w:val="auto"/>
              </w:rPr>
            </w:pPr>
            <w:r>
              <w:rPr>
                <w:rFonts w:ascii="Arial" w:cs="Arial" w:eastAsia="Arial" w:hAnsi="Arial"/>
                <w:sz w:val="18"/>
                <w:szCs w:val="18"/>
                <w:color w:val="auto"/>
              </w:rPr>
              <w:t>Title to the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4.9</w:t>
            </w:r>
          </w:p>
        </w:tc>
        <w:tc>
          <w:tcPr>
            <w:tcW w:w="9300" w:type="dxa"/>
            <w:vAlign w:val="bottom"/>
          </w:tcPr>
          <w:p>
            <w:pPr>
              <w:ind w:left="100"/>
              <w:spacing w:after="0"/>
              <w:rPr>
                <w:sz w:val="20"/>
                <w:szCs w:val="20"/>
                <w:color w:val="auto"/>
              </w:rPr>
            </w:pPr>
            <w:r>
              <w:rPr>
                <w:rFonts w:ascii="Arial" w:cs="Arial" w:eastAsia="Arial" w:hAnsi="Arial"/>
                <w:sz w:val="18"/>
                <w:szCs w:val="18"/>
                <w:color w:val="auto"/>
              </w:rPr>
              <w:t>Financial Reporting</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4.9.1</w:t>
            </w:r>
          </w:p>
        </w:tc>
        <w:tc>
          <w:tcPr>
            <w:tcW w:w="9300" w:type="dxa"/>
            <w:vAlign w:val="bottom"/>
          </w:tcPr>
          <w:p>
            <w:pPr>
              <w:ind w:left="100"/>
              <w:spacing w:after="0"/>
              <w:rPr>
                <w:sz w:val="20"/>
                <w:szCs w:val="20"/>
                <w:color w:val="auto"/>
              </w:rPr>
            </w:pPr>
            <w:r>
              <w:rPr>
                <w:rFonts w:ascii="Arial" w:cs="Arial" w:eastAsia="Arial" w:hAnsi="Arial"/>
                <w:sz w:val="18"/>
                <w:szCs w:val="18"/>
                <w:color w:val="auto"/>
              </w:rPr>
              <w:t>Generally</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4.9.2</w:t>
            </w:r>
          </w:p>
        </w:tc>
        <w:tc>
          <w:tcPr>
            <w:tcW w:w="9300" w:type="dxa"/>
            <w:vAlign w:val="bottom"/>
          </w:tcPr>
          <w:p>
            <w:pPr>
              <w:ind w:left="100"/>
              <w:spacing w:after="0"/>
              <w:rPr>
                <w:sz w:val="20"/>
                <w:szCs w:val="20"/>
                <w:color w:val="auto"/>
              </w:rPr>
            </w:pPr>
            <w:r>
              <w:rPr>
                <w:rFonts w:ascii="Arial" w:cs="Arial" w:eastAsia="Arial" w:hAnsi="Arial"/>
                <w:sz w:val="18"/>
                <w:szCs w:val="18"/>
                <w:color w:val="auto"/>
              </w:rPr>
              <w:t>Quarterly Reports</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4.9.3</w:t>
            </w:r>
          </w:p>
        </w:tc>
        <w:tc>
          <w:tcPr>
            <w:tcW w:w="9300" w:type="dxa"/>
            <w:vAlign w:val="bottom"/>
          </w:tcPr>
          <w:p>
            <w:pPr>
              <w:ind w:left="100"/>
              <w:spacing w:after="0"/>
              <w:rPr>
                <w:sz w:val="20"/>
                <w:szCs w:val="20"/>
                <w:color w:val="auto"/>
              </w:rPr>
            </w:pPr>
            <w:r>
              <w:rPr>
                <w:rFonts w:ascii="Arial" w:cs="Arial" w:eastAsia="Arial" w:hAnsi="Arial"/>
                <w:sz w:val="18"/>
                <w:szCs w:val="18"/>
                <w:color w:val="auto"/>
              </w:rPr>
              <w:t>Annual Reports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4.9.4</w:t>
            </w:r>
          </w:p>
        </w:tc>
        <w:tc>
          <w:tcPr>
            <w:tcW w:w="9300" w:type="dxa"/>
            <w:vAlign w:val="bottom"/>
          </w:tcPr>
          <w:p>
            <w:pPr>
              <w:ind w:left="100"/>
              <w:spacing w:after="0"/>
              <w:rPr>
                <w:sz w:val="20"/>
                <w:szCs w:val="20"/>
                <w:color w:val="auto"/>
              </w:rPr>
            </w:pPr>
            <w:r>
              <w:rPr>
                <w:rFonts w:ascii="Arial" w:cs="Arial" w:eastAsia="Arial" w:hAnsi="Arial"/>
                <w:sz w:val="18"/>
                <w:szCs w:val="18"/>
                <w:color w:val="auto"/>
              </w:rPr>
              <w:t>Other Reports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580" w:type="dxa"/>
            <w:vAlign w:val="bottom"/>
          </w:tcPr>
          <w:p>
            <w:pPr>
              <w:ind w:left="1040"/>
              <w:spacing w:after="0"/>
              <w:rPr>
                <w:sz w:val="20"/>
                <w:szCs w:val="20"/>
                <w:color w:val="auto"/>
              </w:rPr>
            </w:pPr>
            <w:r>
              <w:rPr>
                <w:rFonts w:ascii="Arial" w:cs="Arial" w:eastAsia="Arial" w:hAnsi="Arial"/>
                <w:sz w:val="18"/>
                <w:szCs w:val="18"/>
                <w:color w:val="auto"/>
              </w:rPr>
              <w:t>4.9.5</w:t>
            </w:r>
          </w:p>
        </w:tc>
        <w:tc>
          <w:tcPr>
            <w:tcW w:w="9300" w:type="dxa"/>
            <w:vAlign w:val="bottom"/>
          </w:tcPr>
          <w:p>
            <w:pPr>
              <w:ind w:left="100"/>
              <w:spacing w:after="0"/>
              <w:rPr>
                <w:sz w:val="20"/>
                <w:szCs w:val="20"/>
                <w:color w:val="auto"/>
              </w:rPr>
            </w:pPr>
            <w:r>
              <w:rPr>
                <w:rFonts w:ascii="Arial" w:cs="Arial" w:eastAsia="Arial" w:hAnsi="Arial"/>
                <w:sz w:val="18"/>
                <w:szCs w:val="18"/>
                <w:color w:val="auto"/>
              </w:rPr>
              <w:t>Annual Budget</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411"/>
        </w:trPr>
        <w:tc>
          <w:tcPr>
            <w:tcW w:w="1060" w:type="dxa"/>
            <w:vAlign w:val="bottom"/>
          </w:tcPr>
          <w:p>
            <w:pPr>
              <w:ind w:left="520"/>
              <w:spacing w:after="0"/>
              <w:rPr>
                <w:sz w:val="20"/>
                <w:szCs w:val="20"/>
                <w:color w:val="auto"/>
              </w:rPr>
            </w:pPr>
            <w:r>
              <w:rPr>
                <w:rFonts w:ascii="Arial" w:cs="Arial" w:eastAsia="Arial" w:hAnsi="Arial"/>
                <w:sz w:val="18"/>
                <w:szCs w:val="18"/>
                <w:color w:val="auto"/>
              </w:rPr>
              <w:t>4.9.6</w:t>
            </w:r>
          </w:p>
        </w:tc>
        <w:tc>
          <w:tcPr>
            <w:tcW w:w="9300" w:type="dxa"/>
            <w:vAlign w:val="bottom"/>
          </w:tcPr>
          <w:p>
            <w:pPr>
              <w:ind w:left="100"/>
              <w:spacing w:after="0"/>
              <w:rPr>
                <w:sz w:val="20"/>
                <w:szCs w:val="20"/>
                <w:color w:val="auto"/>
              </w:rPr>
            </w:pPr>
            <w:r>
              <w:rPr>
                <w:rFonts w:ascii="Arial" w:cs="Arial" w:eastAsia="Arial" w:hAnsi="Arial"/>
                <w:sz w:val="18"/>
                <w:szCs w:val="18"/>
                <w:color w:val="auto"/>
              </w:rPr>
              <w:t>Extraordinary Operating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4.9.7</w:t>
            </w:r>
          </w:p>
        </w:tc>
        <w:tc>
          <w:tcPr>
            <w:tcW w:w="9300" w:type="dxa"/>
            <w:vAlign w:val="bottom"/>
          </w:tcPr>
          <w:p>
            <w:pPr>
              <w:ind w:left="100"/>
              <w:spacing w:after="0"/>
              <w:rPr>
                <w:sz w:val="20"/>
                <w:szCs w:val="20"/>
                <w:color w:val="auto"/>
              </w:rPr>
            </w:pPr>
            <w:r>
              <w:rPr>
                <w:rFonts w:ascii="Arial" w:cs="Arial" w:eastAsia="Arial" w:hAnsi="Arial"/>
                <w:sz w:val="18"/>
                <w:szCs w:val="18"/>
                <w:color w:val="auto"/>
              </w:rPr>
              <w:t>Breach</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4.9.8</w:t>
            </w:r>
          </w:p>
        </w:tc>
        <w:tc>
          <w:tcPr>
            <w:tcW w:w="9300" w:type="dxa"/>
            <w:vAlign w:val="bottom"/>
          </w:tcPr>
          <w:p>
            <w:pPr>
              <w:ind w:left="100"/>
              <w:spacing w:after="0"/>
              <w:rPr>
                <w:sz w:val="20"/>
                <w:szCs w:val="20"/>
                <w:color w:val="auto"/>
              </w:rPr>
            </w:pPr>
            <w:r>
              <w:rPr>
                <w:rFonts w:ascii="Arial" w:cs="Arial" w:eastAsia="Arial" w:hAnsi="Arial"/>
                <w:sz w:val="18"/>
                <w:szCs w:val="18"/>
                <w:color w:val="auto"/>
              </w:rPr>
              <w:t>Actual Operating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4.10</w:t>
            </w:r>
          </w:p>
        </w:tc>
        <w:tc>
          <w:tcPr>
            <w:tcW w:w="9300" w:type="dxa"/>
            <w:vAlign w:val="bottom"/>
          </w:tcPr>
          <w:p>
            <w:pPr>
              <w:ind w:left="100"/>
              <w:spacing w:after="0"/>
              <w:rPr>
                <w:sz w:val="20"/>
                <w:szCs w:val="20"/>
                <w:color w:val="auto"/>
              </w:rPr>
            </w:pPr>
            <w:r>
              <w:rPr>
                <w:rFonts w:ascii="Arial" w:cs="Arial" w:eastAsia="Arial" w:hAnsi="Arial"/>
                <w:sz w:val="18"/>
                <w:szCs w:val="18"/>
                <w:color w:val="auto"/>
              </w:rPr>
              <w:t>Access to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4.11</w:t>
            </w:r>
          </w:p>
        </w:tc>
        <w:tc>
          <w:tcPr>
            <w:tcW w:w="9300" w:type="dxa"/>
            <w:vAlign w:val="bottom"/>
          </w:tcPr>
          <w:p>
            <w:pPr>
              <w:ind w:left="100"/>
              <w:spacing w:after="0"/>
              <w:rPr>
                <w:sz w:val="20"/>
                <w:szCs w:val="20"/>
                <w:color w:val="auto"/>
              </w:rPr>
            </w:pPr>
            <w:r>
              <w:rPr>
                <w:rFonts w:ascii="Arial" w:cs="Arial" w:eastAsia="Arial" w:hAnsi="Arial"/>
                <w:sz w:val="18"/>
                <w:szCs w:val="18"/>
                <w:color w:val="auto"/>
              </w:rPr>
              <w:t>Leases</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4.11.1</w:t>
            </w:r>
          </w:p>
        </w:tc>
        <w:tc>
          <w:tcPr>
            <w:tcW w:w="9300" w:type="dxa"/>
            <w:vAlign w:val="bottom"/>
          </w:tcPr>
          <w:p>
            <w:pPr>
              <w:ind w:left="100"/>
              <w:spacing w:after="0"/>
              <w:rPr>
                <w:sz w:val="20"/>
                <w:szCs w:val="20"/>
                <w:color w:val="auto"/>
              </w:rPr>
            </w:pPr>
            <w:r>
              <w:rPr>
                <w:rFonts w:ascii="Arial" w:cs="Arial" w:eastAsia="Arial" w:hAnsi="Arial"/>
                <w:sz w:val="18"/>
                <w:szCs w:val="18"/>
                <w:color w:val="auto"/>
              </w:rPr>
              <w:t>Generally</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4.11.2</w:t>
            </w:r>
          </w:p>
        </w:tc>
        <w:tc>
          <w:tcPr>
            <w:tcW w:w="9300" w:type="dxa"/>
            <w:vAlign w:val="bottom"/>
          </w:tcPr>
          <w:p>
            <w:pPr>
              <w:ind w:left="100"/>
              <w:spacing w:after="0"/>
              <w:rPr>
                <w:sz w:val="20"/>
                <w:szCs w:val="20"/>
                <w:color w:val="auto"/>
              </w:rPr>
            </w:pPr>
            <w:r>
              <w:rPr>
                <w:rFonts w:ascii="Arial" w:cs="Arial" w:eastAsia="Arial" w:hAnsi="Arial"/>
                <w:sz w:val="18"/>
                <w:szCs w:val="18"/>
                <w:color w:val="auto"/>
              </w:rPr>
              <w:t>Approvals</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4.11.3</w:t>
            </w:r>
          </w:p>
        </w:tc>
        <w:tc>
          <w:tcPr>
            <w:tcW w:w="9300" w:type="dxa"/>
            <w:vAlign w:val="bottom"/>
          </w:tcPr>
          <w:p>
            <w:pPr>
              <w:ind w:left="100"/>
              <w:spacing w:after="0"/>
              <w:rPr>
                <w:sz w:val="20"/>
                <w:szCs w:val="20"/>
                <w:color w:val="auto"/>
              </w:rPr>
            </w:pPr>
            <w:r>
              <w:rPr>
                <w:rFonts w:ascii="Arial" w:cs="Arial" w:eastAsia="Arial" w:hAnsi="Arial"/>
                <w:sz w:val="18"/>
                <w:szCs w:val="18"/>
                <w:color w:val="auto"/>
              </w:rPr>
              <w:t>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4.11.4</w:t>
            </w:r>
          </w:p>
        </w:tc>
        <w:tc>
          <w:tcPr>
            <w:tcW w:w="9300" w:type="dxa"/>
            <w:vAlign w:val="bottom"/>
          </w:tcPr>
          <w:p>
            <w:pPr>
              <w:ind w:left="100"/>
              <w:spacing w:after="0"/>
              <w:rPr>
                <w:sz w:val="20"/>
                <w:szCs w:val="20"/>
                <w:color w:val="auto"/>
              </w:rPr>
            </w:pPr>
            <w:r>
              <w:rPr>
                <w:rFonts w:ascii="Arial" w:cs="Arial" w:eastAsia="Arial" w:hAnsi="Arial"/>
                <w:sz w:val="18"/>
                <w:szCs w:val="18"/>
                <w:color w:val="auto"/>
              </w:rPr>
              <w:t>Security Deposits</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4.11.5</w:t>
            </w:r>
          </w:p>
        </w:tc>
        <w:tc>
          <w:tcPr>
            <w:tcW w:w="9300" w:type="dxa"/>
            <w:vAlign w:val="bottom"/>
          </w:tcPr>
          <w:p>
            <w:pPr>
              <w:ind w:left="100"/>
              <w:spacing w:after="0"/>
              <w:rPr>
                <w:sz w:val="20"/>
                <w:szCs w:val="20"/>
                <w:color w:val="auto"/>
              </w:rPr>
            </w:pPr>
            <w:r>
              <w:rPr>
                <w:rFonts w:ascii="Arial" w:cs="Arial" w:eastAsia="Arial" w:hAnsi="Arial"/>
                <w:sz w:val="18"/>
                <w:szCs w:val="18"/>
                <w:color w:val="auto"/>
              </w:rPr>
              <w:t>Lease Sweep Lease 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4.11.6</w:t>
            </w:r>
          </w:p>
        </w:tc>
        <w:tc>
          <w:tcPr>
            <w:tcW w:w="9300" w:type="dxa"/>
            <w:vAlign w:val="bottom"/>
          </w:tcPr>
          <w:p>
            <w:pPr>
              <w:ind w:left="100"/>
              <w:spacing w:after="0"/>
              <w:rPr>
                <w:sz w:val="20"/>
                <w:szCs w:val="20"/>
                <w:color w:val="auto"/>
              </w:rPr>
            </w:pPr>
            <w:r>
              <w:rPr>
                <w:rFonts w:ascii="Arial" w:cs="Arial" w:eastAsia="Arial" w:hAnsi="Arial"/>
                <w:sz w:val="18"/>
                <w:szCs w:val="18"/>
                <w:color w:val="auto"/>
              </w:rPr>
              <w:t>Borrower Affiliated Lease 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4.12</w:t>
            </w:r>
          </w:p>
        </w:tc>
        <w:tc>
          <w:tcPr>
            <w:tcW w:w="9300" w:type="dxa"/>
            <w:vAlign w:val="bottom"/>
          </w:tcPr>
          <w:p>
            <w:pPr>
              <w:ind w:left="100"/>
              <w:spacing w:after="0"/>
              <w:rPr>
                <w:sz w:val="20"/>
                <w:szCs w:val="20"/>
                <w:color w:val="auto"/>
              </w:rPr>
            </w:pPr>
            <w:r>
              <w:rPr>
                <w:rFonts w:ascii="Arial" w:cs="Arial" w:eastAsia="Arial" w:hAnsi="Arial"/>
                <w:sz w:val="18"/>
                <w:szCs w:val="18"/>
                <w:color w:val="auto"/>
              </w:rPr>
              <w:t>Repairs; Maintenance and Compliance; Alterations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4.12.1</w:t>
            </w:r>
          </w:p>
        </w:tc>
        <w:tc>
          <w:tcPr>
            <w:tcW w:w="9300" w:type="dxa"/>
            <w:vAlign w:val="bottom"/>
          </w:tcPr>
          <w:p>
            <w:pPr>
              <w:ind w:left="100"/>
              <w:spacing w:after="0"/>
              <w:rPr>
                <w:sz w:val="20"/>
                <w:szCs w:val="20"/>
                <w:color w:val="auto"/>
              </w:rPr>
            </w:pPr>
            <w:r>
              <w:rPr>
                <w:rFonts w:ascii="Arial" w:cs="Arial" w:eastAsia="Arial" w:hAnsi="Arial"/>
                <w:sz w:val="18"/>
                <w:szCs w:val="18"/>
                <w:color w:val="auto"/>
              </w:rPr>
              <w:t>Repairs; Maintenance and Compliance</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4.12.2</w:t>
            </w:r>
          </w:p>
        </w:tc>
        <w:tc>
          <w:tcPr>
            <w:tcW w:w="9300" w:type="dxa"/>
            <w:vAlign w:val="bottom"/>
          </w:tcPr>
          <w:p>
            <w:pPr>
              <w:ind w:left="100"/>
              <w:spacing w:after="0"/>
              <w:rPr>
                <w:sz w:val="20"/>
                <w:szCs w:val="20"/>
                <w:color w:val="auto"/>
              </w:rPr>
            </w:pPr>
            <w:r>
              <w:rPr>
                <w:rFonts w:ascii="Arial" w:cs="Arial" w:eastAsia="Arial" w:hAnsi="Arial"/>
                <w:sz w:val="18"/>
                <w:szCs w:val="18"/>
                <w:color w:val="auto"/>
              </w:rPr>
              <w:t>Alterations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4.13</w:t>
            </w:r>
          </w:p>
        </w:tc>
        <w:tc>
          <w:tcPr>
            <w:tcW w:w="9300" w:type="dxa"/>
            <w:vAlign w:val="bottom"/>
          </w:tcPr>
          <w:p>
            <w:pPr>
              <w:ind w:left="100"/>
              <w:spacing w:after="0"/>
              <w:rPr>
                <w:sz w:val="20"/>
                <w:szCs w:val="20"/>
                <w:color w:val="auto"/>
              </w:rPr>
            </w:pPr>
            <w:r>
              <w:rPr>
                <w:rFonts w:ascii="Arial" w:cs="Arial" w:eastAsia="Arial" w:hAnsi="Arial"/>
                <w:sz w:val="18"/>
                <w:szCs w:val="18"/>
                <w:color w:val="auto"/>
              </w:rPr>
              <w:t>Approval of Major Contracts</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4.14</w:t>
            </w:r>
          </w:p>
        </w:tc>
        <w:tc>
          <w:tcPr>
            <w:tcW w:w="9300" w:type="dxa"/>
            <w:vAlign w:val="bottom"/>
          </w:tcPr>
          <w:p>
            <w:pPr>
              <w:ind w:left="100"/>
              <w:spacing w:after="0"/>
              <w:rPr>
                <w:sz w:val="20"/>
                <w:szCs w:val="20"/>
                <w:color w:val="auto"/>
              </w:rPr>
            </w:pPr>
            <w:r>
              <w:rPr>
                <w:rFonts w:ascii="Arial" w:cs="Arial" w:eastAsia="Arial" w:hAnsi="Arial"/>
                <w:sz w:val="18"/>
                <w:szCs w:val="18"/>
                <w:color w:val="auto"/>
              </w:rPr>
              <w:t>Property Management</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4.14.1</w:t>
            </w:r>
          </w:p>
        </w:tc>
        <w:tc>
          <w:tcPr>
            <w:tcW w:w="9300" w:type="dxa"/>
            <w:vAlign w:val="bottom"/>
          </w:tcPr>
          <w:p>
            <w:pPr>
              <w:ind w:left="100"/>
              <w:spacing w:after="0"/>
              <w:rPr>
                <w:sz w:val="20"/>
                <w:szCs w:val="20"/>
                <w:color w:val="auto"/>
              </w:rPr>
            </w:pPr>
            <w:r>
              <w:rPr>
                <w:rFonts w:ascii="Arial" w:cs="Arial" w:eastAsia="Arial" w:hAnsi="Arial"/>
                <w:sz w:val="18"/>
                <w:szCs w:val="18"/>
                <w:color w:val="auto"/>
              </w:rPr>
              <w:t>Management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4.14.2</w:t>
            </w:r>
          </w:p>
        </w:tc>
        <w:tc>
          <w:tcPr>
            <w:tcW w:w="9300" w:type="dxa"/>
            <w:vAlign w:val="bottom"/>
          </w:tcPr>
          <w:p>
            <w:pPr>
              <w:ind w:left="100"/>
              <w:spacing w:after="0"/>
              <w:rPr>
                <w:sz w:val="20"/>
                <w:szCs w:val="20"/>
                <w:color w:val="auto"/>
              </w:rPr>
            </w:pPr>
            <w:r>
              <w:rPr>
                <w:rFonts w:ascii="Arial" w:cs="Arial" w:eastAsia="Arial" w:hAnsi="Arial"/>
                <w:sz w:val="18"/>
                <w:szCs w:val="18"/>
                <w:color w:val="auto"/>
              </w:rPr>
              <w:t>Prohibition Against Termination or Modification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4.14.3</w:t>
            </w:r>
          </w:p>
        </w:tc>
        <w:tc>
          <w:tcPr>
            <w:tcW w:w="9300" w:type="dxa"/>
            <w:vAlign w:val="bottom"/>
          </w:tcPr>
          <w:p>
            <w:pPr>
              <w:ind w:left="100"/>
              <w:spacing w:after="0"/>
              <w:rPr>
                <w:sz w:val="20"/>
                <w:szCs w:val="20"/>
                <w:color w:val="auto"/>
              </w:rPr>
            </w:pPr>
            <w:r>
              <w:rPr>
                <w:rFonts w:ascii="Arial" w:cs="Arial" w:eastAsia="Arial" w:hAnsi="Arial"/>
                <w:sz w:val="18"/>
                <w:szCs w:val="18"/>
                <w:color w:val="auto"/>
              </w:rPr>
              <w:t>Replacement of Manager</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4.14.4</w:t>
            </w:r>
          </w:p>
        </w:tc>
        <w:tc>
          <w:tcPr>
            <w:tcW w:w="9300" w:type="dxa"/>
            <w:vAlign w:val="bottom"/>
          </w:tcPr>
          <w:p>
            <w:pPr>
              <w:ind w:left="100"/>
              <w:spacing w:after="0"/>
              <w:rPr>
                <w:sz w:val="20"/>
                <w:szCs w:val="20"/>
                <w:color w:val="auto"/>
              </w:rPr>
            </w:pPr>
            <w:r>
              <w:rPr>
                <w:rFonts w:ascii="Arial" w:cs="Arial" w:eastAsia="Arial" w:hAnsi="Arial"/>
                <w:sz w:val="18"/>
                <w:szCs w:val="18"/>
                <w:color w:val="auto"/>
              </w:rPr>
              <w:t>Self-Management</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4.15</w:t>
            </w:r>
          </w:p>
        </w:tc>
        <w:tc>
          <w:tcPr>
            <w:tcW w:w="9300" w:type="dxa"/>
            <w:vAlign w:val="bottom"/>
          </w:tcPr>
          <w:p>
            <w:pPr>
              <w:ind w:left="100"/>
              <w:spacing w:after="0"/>
              <w:rPr>
                <w:sz w:val="20"/>
                <w:szCs w:val="20"/>
                <w:color w:val="auto"/>
              </w:rPr>
            </w:pPr>
            <w:r>
              <w:rPr>
                <w:rFonts w:ascii="Arial" w:cs="Arial" w:eastAsia="Arial" w:hAnsi="Arial"/>
                <w:sz w:val="18"/>
                <w:szCs w:val="18"/>
                <w:color w:val="auto"/>
              </w:rPr>
              <w:t>Performance by Borrower; Compliance with Agreements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4.16</w:t>
            </w:r>
          </w:p>
        </w:tc>
        <w:tc>
          <w:tcPr>
            <w:tcW w:w="9300" w:type="dxa"/>
            <w:vAlign w:val="bottom"/>
          </w:tcPr>
          <w:p>
            <w:pPr>
              <w:ind w:left="100"/>
              <w:spacing w:after="0"/>
              <w:rPr>
                <w:sz w:val="20"/>
                <w:szCs w:val="20"/>
                <w:color w:val="auto"/>
              </w:rPr>
            </w:pPr>
            <w:r>
              <w:rPr>
                <w:rFonts w:ascii="Arial" w:cs="Arial" w:eastAsia="Arial" w:hAnsi="Arial"/>
                <w:sz w:val="18"/>
                <w:szCs w:val="18"/>
                <w:color w:val="auto"/>
              </w:rPr>
              <w:t>Licenses; Intellectual Property; Website</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4.16.1</w:t>
            </w:r>
          </w:p>
        </w:tc>
        <w:tc>
          <w:tcPr>
            <w:tcW w:w="9300" w:type="dxa"/>
            <w:vAlign w:val="bottom"/>
          </w:tcPr>
          <w:p>
            <w:pPr>
              <w:ind w:left="100"/>
              <w:spacing w:after="0"/>
              <w:rPr>
                <w:sz w:val="20"/>
                <w:szCs w:val="20"/>
                <w:color w:val="auto"/>
              </w:rPr>
            </w:pPr>
            <w:r>
              <w:rPr>
                <w:rFonts w:ascii="Arial" w:cs="Arial" w:eastAsia="Arial" w:hAnsi="Arial"/>
                <w:sz w:val="18"/>
                <w:szCs w:val="18"/>
                <w:color w:val="auto"/>
              </w:rPr>
              <w:t>Licenses</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4.16.2</w:t>
            </w:r>
          </w:p>
        </w:tc>
        <w:tc>
          <w:tcPr>
            <w:tcW w:w="930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ind w:left="520"/>
              <w:spacing w:after="0"/>
              <w:rPr>
                <w:sz w:val="20"/>
                <w:szCs w:val="20"/>
                <w:color w:val="auto"/>
              </w:rPr>
            </w:pPr>
            <w:r>
              <w:rPr>
                <w:rFonts w:ascii="Arial" w:cs="Arial" w:eastAsia="Arial" w:hAnsi="Arial"/>
                <w:sz w:val="18"/>
                <w:szCs w:val="18"/>
                <w:color w:val="auto"/>
              </w:rPr>
              <w:t>4.16.3</w:t>
            </w:r>
          </w:p>
        </w:tc>
        <w:tc>
          <w:tcPr>
            <w:tcW w:w="9300" w:type="dxa"/>
            <w:vAlign w:val="bottom"/>
          </w:tcPr>
          <w:p>
            <w:pPr>
              <w:ind w:left="100"/>
              <w:spacing w:after="0"/>
              <w:rPr>
                <w:sz w:val="20"/>
                <w:szCs w:val="20"/>
                <w:color w:val="auto"/>
              </w:rPr>
            </w:pPr>
            <w:r>
              <w:rPr>
                <w:rFonts w:ascii="Arial" w:cs="Arial" w:eastAsia="Arial" w:hAnsi="Arial"/>
                <w:sz w:val="18"/>
                <w:szCs w:val="18"/>
                <w:color w:val="auto"/>
              </w:rPr>
              <w:t>Website</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4.17</w:t>
            </w:r>
          </w:p>
        </w:tc>
        <w:tc>
          <w:tcPr>
            <w:tcW w:w="930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4.18</w:t>
            </w:r>
          </w:p>
        </w:tc>
        <w:tc>
          <w:tcPr>
            <w:tcW w:w="9300" w:type="dxa"/>
            <w:vAlign w:val="bottom"/>
          </w:tcPr>
          <w:p>
            <w:pPr>
              <w:ind w:left="100"/>
              <w:spacing w:after="0"/>
              <w:rPr>
                <w:sz w:val="20"/>
                <w:szCs w:val="20"/>
                <w:color w:val="auto"/>
              </w:rPr>
            </w:pPr>
            <w:r>
              <w:rPr>
                <w:rFonts w:ascii="Arial" w:cs="Arial" w:eastAsia="Arial" w:hAnsi="Arial"/>
                <w:sz w:val="18"/>
                <w:szCs w:val="18"/>
                <w:color w:val="auto"/>
              </w:rPr>
              <w:t>Estoppel Statement</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4.19</w:t>
            </w:r>
          </w:p>
        </w:tc>
        <w:tc>
          <w:tcPr>
            <w:tcW w:w="9300" w:type="dxa"/>
            <w:vAlign w:val="bottom"/>
          </w:tcPr>
          <w:p>
            <w:pPr>
              <w:ind w:left="100"/>
              <w:spacing w:after="0"/>
              <w:rPr>
                <w:sz w:val="20"/>
                <w:szCs w:val="20"/>
                <w:color w:val="auto"/>
              </w:rPr>
            </w:pPr>
            <w:r>
              <w:rPr>
                <w:rFonts w:ascii="Arial" w:cs="Arial" w:eastAsia="Arial" w:hAnsi="Arial"/>
                <w:sz w:val="18"/>
                <w:szCs w:val="18"/>
                <w:color w:val="auto"/>
              </w:rPr>
              <w:t>Notice of Default</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4.20</w:t>
            </w:r>
          </w:p>
        </w:tc>
        <w:tc>
          <w:tcPr>
            <w:tcW w:w="9300" w:type="dxa"/>
            <w:vAlign w:val="bottom"/>
          </w:tcPr>
          <w:p>
            <w:pPr>
              <w:ind w:left="100"/>
              <w:spacing w:after="0"/>
              <w:rPr>
                <w:sz w:val="20"/>
                <w:szCs w:val="20"/>
                <w:color w:val="auto"/>
              </w:rPr>
            </w:pPr>
            <w:r>
              <w:rPr>
                <w:rFonts w:ascii="Arial" w:cs="Arial" w:eastAsia="Arial" w:hAnsi="Arial"/>
                <w:sz w:val="18"/>
                <w:szCs w:val="18"/>
                <w:color w:val="auto"/>
              </w:rPr>
              <w:t>Cooperate in Legal Proceedings</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4.21</w:t>
            </w:r>
          </w:p>
        </w:tc>
        <w:tc>
          <w:tcPr>
            <w:tcW w:w="930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4.22</w:t>
            </w:r>
          </w:p>
        </w:tc>
        <w:tc>
          <w:tcPr>
            <w:tcW w:w="9300" w:type="dxa"/>
            <w:vAlign w:val="bottom"/>
          </w:tcPr>
          <w:p>
            <w:pPr>
              <w:ind w:left="100"/>
              <w:spacing w:after="0"/>
              <w:rPr>
                <w:sz w:val="20"/>
                <w:szCs w:val="20"/>
                <w:color w:val="auto"/>
              </w:rPr>
            </w:pPr>
            <w:r>
              <w:rPr>
                <w:rFonts w:ascii="Arial" w:cs="Arial" w:eastAsia="Arial" w:hAnsi="Arial"/>
                <w:sz w:val="18"/>
                <w:szCs w:val="18"/>
                <w:color w:val="auto"/>
              </w:rPr>
              <w:t>Business and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4.23</w:t>
            </w:r>
          </w:p>
        </w:tc>
        <w:tc>
          <w:tcPr>
            <w:tcW w:w="9300" w:type="dxa"/>
            <w:vAlign w:val="bottom"/>
          </w:tcPr>
          <w:p>
            <w:pPr>
              <w:ind w:left="100"/>
              <w:spacing w:after="0"/>
              <w:rPr>
                <w:sz w:val="20"/>
                <w:szCs w:val="20"/>
                <w:color w:val="auto"/>
              </w:rPr>
            </w:pPr>
            <w:r>
              <w:rPr>
                <w:rFonts w:ascii="Arial" w:cs="Arial" w:eastAsia="Arial" w:hAnsi="Arial"/>
                <w:sz w:val="18"/>
                <w:szCs w:val="18"/>
                <w:color w:val="auto"/>
              </w:rPr>
              <w:t>Dissolution</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4.24</w:t>
            </w:r>
          </w:p>
        </w:tc>
        <w:tc>
          <w:tcPr>
            <w:tcW w:w="9300" w:type="dxa"/>
            <w:vAlign w:val="bottom"/>
          </w:tcPr>
          <w:p>
            <w:pPr>
              <w:ind w:left="100"/>
              <w:spacing w:after="0"/>
              <w:rPr>
                <w:sz w:val="20"/>
                <w:szCs w:val="20"/>
                <w:color w:val="auto"/>
              </w:rPr>
            </w:pPr>
            <w:r>
              <w:rPr>
                <w:rFonts w:ascii="Arial" w:cs="Arial" w:eastAsia="Arial" w:hAnsi="Arial"/>
                <w:sz w:val="18"/>
                <w:szCs w:val="18"/>
                <w:color w:val="auto"/>
              </w:rPr>
              <w:t>Debt Cancellation</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4.25</w:t>
            </w:r>
          </w:p>
        </w:tc>
        <w:tc>
          <w:tcPr>
            <w:tcW w:w="9300" w:type="dxa"/>
            <w:vAlign w:val="bottom"/>
          </w:tcPr>
          <w:p>
            <w:pPr>
              <w:ind w:left="100"/>
              <w:spacing w:after="0"/>
              <w:rPr>
                <w:sz w:val="20"/>
                <w:szCs w:val="20"/>
                <w:color w:val="auto"/>
              </w:rPr>
            </w:pPr>
            <w:r>
              <w:rPr>
                <w:rFonts w:ascii="Arial" w:cs="Arial" w:eastAsia="Arial" w:hAnsi="Arial"/>
                <w:sz w:val="18"/>
                <w:szCs w:val="18"/>
                <w:color w:val="auto"/>
              </w:rPr>
              <w:t>Affiliate Transactions</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4.26</w:t>
            </w:r>
          </w:p>
        </w:tc>
        <w:tc>
          <w:tcPr>
            <w:tcW w:w="9300" w:type="dxa"/>
            <w:vAlign w:val="bottom"/>
          </w:tcPr>
          <w:p>
            <w:pPr>
              <w:ind w:left="100"/>
              <w:spacing w:after="0"/>
              <w:rPr>
                <w:sz w:val="20"/>
                <w:szCs w:val="20"/>
                <w:color w:val="auto"/>
              </w:rPr>
            </w:pPr>
            <w:r>
              <w:rPr>
                <w:rFonts w:ascii="Arial" w:cs="Arial" w:eastAsia="Arial" w:hAnsi="Arial"/>
                <w:sz w:val="18"/>
                <w:szCs w:val="18"/>
                <w:color w:val="auto"/>
              </w:rPr>
              <w:t>No Joint Assessment</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4.27</w:t>
            </w:r>
          </w:p>
        </w:tc>
        <w:tc>
          <w:tcPr>
            <w:tcW w:w="9300" w:type="dxa"/>
            <w:vAlign w:val="bottom"/>
          </w:tcPr>
          <w:p>
            <w:pPr>
              <w:ind w:left="100"/>
              <w:spacing w:after="0"/>
              <w:rPr>
                <w:sz w:val="20"/>
                <w:szCs w:val="20"/>
                <w:color w:val="auto"/>
              </w:rPr>
            </w:pPr>
            <w:r>
              <w:rPr>
                <w:rFonts w:ascii="Arial" w:cs="Arial" w:eastAsia="Arial" w:hAnsi="Arial"/>
                <w:sz w:val="18"/>
                <w:szCs w:val="18"/>
                <w:color w:val="auto"/>
              </w:rPr>
              <w:t>Principal Place of Business</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4.28</w:t>
            </w:r>
          </w:p>
        </w:tc>
        <w:tc>
          <w:tcPr>
            <w:tcW w:w="9300" w:type="dxa"/>
            <w:vAlign w:val="bottom"/>
          </w:tcPr>
          <w:p>
            <w:pPr>
              <w:ind w:left="100"/>
              <w:spacing w:after="0"/>
              <w:rPr>
                <w:sz w:val="20"/>
                <w:szCs w:val="20"/>
                <w:color w:val="auto"/>
              </w:rPr>
            </w:pPr>
            <w:r>
              <w:rPr>
                <w:rFonts w:ascii="Arial" w:cs="Arial" w:eastAsia="Arial" w:hAnsi="Arial"/>
                <w:sz w:val="18"/>
                <w:szCs w:val="18"/>
                <w:color w:val="auto"/>
              </w:rPr>
              <w:t>Change of Name, Identity or Structure</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4.29</w:t>
            </w:r>
          </w:p>
        </w:tc>
        <w:tc>
          <w:tcPr>
            <w:tcW w:w="9300" w:type="dxa"/>
            <w:vAlign w:val="bottom"/>
          </w:tcPr>
          <w:p>
            <w:pPr>
              <w:ind w:left="10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4.30</w:t>
            </w:r>
          </w:p>
        </w:tc>
        <w:tc>
          <w:tcPr>
            <w:tcW w:w="9300" w:type="dxa"/>
            <w:vAlign w:val="bottom"/>
          </w:tcPr>
          <w:p>
            <w:pPr>
              <w:ind w:left="100"/>
              <w:spacing w:after="0"/>
              <w:rPr>
                <w:sz w:val="20"/>
                <w:szCs w:val="20"/>
                <w:color w:val="auto"/>
              </w:rPr>
            </w:pPr>
            <w:r>
              <w:rPr>
                <w:rFonts w:ascii="Arial" w:cs="Arial" w:eastAsia="Arial" w:hAnsi="Arial"/>
                <w:sz w:val="18"/>
                <w:szCs w:val="18"/>
                <w:color w:val="auto"/>
              </w:rPr>
              <w:t>Indemnity</w:t>
            </w: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4.31</w:t>
            </w:r>
          </w:p>
        </w:tc>
        <w:tc>
          <w:tcPr>
            <w:tcW w:w="9300" w:type="dxa"/>
            <w:vAlign w:val="bottom"/>
          </w:tcPr>
          <w:p>
            <w:pPr>
              <w:ind w:left="100"/>
              <w:spacing w:after="0"/>
              <w:rPr>
                <w:sz w:val="20"/>
                <w:szCs w:val="20"/>
                <w:color w:val="auto"/>
              </w:rPr>
            </w:pPr>
            <w:r>
              <w:rPr>
                <w:rFonts w:ascii="Arial" w:cs="Arial" w:eastAsia="Arial" w:hAnsi="Arial"/>
                <w:sz w:val="18"/>
                <w:szCs w:val="18"/>
                <w:color w:val="auto"/>
              </w:rPr>
              <w:t>ERISA</w:t>
            </w: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4.32</w:t>
            </w:r>
          </w:p>
        </w:tc>
        <w:tc>
          <w:tcPr>
            <w:tcW w:w="9300" w:type="dxa"/>
            <w:vAlign w:val="bottom"/>
          </w:tcPr>
          <w:p>
            <w:pPr>
              <w:ind w:left="100"/>
              <w:spacing w:after="0"/>
              <w:rPr>
                <w:sz w:val="20"/>
                <w:szCs w:val="20"/>
                <w:color w:val="auto"/>
              </w:rPr>
            </w:pPr>
            <w:r>
              <w:rPr>
                <w:rFonts w:ascii="Arial" w:cs="Arial" w:eastAsia="Arial" w:hAnsi="Arial"/>
                <w:sz w:val="18"/>
                <w:szCs w:val="18"/>
                <w:color w:val="auto"/>
              </w:rPr>
              <w:t>Patriot Act Compliance</w:t>
            </w: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4.33</w:t>
            </w:r>
          </w:p>
        </w:tc>
        <w:tc>
          <w:tcPr>
            <w:tcW w:w="9300" w:type="dxa"/>
            <w:vAlign w:val="bottom"/>
          </w:tcPr>
          <w:p>
            <w:pPr>
              <w:ind w:left="100"/>
              <w:spacing w:after="0"/>
              <w:rPr>
                <w:sz w:val="20"/>
                <w:szCs w:val="20"/>
                <w:color w:val="auto"/>
              </w:rPr>
            </w:pPr>
            <w:r>
              <w:rPr>
                <w:rFonts w:ascii="Arial" w:cs="Arial" w:eastAsia="Arial" w:hAnsi="Arial"/>
                <w:sz w:val="18"/>
                <w:szCs w:val="18"/>
                <w:color w:val="auto"/>
              </w:rPr>
              <w:t>Anti-Corruption Obligations</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4.34</w:t>
            </w:r>
          </w:p>
        </w:tc>
        <w:tc>
          <w:tcPr>
            <w:tcW w:w="9300" w:type="dxa"/>
            <w:vAlign w:val="bottom"/>
          </w:tcPr>
          <w:p>
            <w:pPr>
              <w:ind w:left="100"/>
              <w:spacing w:after="0"/>
              <w:rPr>
                <w:sz w:val="20"/>
                <w:szCs w:val="20"/>
                <w:color w:val="auto"/>
              </w:rPr>
            </w:pPr>
            <w:r>
              <w:rPr>
                <w:rFonts w:ascii="Arial" w:cs="Arial" w:eastAsia="Arial" w:hAnsi="Arial"/>
                <w:sz w:val="18"/>
                <w:szCs w:val="18"/>
                <w:color w:val="auto"/>
              </w:rPr>
              <w:t>Letters of Credit</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4.35</w:t>
            </w:r>
          </w:p>
        </w:tc>
        <w:tc>
          <w:tcPr>
            <w:tcW w:w="9300" w:type="dxa"/>
            <w:vAlign w:val="bottom"/>
          </w:tcPr>
          <w:p>
            <w:pPr>
              <w:ind w:left="100"/>
              <w:spacing w:after="0"/>
              <w:rPr>
                <w:sz w:val="20"/>
                <w:szCs w:val="20"/>
                <w:color w:val="auto"/>
              </w:rPr>
            </w:pPr>
            <w:r>
              <w:rPr>
                <w:rFonts w:ascii="Arial" w:cs="Arial" w:eastAsia="Arial" w:hAnsi="Arial"/>
                <w:sz w:val="18"/>
                <w:szCs w:val="18"/>
                <w:color w:val="auto"/>
              </w:rPr>
              <w:t>Ground Lease</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4.36</w:t>
            </w:r>
          </w:p>
        </w:tc>
        <w:tc>
          <w:tcPr>
            <w:tcW w:w="9300" w:type="dxa"/>
            <w:vAlign w:val="bottom"/>
          </w:tcPr>
          <w:p>
            <w:pPr>
              <w:ind w:left="100"/>
              <w:spacing w:after="0"/>
              <w:rPr>
                <w:sz w:val="20"/>
                <w:szCs w:val="20"/>
                <w:color w:val="auto"/>
              </w:rPr>
            </w:pPr>
            <w:r>
              <w:rPr>
                <w:rFonts w:ascii="Arial" w:cs="Arial" w:eastAsia="Arial" w:hAnsi="Arial"/>
                <w:sz w:val="18"/>
                <w:szCs w:val="18"/>
                <w:color w:val="auto"/>
              </w:rPr>
              <w:t>Scheduled Capital Expenditures Work</w:t>
            </w: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4.37</w:t>
            </w:r>
          </w:p>
        </w:tc>
        <w:tc>
          <w:tcPr>
            <w:tcW w:w="9300" w:type="dxa"/>
            <w:vAlign w:val="bottom"/>
          </w:tcPr>
          <w:p>
            <w:pPr>
              <w:ind w:left="100"/>
              <w:spacing w:after="0"/>
              <w:rPr>
                <w:sz w:val="20"/>
                <w:szCs w:val="20"/>
                <w:color w:val="auto"/>
              </w:rPr>
            </w:pPr>
            <w:r>
              <w:rPr>
                <w:rFonts w:ascii="Arial" w:cs="Arial" w:eastAsia="Arial" w:hAnsi="Arial"/>
                <w:sz w:val="18"/>
                <w:szCs w:val="18"/>
                <w:color w:val="auto"/>
              </w:rPr>
              <w:t>Required Repairs</w:t>
            </w: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00" w:lineRule="exact"/>
        <w:rPr>
          <w:sz w:val="20"/>
          <w:szCs w:val="20"/>
          <w:color w:val="auto"/>
        </w:rPr>
      </w:pPr>
    </w:p>
    <w:p>
      <w:pPr>
        <w:spacing w:after="0" w:line="23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48895</wp:posOffset>
            </wp:positionV>
            <wp:extent cx="713232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368"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426"/>
        </w:trPr>
        <w:tc>
          <w:tcPr>
            <w:tcW w:w="1580" w:type="dxa"/>
            <w:vAlign w:val="bottom"/>
          </w:tcPr>
          <w:p>
            <w:pPr>
              <w:ind w:left="520"/>
              <w:spacing w:after="0"/>
              <w:rPr>
                <w:sz w:val="20"/>
                <w:szCs w:val="20"/>
                <w:color w:val="auto"/>
              </w:rPr>
            </w:pPr>
            <w:r>
              <w:rPr>
                <w:rFonts w:ascii="Arial" w:cs="Arial" w:eastAsia="Arial" w:hAnsi="Arial"/>
                <w:sz w:val="18"/>
                <w:szCs w:val="18"/>
                <w:color w:val="auto"/>
              </w:rPr>
              <w:t>Section 4.38</w:t>
            </w:r>
          </w:p>
        </w:tc>
        <w:tc>
          <w:tcPr>
            <w:tcW w:w="9300" w:type="dxa"/>
            <w:vAlign w:val="bottom"/>
          </w:tcPr>
          <w:p>
            <w:pPr>
              <w:ind w:left="100"/>
              <w:spacing w:after="0"/>
              <w:rPr>
                <w:sz w:val="20"/>
                <w:szCs w:val="20"/>
                <w:color w:val="auto"/>
              </w:rPr>
            </w:pPr>
            <w:r>
              <w:rPr>
                <w:rFonts w:ascii="Arial" w:cs="Arial" w:eastAsia="Arial" w:hAnsi="Arial"/>
                <w:sz w:val="18"/>
                <w:szCs w:val="18"/>
                <w:color w:val="auto"/>
              </w:rPr>
              <w:t>Alternative Access with Respect to Affected Underground Utilities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5 INSURANCE, CASUALTY AND CONDEMNATION</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5.1</w:t>
            </w:r>
          </w:p>
        </w:tc>
        <w:tc>
          <w:tcPr>
            <w:tcW w:w="930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5.1.1</w:t>
            </w:r>
          </w:p>
        </w:tc>
        <w:tc>
          <w:tcPr>
            <w:tcW w:w="9300" w:type="dxa"/>
            <w:vAlign w:val="bottom"/>
          </w:tcPr>
          <w:p>
            <w:pPr>
              <w:ind w:left="100"/>
              <w:spacing w:after="0"/>
              <w:rPr>
                <w:sz w:val="20"/>
                <w:szCs w:val="20"/>
                <w:color w:val="auto"/>
              </w:rPr>
            </w:pPr>
            <w:r>
              <w:rPr>
                <w:rFonts w:ascii="Arial" w:cs="Arial" w:eastAsia="Arial" w:hAnsi="Arial"/>
                <w:sz w:val="18"/>
                <w:szCs w:val="18"/>
                <w:color w:val="auto"/>
              </w:rPr>
              <w:t>Insurance Policies</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5.1.2</w:t>
            </w:r>
          </w:p>
        </w:tc>
        <w:tc>
          <w:tcPr>
            <w:tcW w:w="9300" w:type="dxa"/>
            <w:vAlign w:val="bottom"/>
          </w:tcPr>
          <w:p>
            <w:pPr>
              <w:ind w:left="100"/>
              <w:spacing w:after="0"/>
              <w:rPr>
                <w:sz w:val="20"/>
                <w:szCs w:val="20"/>
                <w:color w:val="auto"/>
              </w:rPr>
            </w:pPr>
            <w:r>
              <w:rPr>
                <w:rFonts w:ascii="Arial" w:cs="Arial" w:eastAsia="Arial" w:hAnsi="Arial"/>
                <w:sz w:val="18"/>
                <w:szCs w:val="18"/>
                <w:color w:val="auto"/>
              </w:rPr>
              <w:t>Insurance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5.2</w:t>
            </w:r>
          </w:p>
        </w:tc>
        <w:tc>
          <w:tcPr>
            <w:tcW w:w="9300" w:type="dxa"/>
            <w:vAlign w:val="bottom"/>
          </w:tcPr>
          <w:p>
            <w:pPr>
              <w:ind w:left="100"/>
              <w:spacing w:after="0"/>
              <w:rPr>
                <w:sz w:val="20"/>
                <w:szCs w:val="20"/>
                <w:color w:val="auto"/>
              </w:rPr>
            </w:pPr>
            <w:r>
              <w:rPr>
                <w:rFonts w:ascii="Arial" w:cs="Arial" w:eastAsia="Arial" w:hAnsi="Arial"/>
                <w:sz w:val="18"/>
                <w:szCs w:val="18"/>
                <w:color w:val="auto"/>
              </w:rPr>
              <w:t>Casualty</w:t>
            </w: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5.3</w:t>
            </w:r>
          </w:p>
        </w:tc>
        <w:tc>
          <w:tcPr>
            <w:tcW w:w="9300" w:type="dxa"/>
            <w:vAlign w:val="bottom"/>
          </w:tcPr>
          <w:p>
            <w:pPr>
              <w:ind w:left="100"/>
              <w:spacing w:after="0"/>
              <w:rPr>
                <w:sz w:val="20"/>
                <w:szCs w:val="20"/>
                <w:color w:val="auto"/>
              </w:rPr>
            </w:pPr>
            <w:r>
              <w:rPr>
                <w:rFonts w:ascii="Arial" w:cs="Arial" w:eastAsia="Arial" w:hAnsi="Arial"/>
                <w:sz w:val="18"/>
                <w:szCs w:val="18"/>
                <w:color w:val="auto"/>
              </w:rPr>
              <w:t>Condemnation</w:t>
            </w: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580" w:type="dxa"/>
            <w:vAlign w:val="bottom"/>
          </w:tcPr>
          <w:p>
            <w:pPr>
              <w:ind w:left="520"/>
              <w:spacing w:after="0"/>
              <w:rPr>
                <w:sz w:val="20"/>
                <w:szCs w:val="20"/>
                <w:color w:val="auto"/>
              </w:rPr>
            </w:pPr>
            <w:r>
              <w:rPr>
                <w:rFonts w:ascii="Arial" w:cs="Arial" w:eastAsia="Arial" w:hAnsi="Arial"/>
                <w:sz w:val="18"/>
                <w:szCs w:val="18"/>
                <w:color w:val="auto"/>
              </w:rPr>
              <w:t>Section 5.4</w:t>
            </w:r>
          </w:p>
        </w:tc>
        <w:tc>
          <w:tcPr>
            <w:tcW w:w="9300" w:type="dxa"/>
            <w:vAlign w:val="bottom"/>
          </w:tcPr>
          <w:p>
            <w:pPr>
              <w:ind w:left="100"/>
              <w:spacing w:after="0"/>
              <w:rPr>
                <w:sz w:val="20"/>
                <w:szCs w:val="20"/>
                <w:color w:val="auto"/>
              </w:rPr>
            </w:pPr>
            <w:r>
              <w:rPr>
                <w:rFonts w:ascii="Arial" w:cs="Arial" w:eastAsia="Arial" w:hAnsi="Arial"/>
                <w:sz w:val="18"/>
                <w:szCs w:val="18"/>
                <w:color w:val="auto"/>
              </w:rPr>
              <w:t>Restoration</w:t>
            </w: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6 CASH MANAGEMENT AND RESERVE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6.1</w:t>
            </w:r>
          </w:p>
        </w:tc>
        <w:tc>
          <w:tcPr>
            <w:tcW w:w="9300" w:type="dxa"/>
            <w:vAlign w:val="bottom"/>
          </w:tcPr>
          <w:p>
            <w:pPr>
              <w:ind w:left="100"/>
              <w:spacing w:after="0"/>
              <w:rPr>
                <w:sz w:val="20"/>
                <w:szCs w:val="20"/>
                <w:color w:val="auto"/>
              </w:rPr>
            </w:pPr>
            <w:r>
              <w:rPr>
                <w:rFonts w:ascii="Arial" w:cs="Arial" w:eastAsia="Arial" w:hAnsi="Arial"/>
                <w:sz w:val="18"/>
                <w:szCs w:val="18"/>
                <w:color w:val="auto"/>
              </w:rPr>
              <w:t>Cash Management Arrangements</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6.2</w:t>
            </w:r>
          </w:p>
        </w:tc>
        <w:tc>
          <w:tcPr>
            <w:tcW w:w="930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6.3</w:t>
            </w:r>
          </w:p>
        </w:tc>
        <w:tc>
          <w:tcPr>
            <w:tcW w:w="9300" w:type="dxa"/>
            <w:vAlign w:val="bottom"/>
          </w:tcPr>
          <w:p>
            <w:pPr>
              <w:ind w:left="100"/>
              <w:spacing w:after="0"/>
              <w:rPr>
                <w:sz w:val="20"/>
                <w:szCs w:val="20"/>
                <w:color w:val="auto"/>
              </w:rPr>
            </w:pPr>
            <w:r>
              <w:rPr>
                <w:rFonts w:ascii="Arial" w:cs="Arial" w:eastAsia="Arial" w:hAnsi="Arial"/>
                <w:sz w:val="18"/>
                <w:szCs w:val="18"/>
                <w:color w:val="auto"/>
              </w:rPr>
              <w:t>Tax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6.3.1</w:t>
            </w:r>
          </w:p>
        </w:tc>
        <w:tc>
          <w:tcPr>
            <w:tcW w:w="9300" w:type="dxa"/>
            <w:vAlign w:val="bottom"/>
          </w:tcPr>
          <w:p>
            <w:pPr>
              <w:ind w:left="100"/>
              <w:spacing w:after="0"/>
              <w:rPr>
                <w:sz w:val="20"/>
                <w:szCs w:val="20"/>
                <w:color w:val="auto"/>
              </w:rPr>
            </w:pPr>
            <w:r>
              <w:rPr>
                <w:rFonts w:ascii="Arial" w:cs="Arial" w:eastAsia="Arial" w:hAnsi="Arial"/>
                <w:sz w:val="18"/>
                <w:szCs w:val="18"/>
                <w:color w:val="auto"/>
              </w:rPr>
              <w:t>Deposits of Tax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6.3.2</w:t>
            </w:r>
          </w:p>
        </w:tc>
        <w:tc>
          <w:tcPr>
            <w:tcW w:w="9300" w:type="dxa"/>
            <w:vAlign w:val="bottom"/>
          </w:tcPr>
          <w:p>
            <w:pPr>
              <w:ind w:left="100"/>
              <w:spacing w:after="0"/>
              <w:rPr>
                <w:sz w:val="20"/>
                <w:szCs w:val="20"/>
                <w:color w:val="auto"/>
              </w:rPr>
            </w:pPr>
            <w:r>
              <w:rPr>
                <w:rFonts w:ascii="Arial" w:cs="Arial" w:eastAsia="Arial" w:hAnsi="Arial"/>
                <w:sz w:val="18"/>
                <w:szCs w:val="18"/>
                <w:color w:val="auto"/>
              </w:rPr>
              <w:t>Release of Tax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6.4</w:t>
            </w:r>
          </w:p>
        </w:tc>
        <w:tc>
          <w:tcPr>
            <w:tcW w:w="9300" w:type="dxa"/>
            <w:vAlign w:val="bottom"/>
          </w:tcPr>
          <w:p>
            <w:pPr>
              <w:ind w:left="100"/>
              <w:spacing w:after="0"/>
              <w:rPr>
                <w:sz w:val="20"/>
                <w:szCs w:val="20"/>
                <w:color w:val="auto"/>
              </w:rPr>
            </w:pPr>
            <w:r>
              <w:rPr>
                <w:rFonts w:ascii="Arial" w:cs="Arial" w:eastAsia="Arial" w:hAnsi="Arial"/>
                <w:sz w:val="18"/>
                <w:szCs w:val="18"/>
                <w:color w:val="auto"/>
              </w:rPr>
              <w:t>Insurance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6.4.1</w:t>
            </w:r>
          </w:p>
        </w:tc>
        <w:tc>
          <w:tcPr>
            <w:tcW w:w="9300" w:type="dxa"/>
            <w:vAlign w:val="bottom"/>
          </w:tcPr>
          <w:p>
            <w:pPr>
              <w:ind w:left="100"/>
              <w:spacing w:after="0"/>
              <w:rPr>
                <w:sz w:val="20"/>
                <w:szCs w:val="20"/>
                <w:color w:val="auto"/>
              </w:rPr>
            </w:pPr>
            <w:r>
              <w:rPr>
                <w:rFonts w:ascii="Arial" w:cs="Arial" w:eastAsia="Arial" w:hAnsi="Arial"/>
                <w:sz w:val="18"/>
                <w:szCs w:val="18"/>
                <w:color w:val="auto"/>
              </w:rPr>
              <w:t>Deposits of Insurance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6.4.2</w:t>
            </w:r>
          </w:p>
        </w:tc>
        <w:tc>
          <w:tcPr>
            <w:tcW w:w="9300" w:type="dxa"/>
            <w:vAlign w:val="bottom"/>
          </w:tcPr>
          <w:p>
            <w:pPr>
              <w:ind w:left="100"/>
              <w:spacing w:after="0"/>
              <w:rPr>
                <w:sz w:val="20"/>
                <w:szCs w:val="20"/>
                <w:color w:val="auto"/>
              </w:rPr>
            </w:pPr>
            <w:r>
              <w:rPr>
                <w:rFonts w:ascii="Arial" w:cs="Arial" w:eastAsia="Arial" w:hAnsi="Arial"/>
                <w:sz w:val="18"/>
                <w:szCs w:val="18"/>
                <w:color w:val="auto"/>
              </w:rPr>
              <w:t>Release of Insurance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6.4.3</w:t>
            </w:r>
          </w:p>
        </w:tc>
        <w:tc>
          <w:tcPr>
            <w:tcW w:w="9300" w:type="dxa"/>
            <w:vAlign w:val="bottom"/>
          </w:tcPr>
          <w:p>
            <w:pPr>
              <w:ind w:left="100"/>
              <w:spacing w:after="0"/>
              <w:rPr>
                <w:sz w:val="20"/>
                <w:szCs w:val="20"/>
                <w:color w:val="auto"/>
              </w:rPr>
            </w:pPr>
            <w:r>
              <w:rPr>
                <w:rFonts w:ascii="Arial" w:cs="Arial" w:eastAsia="Arial" w:hAnsi="Arial"/>
                <w:sz w:val="18"/>
                <w:szCs w:val="18"/>
                <w:color w:val="auto"/>
              </w:rPr>
              <w:t>Acceptable Blanket Policy</w:t>
            </w: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6.5</w:t>
            </w:r>
          </w:p>
        </w:tc>
        <w:tc>
          <w:tcPr>
            <w:tcW w:w="9300" w:type="dxa"/>
            <w:vAlign w:val="bottom"/>
          </w:tcPr>
          <w:p>
            <w:pPr>
              <w:ind w:left="100"/>
              <w:spacing w:after="0"/>
              <w:rPr>
                <w:sz w:val="20"/>
                <w:szCs w:val="20"/>
                <w:color w:val="auto"/>
              </w:rPr>
            </w:pPr>
            <w:r>
              <w:rPr>
                <w:rFonts w:ascii="Arial" w:cs="Arial" w:eastAsia="Arial" w:hAnsi="Arial"/>
                <w:sz w:val="18"/>
                <w:szCs w:val="18"/>
                <w:color w:val="auto"/>
              </w:rPr>
              <w:t>Capital Expenditure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6.5.1</w:t>
            </w:r>
          </w:p>
        </w:tc>
        <w:tc>
          <w:tcPr>
            <w:tcW w:w="9300" w:type="dxa"/>
            <w:vAlign w:val="bottom"/>
          </w:tcPr>
          <w:p>
            <w:pPr>
              <w:ind w:left="100"/>
              <w:spacing w:after="0"/>
              <w:rPr>
                <w:sz w:val="20"/>
                <w:szCs w:val="20"/>
                <w:color w:val="auto"/>
              </w:rPr>
            </w:pPr>
            <w:r>
              <w:rPr>
                <w:rFonts w:ascii="Arial" w:cs="Arial" w:eastAsia="Arial" w:hAnsi="Arial"/>
                <w:sz w:val="18"/>
                <w:szCs w:val="18"/>
                <w:color w:val="auto"/>
              </w:rPr>
              <w:t>Deposits of Capital Expenditure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6.5.2</w:t>
            </w:r>
          </w:p>
        </w:tc>
        <w:tc>
          <w:tcPr>
            <w:tcW w:w="9300" w:type="dxa"/>
            <w:vAlign w:val="bottom"/>
          </w:tcPr>
          <w:p>
            <w:pPr>
              <w:ind w:left="100"/>
              <w:spacing w:after="0"/>
              <w:rPr>
                <w:sz w:val="20"/>
                <w:szCs w:val="20"/>
                <w:color w:val="auto"/>
              </w:rPr>
            </w:pPr>
            <w:r>
              <w:rPr>
                <w:rFonts w:ascii="Arial" w:cs="Arial" w:eastAsia="Arial" w:hAnsi="Arial"/>
                <w:sz w:val="18"/>
                <w:szCs w:val="18"/>
                <w:color w:val="auto"/>
              </w:rPr>
              <w:t>Release of Capital Expenditure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6.6</w:t>
            </w:r>
          </w:p>
        </w:tc>
        <w:tc>
          <w:tcPr>
            <w:tcW w:w="9300" w:type="dxa"/>
            <w:vAlign w:val="bottom"/>
          </w:tcPr>
          <w:p>
            <w:pPr>
              <w:ind w:left="100"/>
              <w:spacing w:after="0"/>
              <w:rPr>
                <w:sz w:val="20"/>
                <w:szCs w:val="20"/>
                <w:color w:val="auto"/>
              </w:rPr>
            </w:pPr>
            <w:r>
              <w:rPr>
                <w:rFonts w:ascii="Arial" w:cs="Arial" w:eastAsia="Arial" w:hAnsi="Arial"/>
                <w:sz w:val="18"/>
                <w:szCs w:val="18"/>
                <w:color w:val="auto"/>
              </w:rPr>
              <w:t>Rollover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6.6.1</w:t>
            </w:r>
          </w:p>
        </w:tc>
        <w:tc>
          <w:tcPr>
            <w:tcW w:w="9300" w:type="dxa"/>
            <w:vAlign w:val="bottom"/>
          </w:tcPr>
          <w:p>
            <w:pPr>
              <w:ind w:left="100"/>
              <w:spacing w:after="0"/>
              <w:rPr>
                <w:sz w:val="20"/>
                <w:szCs w:val="20"/>
                <w:color w:val="auto"/>
              </w:rPr>
            </w:pPr>
            <w:r>
              <w:rPr>
                <w:rFonts w:ascii="Arial" w:cs="Arial" w:eastAsia="Arial" w:hAnsi="Arial"/>
                <w:sz w:val="18"/>
                <w:szCs w:val="18"/>
                <w:color w:val="auto"/>
              </w:rPr>
              <w:t>Deposits of Rollover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6.6.2</w:t>
            </w:r>
          </w:p>
        </w:tc>
        <w:tc>
          <w:tcPr>
            <w:tcW w:w="9300" w:type="dxa"/>
            <w:vAlign w:val="bottom"/>
          </w:tcPr>
          <w:p>
            <w:pPr>
              <w:ind w:left="100"/>
              <w:spacing w:after="0"/>
              <w:rPr>
                <w:sz w:val="20"/>
                <w:szCs w:val="20"/>
                <w:color w:val="auto"/>
              </w:rPr>
            </w:pPr>
            <w:r>
              <w:rPr>
                <w:rFonts w:ascii="Arial" w:cs="Arial" w:eastAsia="Arial" w:hAnsi="Arial"/>
                <w:sz w:val="18"/>
                <w:szCs w:val="18"/>
                <w:color w:val="auto"/>
              </w:rPr>
              <w:t>Release of Rollover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6.7</w:t>
            </w:r>
          </w:p>
        </w:tc>
        <w:tc>
          <w:tcPr>
            <w:tcW w:w="9300" w:type="dxa"/>
            <w:vAlign w:val="bottom"/>
          </w:tcPr>
          <w:p>
            <w:pPr>
              <w:ind w:left="100"/>
              <w:spacing w:after="0"/>
              <w:rPr>
                <w:sz w:val="20"/>
                <w:szCs w:val="20"/>
                <w:color w:val="auto"/>
              </w:rPr>
            </w:pPr>
            <w:r>
              <w:rPr>
                <w:rFonts w:ascii="Arial" w:cs="Arial" w:eastAsia="Arial" w:hAnsi="Arial"/>
                <w:sz w:val="18"/>
                <w:szCs w:val="18"/>
                <w:color w:val="auto"/>
              </w:rPr>
              <w:t>Scheduled Capital Expenditures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6.7.1</w:t>
            </w:r>
          </w:p>
        </w:tc>
        <w:tc>
          <w:tcPr>
            <w:tcW w:w="9300" w:type="dxa"/>
            <w:vAlign w:val="bottom"/>
          </w:tcPr>
          <w:p>
            <w:pPr>
              <w:ind w:left="100"/>
              <w:spacing w:after="0"/>
              <w:rPr>
                <w:sz w:val="20"/>
                <w:szCs w:val="20"/>
                <w:color w:val="auto"/>
              </w:rPr>
            </w:pPr>
            <w:r>
              <w:rPr>
                <w:rFonts w:ascii="Arial" w:cs="Arial" w:eastAsia="Arial" w:hAnsi="Arial"/>
                <w:sz w:val="18"/>
                <w:szCs w:val="18"/>
                <w:color w:val="auto"/>
              </w:rPr>
              <w:t>Deposits of Scheduled Capital Expenditure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6.7.2</w:t>
            </w:r>
          </w:p>
        </w:tc>
        <w:tc>
          <w:tcPr>
            <w:tcW w:w="9300" w:type="dxa"/>
            <w:vAlign w:val="bottom"/>
          </w:tcPr>
          <w:p>
            <w:pPr>
              <w:ind w:left="100"/>
              <w:spacing w:after="0"/>
              <w:rPr>
                <w:sz w:val="20"/>
                <w:szCs w:val="20"/>
                <w:color w:val="auto"/>
              </w:rPr>
            </w:pPr>
            <w:r>
              <w:rPr>
                <w:rFonts w:ascii="Arial" w:cs="Arial" w:eastAsia="Arial" w:hAnsi="Arial"/>
                <w:sz w:val="18"/>
                <w:szCs w:val="18"/>
                <w:color w:val="auto"/>
              </w:rPr>
              <w:t>Release of Scheduled Capital Expenditure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6.8</w:t>
            </w:r>
          </w:p>
        </w:tc>
        <w:tc>
          <w:tcPr>
            <w:tcW w:w="9300" w:type="dxa"/>
            <w:vAlign w:val="bottom"/>
          </w:tcPr>
          <w:p>
            <w:pPr>
              <w:ind w:left="100"/>
              <w:spacing w:after="0"/>
              <w:rPr>
                <w:sz w:val="20"/>
                <w:szCs w:val="20"/>
                <w:color w:val="auto"/>
              </w:rPr>
            </w:pPr>
            <w:r>
              <w:rPr>
                <w:rFonts w:ascii="Arial" w:cs="Arial" w:eastAsia="Arial" w:hAnsi="Arial"/>
                <w:sz w:val="18"/>
                <w:szCs w:val="18"/>
                <w:color w:val="auto"/>
              </w:rPr>
              <w:t>Earnout Reserve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6.8.1</w:t>
            </w:r>
          </w:p>
        </w:tc>
        <w:tc>
          <w:tcPr>
            <w:tcW w:w="9300" w:type="dxa"/>
            <w:vAlign w:val="bottom"/>
          </w:tcPr>
          <w:p>
            <w:pPr>
              <w:ind w:left="100"/>
              <w:spacing w:after="0"/>
              <w:rPr>
                <w:sz w:val="20"/>
                <w:szCs w:val="20"/>
                <w:color w:val="auto"/>
              </w:rPr>
            </w:pPr>
            <w:r>
              <w:rPr>
                <w:rFonts w:ascii="Arial" w:cs="Arial" w:eastAsia="Arial" w:hAnsi="Arial"/>
                <w:sz w:val="18"/>
                <w:szCs w:val="18"/>
                <w:color w:val="auto"/>
              </w:rPr>
              <w:t>Deposits of Earnout Reserve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6.8.2</w:t>
            </w:r>
          </w:p>
        </w:tc>
        <w:tc>
          <w:tcPr>
            <w:tcW w:w="9300" w:type="dxa"/>
            <w:vAlign w:val="bottom"/>
          </w:tcPr>
          <w:p>
            <w:pPr>
              <w:ind w:left="100"/>
              <w:spacing w:after="0"/>
              <w:rPr>
                <w:sz w:val="20"/>
                <w:szCs w:val="20"/>
                <w:color w:val="auto"/>
              </w:rPr>
            </w:pPr>
            <w:r>
              <w:rPr>
                <w:rFonts w:ascii="Arial" w:cs="Arial" w:eastAsia="Arial" w:hAnsi="Arial"/>
                <w:sz w:val="18"/>
                <w:szCs w:val="18"/>
                <w:color w:val="auto"/>
              </w:rPr>
              <w:t>Release of Earnout Reserve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6.9</w:t>
            </w:r>
          </w:p>
        </w:tc>
        <w:tc>
          <w:tcPr>
            <w:tcW w:w="930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6.10</w:t>
            </w:r>
          </w:p>
        </w:tc>
        <w:tc>
          <w:tcPr>
            <w:tcW w:w="930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6.11</w:t>
            </w:r>
          </w:p>
        </w:tc>
        <w:tc>
          <w:tcPr>
            <w:tcW w:w="9300" w:type="dxa"/>
            <w:vAlign w:val="bottom"/>
          </w:tcPr>
          <w:p>
            <w:pPr>
              <w:ind w:left="100"/>
              <w:spacing w:after="0"/>
              <w:rPr>
                <w:sz w:val="20"/>
                <w:szCs w:val="20"/>
                <w:color w:val="auto"/>
              </w:rPr>
            </w:pPr>
            <w:r>
              <w:rPr>
                <w:rFonts w:ascii="Arial" w:cs="Arial" w:eastAsia="Arial" w:hAnsi="Arial"/>
                <w:sz w:val="18"/>
                <w:szCs w:val="18"/>
                <w:color w:val="auto"/>
              </w:rPr>
              <w:t>Casualty and Condemnation Account</w:t>
            </w:r>
          </w:p>
        </w:tc>
        <w:tc>
          <w:tcPr>
            <w:tcW w:w="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6.12</w:t>
            </w:r>
          </w:p>
        </w:tc>
        <w:tc>
          <w:tcPr>
            <w:tcW w:w="9300" w:type="dxa"/>
            <w:vAlign w:val="bottom"/>
          </w:tcPr>
          <w:p>
            <w:pPr>
              <w:ind w:left="100"/>
              <w:spacing w:after="0"/>
              <w:rPr>
                <w:sz w:val="20"/>
                <w:szCs w:val="20"/>
                <w:color w:val="auto"/>
              </w:rPr>
            </w:pPr>
            <w:r>
              <w:rPr>
                <w:rFonts w:ascii="Arial" w:cs="Arial" w:eastAsia="Arial" w:hAnsi="Arial"/>
                <w:sz w:val="18"/>
                <w:szCs w:val="18"/>
                <w:color w:val="auto"/>
              </w:rPr>
              <w:t>Cash Collateral Funds</w:t>
            </w:r>
          </w:p>
        </w:tc>
        <w:tc>
          <w:tcPr>
            <w:tcW w:w="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6.13</w:t>
            </w:r>
          </w:p>
        </w:tc>
        <w:tc>
          <w:tcPr>
            <w:tcW w:w="9300" w:type="dxa"/>
            <w:vAlign w:val="bottom"/>
          </w:tcPr>
          <w:p>
            <w:pPr>
              <w:ind w:left="100"/>
              <w:spacing w:after="0"/>
              <w:rPr>
                <w:sz w:val="20"/>
                <w:szCs w:val="20"/>
                <w:color w:val="auto"/>
              </w:rPr>
            </w:pPr>
            <w:r>
              <w:rPr>
                <w:rFonts w:ascii="Arial" w:cs="Arial" w:eastAsia="Arial" w:hAnsi="Arial"/>
                <w:sz w:val="18"/>
                <w:szCs w:val="18"/>
                <w:color w:val="auto"/>
              </w:rPr>
              <w:t>Lease Sweep Funds</w:t>
            </w: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6.13.1</w:t>
            </w:r>
          </w:p>
        </w:tc>
        <w:tc>
          <w:tcPr>
            <w:tcW w:w="9300" w:type="dxa"/>
            <w:vAlign w:val="bottom"/>
          </w:tcPr>
          <w:p>
            <w:pPr>
              <w:ind w:left="100"/>
              <w:spacing w:after="0"/>
              <w:rPr>
                <w:sz w:val="20"/>
                <w:szCs w:val="20"/>
                <w:color w:val="auto"/>
              </w:rPr>
            </w:pPr>
            <w:r>
              <w:rPr>
                <w:rFonts w:ascii="Arial" w:cs="Arial" w:eastAsia="Arial" w:hAnsi="Arial"/>
                <w:sz w:val="18"/>
                <w:szCs w:val="18"/>
                <w:color w:val="auto"/>
              </w:rPr>
              <w:t>Deposits of Lease Sweep Funds</w:t>
            </w: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6.13.2</w:t>
            </w:r>
          </w:p>
        </w:tc>
        <w:tc>
          <w:tcPr>
            <w:tcW w:w="9300" w:type="dxa"/>
            <w:vAlign w:val="bottom"/>
          </w:tcPr>
          <w:p>
            <w:pPr>
              <w:ind w:left="100"/>
              <w:spacing w:after="0"/>
              <w:rPr>
                <w:sz w:val="20"/>
                <w:szCs w:val="20"/>
                <w:color w:val="auto"/>
              </w:rPr>
            </w:pPr>
            <w:r>
              <w:rPr>
                <w:rFonts w:ascii="Arial" w:cs="Arial" w:eastAsia="Arial" w:hAnsi="Arial"/>
                <w:sz w:val="18"/>
                <w:szCs w:val="18"/>
                <w:color w:val="auto"/>
              </w:rPr>
              <w:t>Release of Lease Sweep Funds</w:t>
            </w: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6.14</w:t>
            </w:r>
          </w:p>
        </w:tc>
        <w:tc>
          <w:tcPr>
            <w:tcW w:w="930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6.15</w:t>
            </w:r>
          </w:p>
        </w:tc>
        <w:tc>
          <w:tcPr>
            <w:tcW w:w="930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80" w:type="dxa"/>
            <w:vAlign w:val="bottom"/>
          </w:tcPr>
          <w:p>
            <w:pPr>
              <w:ind w:left="520"/>
              <w:spacing w:after="0"/>
              <w:rPr>
                <w:sz w:val="20"/>
                <w:szCs w:val="20"/>
                <w:color w:val="auto"/>
              </w:rPr>
            </w:pPr>
            <w:r>
              <w:rPr>
                <w:rFonts w:ascii="Arial" w:cs="Arial" w:eastAsia="Arial" w:hAnsi="Arial"/>
                <w:sz w:val="18"/>
                <w:szCs w:val="18"/>
                <w:color w:val="auto"/>
              </w:rPr>
              <w:t>Section 6.16</w:t>
            </w:r>
          </w:p>
        </w:tc>
        <w:tc>
          <w:tcPr>
            <w:tcW w:w="9300" w:type="dxa"/>
            <w:vAlign w:val="bottom"/>
          </w:tcPr>
          <w:p>
            <w:pPr>
              <w:ind w:left="100"/>
              <w:spacing w:after="0"/>
              <w:rPr>
                <w:sz w:val="20"/>
                <w:szCs w:val="20"/>
                <w:color w:val="auto"/>
              </w:rPr>
            </w:pPr>
            <w:r>
              <w:rPr>
                <w:rFonts w:ascii="Arial" w:cs="Arial" w:eastAsia="Arial" w:hAnsi="Arial"/>
                <w:sz w:val="18"/>
                <w:szCs w:val="18"/>
                <w:color w:val="auto"/>
              </w:rPr>
              <w:t>Property Cash Flow Allocation</w:t>
            </w: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6.16.1</w:t>
            </w:r>
          </w:p>
        </w:tc>
        <w:tc>
          <w:tcPr>
            <w:tcW w:w="9300" w:type="dxa"/>
            <w:vAlign w:val="bottom"/>
          </w:tcPr>
          <w:p>
            <w:pPr>
              <w:ind w:left="100"/>
              <w:spacing w:after="0"/>
              <w:rPr>
                <w:sz w:val="20"/>
                <w:szCs w:val="20"/>
                <w:color w:val="auto"/>
              </w:rPr>
            </w:pPr>
            <w:r>
              <w:rPr>
                <w:rFonts w:ascii="Arial" w:cs="Arial" w:eastAsia="Arial" w:hAnsi="Arial"/>
                <w:sz w:val="18"/>
                <w:szCs w:val="18"/>
                <w:color w:val="auto"/>
              </w:rPr>
              <w:t>Order of Priority of Funds in Deposit Account</w:t>
            </w: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6.16.2</w:t>
            </w:r>
          </w:p>
        </w:tc>
        <w:tc>
          <w:tcPr>
            <w:tcW w:w="9300" w:type="dxa"/>
            <w:vAlign w:val="bottom"/>
          </w:tcPr>
          <w:p>
            <w:pPr>
              <w:ind w:left="100"/>
              <w:spacing w:after="0"/>
              <w:rPr>
                <w:sz w:val="20"/>
                <w:szCs w:val="20"/>
                <w:color w:val="auto"/>
              </w:rPr>
            </w:pPr>
            <w:r>
              <w:rPr>
                <w:rFonts w:ascii="Arial" w:cs="Arial" w:eastAsia="Arial" w:hAnsi="Arial"/>
                <w:sz w:val="18"/>
                <w:szCs w:val="18"/>
                <w:color w:val="auto"/>
              </w:rPr>
              <w:t>Failure to Make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80" w:type="dxa"/>
            <w:vAlign w:val="bottom"/>
          </w:tcPr>
          <w:p>
            <w:pPr>
              <w:ind w:left="1040"/>
              <w:spacing w:after="0"/>
              <w:rPr>
                <w:sz w:val="20"/>
                <w:szCs w:val="20"/>
                <w:color w:val="auto"/>
              </w:rPr>
            </w:pPr>
            <w:r>
              <w:rPr>
                <w:rFonts w:ascii="Arial" w:cs="Arial" w:eastAsia="Arial" w:hAnsi="Arial"/>
                <w:sz w:val="18"/>
                <w:szCs w:val="18"/>
                <w:color w:val="auto"/>
              </w:rPr>
              <w:t>6.16.3</w:t>
            </w:r>
          </w:p>
        </w:tc>
        <w:tc>
          <w:tcPr>
            <w:tcW w:w="9300" w:type="dxa"/>
            <w:vAlign w:val="bottom"/>
          </w:tcPr>
          <w:p>
            <w:pPr>
              <w:ind w:left="100"/>
              <w:spacing w:after="0"/>
              <w:rPr>
                <w:sz w:val="20"/>
                <w:szCs w:val="20"/>
                <w:color w:val="auto"/>
              </w:rPr>
            </w:pPr>
            <w:r>
              <w:rPr>
                <w:rFonts w:ascii="Arial" w:cs="Arial" w:eastAsia="Arial" w:hAnsi="Arial"/>
                <w:sz w:val="18"/>
                <w:szCs w:val="18"/>
                <w:color w:val="auto"/>
              </w:rPr>
              <w:t>Application After Event of Default</w:t>
            </w: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580" w:type="dxa"/>
            <w:vAlign w:val="bottom"/>
          </w:tcPr>
          <w:p>
            <w:pPr>
              <w:ind w:left="520"/>
              <w:spacing w:after="0"/>
              <w:rPr>
                <w:sz w:val="20"/>
                <w:szCs w:val="20"/>
                <w:color w:val="auto"/>
              </w:rPr>
            </w:pPr>
            <w:r>
              <w:rPr>
                <w:rFonts w:ascii="Arial" w:cs="Arial" w:eastAsia="Arial" w:hAnsi="Arial"/>
                <w:sz w:val="18"/>
                <w:szCs w:val="18"/>
                <w:color w:val="auto"/>
              </w:rPr>
              <w:t>Section 6.17</w:t>
            </w:r>
          </w:p>
        </w:tc>
        <w:tc>
          <w:tcPr>
            <w:tcW w:w="9300" w:type="dxa"/>
            <w:vAlign w:val="bottom"/>
          </w:tcPr>
          <w:p>
            <w:pPr>
              <w:ind w:left="100"/>
              <w:spacing w:after="0"/>
              <w:rPr>
                <w:sz w:val="20"/>
                <w:szCs w:val="20"/>
                <w:color w:val="auto"/>
              </w:rPr>
            </w:pPr>
            <w:r>
              <w:rPr>
                <w:rFonts w:ascii="Arial" w:cs="Arial" w:eastAsia="Arial" w:hAnsi="Arial"/>
                <w:sz w:val="18"/>
                <w:szCs w:val="18"/>
                <w:color w:val="auto"/>
              </w:rPr>
              <w:t>Security Interest in Reserve Funds</w:t>
            </w: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928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411"/>
        </w:trPr>
        <w:tc>
          <w:tcPr>
            <w:tcW w:w="10880" w:type="dxa"/>
            <w:vAlign w:val="bottom"/>
            <w:gridSpan w:val="2"/>
          </w:tcPr>
          <w:p>
            <w:pPr>
              <w:spacing w:after="0"/>
              <w:rPr>
                <w:sz w:val="20"/>
                <w:szCs w:val="20"/>
                <w:color w:val="auto"/>
              </w:rPr>
            </w:pPr>
            <w:r>
              <w:rPr>
                <w:rFonts w:ascii="Arial" w:cs="Arial" w:eastAsia="Arial" w:hAnsi="Arial"/>
                <w:sz w:val="18"/>
                <w:szCs w:val="18"/>
                <w:color w:val="auto"/>
              </w:rPr>
              <w:t>ARTICLE 7 PERMITTED TRANSFERS</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7.1</w:t>
            </w:r>
          </w:p>
        </w:tc>
        <w:tc>
          <w:tcPr>
            <w:tcW w:w="9280" w:type="dxa"/>
            <w:vAlign w:val="bottom"/>
          </w:tcPr>
          <w:p>
            <w:pPr>
              <w:ind w:left="80"/>
              <w:spacing w:after="0"/>
              <w:rPr>
                <w:sz w:val="20"/>
                <w:szCs w:val="20"/>
                <w:color w:val="auto"/>
              </w:rPr>
            </w:pPr>
            <w:r>
              <w:rPr>
                <w:rFonts w:ascii="Arial" w:cs="Arial" w:eastAsia="Arial" w:hAnsi="Arial"/>
                <w:sz w:val="18"/>
                <w:szCs w:val="18"/>
                <w:color w:val="auto"/>
              </w:rPr>
              <w:t>Permitted Transfer of the Entire Property</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7.2</w:t>
            </w:r>
          </w:p>
        </w:tc>
        <w:tc>
          <w:tcPr>
            <w:tcW w:w="9280" w:type="dxa"/>
            <w:vAlign w:val="bottom"/>
          </w:tcPr>
          <w:p>
            <w:pPr>
              <w:ind w:left="80"/>
              <w:spacing w:after="0"/>
              <w:rPr>
                <w:sz w:val="20"/>
                <w:szCs w:val="20"/>
                <w:color w:val="auto"/>
              </w:rPr>
            </w:pPr>
            <w:r>
              <w:rPr>
                <w:rFonts w:ascii="Arial" w:cs="Arial" w:eastAsia="Arial" w:hAnsi="Arial"/>
                <w:sz w:val="18"/>
                <w:szCs w:val="18"/>
                <w:color w:val="auto"/>
              </w:rPr>
              <w:t>Permitted Transfers</w:t>
            </w:r>
          </w:p>
        </w:tc>
        <w:tc>
          <w:tcPr>
            <w:tcW w:w="3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600" w:type="dxa"/>
            <w:vAlign w:val="bottom"/>
          </w:tcPr>
          <w:p>
            <w:pPr>
              <w:ind w:left="520"/>
              <w:spacing w:after="0"/>
              <w:rPr>
                <w:sz w:val="20"/>
                <w:szCs w:val="20"/>
                <w:color w:val="auto"/>
              </w:rPr>
            </w:pPr>
            <w:r>
              <w:rPr>
                <w:rFonts w:ascii="Arial" w:cs="Arial" w:eastAsia="Arial" w:hAnsi="Arial"/>
                <w:sz w:val="18"/>
                <w:szCs w:val="18"/>
                <w:color w:val="auto"/>
              </w:rPr>
              <w:t>Section 7.3</w:t>
            </w:r>
          </w:p>
        </w:tc>
        <w:tc>
          <w:tcPr>
            <w:tcW w:w="9280" w:type="dxa"/>
            <w:vAlign w:val="bottom"/>
          </w:tcPr>
          <w:p>
            <w:pPr>
              <w:ind w:left="80"/>
              <w:spacing w:after="0"/>
              <w:rPr>
                <w:sz w:val="20"/>
                <w:szCs w:val="20"/>
                <w:color w:val="auto"/>
              </w:rPr>
            </w:pPr>
            <w:r>
              <w:rPr>
                <w:rFonts w:ascii="Arial" w:cs="Arial" w:eastAsia="Arial" w:hAnsi="Arial"/>
                <w:sz w:val="18"/>
                <w:szCs w:val="18"/>
                <w:color w:val="auto"/>
              </w:rPr>
              <w:t>Cost and Expenses; Searches; Copies</w:t>
            </w: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8 DEFAULTS</w:t>
            </w:r>
          </w:p>
        </w:tc>
        <w:tc>
          <w:tcPr>
            <w:tcW w:w="3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8.1</w:t>
            </w:r>
          </w:p>
        </w:tc>
        <w:tc>
          <w:tcPr>
            <w:tcW w:w="928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3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8.2</w:t>
            </w:r>
          </w:p>
        </w:tc>
        <w:tc>
          <w:tcPr>
            <w:tcW w:w="9280" w:type="dxa"/>
            <w:vAlign w:val="bottom"/>
          </w:tcPr>
          <w:p>
            <w:pPr>
              <w:ind w:left="80"/>
              <w:spacing w:after="0"/>
              <w:rPr>
                <w:sz w:val="20"/>
                <w:szCs w:val="20"/>
                <w:color w:val="auto"/>
              </w:rPr>
            </w:pPr>
            <w:r>
              <w:rPr>
                <w:rFonts w:ascii="Arial" w:cs="Arial" w:eastAsia="Arial" w:hAnsi="Arial"/>
                <w:sz w:val="18"/>
                <w:szCs w:val="18"/>
                <w:color w:val="auto"/>
              </w:rPr>
              <w:t>Remedies</w:t>
            </w: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00" w:type="dxa"/>
            <w:vAlign w:val="bottom"/>
          </w:tcPr>
          <w:p>
            <w:pPr>
              <w:ind w:left="1040"/>
              <w:spacing w:after="0"/>
              <w:rPr>
                <w:sz w:val="20"/>
                <w:szCs w:val="20"/>
                <w:color w:val="auto"/>
              </w:rPr>
            </w:pPr>
            <w:r>
              <w:rPr>
                <w:rFonts w:ascii="Arial" w:cs="Arial" w:eastAsia="Arial" w:hAnsi="Arial"/>
                <w:sz w:val="18"/>
                <w:szCs w:val="18"/>
                <w:color w:val="auto"/>
              </w:rPr>
              <w:t>8.2.1</w:t>
            </w:r>
          </w:p>
        </w:tc>
        <w:tc>
          <w:tcPr>
            <w:tcW w:w="9280" w:type="dxa"/>
            <w:vAlign w:val="bottom"/>
          </w:tcPr>
          <w:p>
            <w:pPr>
              <w:ind w:left="80"/>
              <w:spacing w:after="0"/>
              <w:rPr>
                <w:sz w:val="20"/>
                <w:szCs w:val="20"/>
                <w:color w:val="auto"/>
              </w:rPr>
            </w:pPr>
            <w:r>
              <w:rPr>
                <w:rFonts w:ascii="Arial" w:cs="Arial" w:eastAsia="Arial" w:hAnsi="Arial"/>
                <w:sz w:val="18"/>
                <w:szCs w:val="18"/>
                <w:color w:val="auto"/>
              </w:rPr>
              <w:t>Acceleration</w:t>
            </w: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600" w:type="dxa"/>
            <w:vAlign w:val="bottom"/>
          </w:tcPr>
          <w:p>
            <w:pPr>
              <w:ind w:left="1040"/>
              <w:spacing w:after="0"/>
              <w:rPr>
                <w:sz w:val="20"/>
                <w:szCs w:val="20"/>
                <w:color w:val="auto"/>
              </w:rPr>
            </w:pPr>
            <w:r>
              <w:rPr>
                <w:rFonts w:ascii="Arial" w:cs="Arial" w:eastAsia="Arial" w:hAnsi="Arial"/>
                <w:sz w:val="18"/>
                <w:szCs w:val="18"/>
                <w:color w:val="auto"/>
              </w:rPr>
              <w:t>8.2.2</w:t>
            </w:r>
          </w:p>
        </w:tc>
        <w:tc>
          <w:tcPr>
            <w:tcW w:w="9280" w:type="dxa"/>
            <w:vAlign w:val="bottom"/>
          </w:tcPr>
          <w:p>
            <w:pPr>
              <w:ind w:left="80"/>
              <w:spacing w:after="0"/>
              <w:rPr>
                <w:sz w:val="20"/>
                <w:szCs w:val="20"/>
                <w:color w:val="auto"/>
              </w:rPr>
            </w:pPr>
            <w:r>
              <w:rPr>
                <w:rFonts w:ascii="Arial" w:cs="Arial" w:eastAsia="Arial" w:hAnsi="Arial"/>
                <w:sz w:val="18"/>
                <w:szCs w:val="18"/>
                <w:color w:val="auto"/>
              </w:rPr>
              <w:t>Remedies Cumulative</w:t>
            </w:r>
          </w:p>
        </w:tc>
        <w:tc>
          <w:tcPr>
            <w:tcW w:w="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600" w:type="dxa"/>
            <w:vAlign w:val="bottom"/>
          </w:tcPr>
          <w:p>
            <w:pPr>
              <w:ind w:left="1040"/>
              <w:spacing w:after="0"/>
              <w:rPr>
                <w:sz w:val="20"/>
                <w:szCs w:val="20"/>
                <w:color w:val="auto"/>
              </w:rPr>
            </w:pPr>
            <w:r>
              <w:rPr>
                <w:rFonts w:ascii="Arial" w:cs="Arial" w:eastAsia="Arial" w:hAnsi="Arial"/>
                <w:sz w:val="18"/>
                <w:szCs w:val="18"/>
                <w:color w:val="auto"/>
              </w:rPr>
              <w:t>8.2.3</w:t>
            </w:r>
          </w:p>
        </w:tc>
        <w:tc>
          <w:tcPr>
            <w:tcW w:w="9280" w:type="dxa"/>
            <w:vAlign w:val="bottom"/>
          </w:tcPr>
          <w:p>
            <w:pPr>
              <w:ind w:left="80"/>
              <w:spacing w:after="0"/>
              <w:rPr>
                <w:sz w:val="20"/>
                <w:szCs w:val="20"/>
                <w:color w:val="auto"/>
              </w:rPr>
            </w:pPr>
            <w:r>
              <w:rPr>
                <w:rFonts w:ascii="Arial" w:cs="Arial" w:eastAsia="Arial" w:hAnsi="Arial"/>
                <w:sz w:val="18"/>
                <w:szCs w:val="18"/>
                <w:color w:val="auto"/>
              </w:rPr>
              <w:t>Severance</w:t>
            </w:r>
          </w:p>
        </w:tc>
        <w:tc>
          <w:tcPr>
            <w:tcW w:w="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600" w:type="dxa"/>
            <w:vAlign w:val="bottom"/>
          </w:tcPr>
          <w:p>
            <w:pPr>
              <w:ind w:left="1040"/>
              <w:spacing w:after="0"/>
              <w:rPr>
                <w:sz w:val="20"/>
                <w:szCs w:val="20"/>
                <w:color w:val="auto"/>
              </w:rPr>
            </w:pPr>
            <w:r>
              <w:rPr>
                <w:rFonts w:ascii="Arial" w:cs="Arial" w:eastAsia="Arial" w:hAnsi="Arial"/>
                <w:sz w:val="18"/>
                <w:szCs w:val="18"/>
                <w:color w:val="auto"/>
              </w:rPr>
              <w:t>8.2.4</w:t>
            </w:r>
          </w:p>
        </w:tc>
        <w:tc>
          <w:tcPr>
            <w:tcW w:w="9280" w:type="dxa"/>
            <w:vAlign w:val="bottom"/>
          </w:tcPr>
          <w:p>
            <w:pPr>
              <w:ind w:left="80"/>
              <w:spacing w:after="0"/>
              <w:rPr>
                <w:sz w:val="20"/>
                <w:szCs w:val="20"/>
                <w:color w:val="auto"/>
              </w:rPr>
            </w:pPr>
            <w:r>
              <w:rPr>
                <w:rFonts w:ascii="Arial" w:cs="Arial" w:eastAsia="Arial" w:hAnsi="Arial"/>
                <w:sz w:val="18"/>
                <w:szCs w:val="18"/>
                <w:color w:val="auto"/>
              </w:rPr>
              <w:t>Lender’s Right to Perform</w:t>
            </w: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9 SALE AND SECURITIZATION OF MORTGAGE</w:t>
            </w: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9.1</w:t>
            </w:r>
          </w:p>
        </w:tc>
        <w:tc>
          <w:tcPr>
            <w:tcW w:w="9280" w:type="dxa"/>
            <w:vAlign w:val="bottom"/>
          </w:tcPr>
          <w:p>
            <w:pPr>
              <w:ind w:left="80"/>
              <w:spacing w:after="0"/>
              <w:rPr>
                <w:sz w:val="20"/>
                <w:szCs w:val="20"/>
                <w:color w:val="auto"/>
              </w:rPr>
            </w:pPr>
            <w:r>
              <w:rPr>
                <w:rFonts w:ascii="Arial" w:cs="Arial" w:eastAsia="Arial" w:hAnsi="Arial"/>
                <w:sz w:val="18"/>
                <w:szCs w:val="18"/>
                <w:color w:val="auto"/>
              </w:rPr>
              <w:t>Sale of Mortgage and Securitization</w:t>
            </w: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9.2</w:t>
            </w:r>
          </w:p>
        </w:tc>
        <w:tc>
          <w:tcPr>
            <w:tcW w:w="9280" w:type="dxa"/>
            <w:vAlign w:val="bottom"/>
          </w:tcPr>
          <w:p>
            <w:pPr>
              <w:ind w:left="80"/>
              <w:spacing w:after="0"/>
              <w:rPr>
                <w:sz w:val="20"/>
                <w:szCs w:val="20"/>
                <w:color w:val="auto"/>
              </w:rPr>
            </w:pPr>
            <w:r>
              <w:rPr>
                <w:rFonts w:ascii="Arial" w:cs="Arial" w:eastAsia="Arial" w:hAnsi="Arial"/>
                <w:sz w:val="18"/>
                <w:szCs w:val="18"/>
                <w:color w:val="auto"/>
              </w:rPr>
              <w:t>Securitization Indemnification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9.3</w:t>
            </w:r>
          </w:p>
        </w:tc>
        <w:tc>
          <w:tcPr>
            <w:tcW w:w="9280" w:type="dxa"/>
            <w:vAlign w:val="bottom"/>
          </w:tcPr>
          <w:p>
            <w:pPr>
              <w:ind w:left="80"/>
              <w:spacing w:after="0"/>
              <w:rPr>
                <w:sz w:val="20"/>
                <w:szCs w:val="20"/>
                <w:color w:val="auto"/>
              </w:rPr>
            </w:pPr>
            <w:r>
              <w:rPr>
                <w:rFonts w:ascii="Arial" w:cs="Arial" w:eastAsia="Arial" w:hAnsi="Arial"/>
                <w:sz w:val="18"/>
                <w:szCs w:val="18"/>
                <w:color w:val="auto"/>
              </w:rPr>
              <w:t>Severance</w:t>
            </w:r>
          </w:p>
        </w:tc>
        <w:tc>
          <w:tcPr>
            <w:tcW w:w="3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600" w:type="dxa"/>
            <w:vAlign w:val="bottom"/>
          </w:tcPr>
          <w:p>
            <w:pPr>
              <w:ind w:left="1040"/>
              <w:spacing w:after="0"/>
              <w:rPr>
                <w:sz w:val="20"/>
                <w:szCs w:val="20"/>
                <w:color w:val="auto"/>
              </w:rPr>
            </w:pPr>
            <w:r>
              <w:rPr>
                <w:rFonts w:ascii="Arial" w:cs="Arial" w:eastAsia="Arial" w:hAnsi="Arial"/>
                <w:sz w:val="18"/>
                <w:szCs w:val="18"/>
                <w:color w:val="auto"/>
              </w:rPr>
              <w:t>9.3.1</w:t>
            </w:r>
          </w:p>
        </w:tc>
        <w:tc>
          <w:tcPr>
            <w:tcW w:w="9280" w:type="dxa"/>
            <w:vAlign w:val="bottom"/>
          </w:tcPr>
          <w:p>
            <w:pPr>
              <w:ind w:left="80"/>
              <w:spacing w:after="0"/>
              <w:rPr>
                <w:sz w:val="20"/>
                <w:szCs w:val="20"/>
                <w:color w:val="auto"/>
              </w:rPr>
            </w:pPr>
            <w:r>
              <w:rPr>
                <w:rFonts w:ascii="Arial" w:cs="Arial" w:eastAsia="Arial" w:hAnsi="Arial"/>
                <w:sz w:val="18"/>
                <w:szCs w:val="18"/>
                <w:color w:val="auto"/>
              </w:rPr>
              <w:t>Severance Documentation</w:t>
            </w:r>
          </w:p>
        </w:tc>
        <w:tc>
          <w:tcPr>
            <w:tcW w:w="3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600" w:type="dxa"/>
            <w:vAlign w:val="bottom"/>
          </w:tcPr>
          <w:p>
            <w:pPr>
              <w:ind w:left="1040"/>
              <w:spacing w:after="0"/>
              <w:rPr>
                <w:sz w:val="20"/>
                <w:szCs w:val="20"/>
                <w:color w:val="auto"/>
              </w:rPr>
            </w:pPr>
            <w:r>
              <w:rPr>
                <w:rFonts w:ascii="Arial" w:cs="Arial" w:eastAsia="Arial" w:hAnsi="Arial"/>
                <w:sz w:val="18"/>
                <w:szCs w:val="18"/>
                <w:color w:val="auto"/>
              </w:rPr>
              <w:t>9.3.2</w:t>
            </w:r>
          </w:p>
        </w:tc>
        <w:tc>
          <w:tcPr>
            <w:tcW w:w="9280" w:type="dxa"/>
            <w:vAlign w:val="bottom"/>
          </w:tcPr>
          <w:p>
            <w:pPr>
              <w:ind w:left="80"/>
              <w:spacing w:after="0"/>
              <w:rPr>
                <w:sz w:val="20"/>
                <w:szCs w:val="20"/>
                <w:color w:val="auto"/>
              </w:rPr>
            </w:pPr>
            <w:r>
              <w:rPr>
                <w:rFonts w:ascii="Arial" w:cs="Arial" w:eastAsia="Arial" w:hAnsi="Arial"/>
                <w:sz w:val="18"/>
                <w:szCs w:val="18"/>
                <w:color w:val="auto"/>
              </w:rPr>
              <w:t>New Mezzanine Loan Option</w:t>
            </w:r>
          </w:p>
        </w:tc>
        <w:tc>
          <w:tcPr>
            <w:tcW w:w="3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1600" w:type="dxa"/>
            <w:vAlign w:val="bottom"/>
          </w:tcPr>
          <w:p>
            <w:pPr>
              <w:ind w:left="1040"/>
              <w:spacing w:after="0"/>
              <w:rPr>
                <w:sz w:val="20"/>
                <w:szCs w:val="20"/>
                <w:color w:val="auto"/>
              </w:rPr>
            </w:pPr>
            <w:r>
              <w:rPr>
                <w:rFonts w:ascii="Arial" w:cs="Arial" w:eastAsia="Arial" w:hAnsi="Arial"/>
                <w:sz w:val="18"/>
                <w:szCs w:val="18"/>
                <w:color w:val="auto"/>
              </w:rPr>
              <w:t>9.3.3</w:t>
            </w:r>
          </w:p>
        </w:tc>
        <w:tc>
          <w:tcPr>
            <w:tcW w:w="9280" w:type="dxa"/>
            <w:vAlign w:val="bottom"/>
          </w:tcPr>
          <w:p>
            <w:pPr>
              <w:ind w:left="80"/>
              <w:spacing w:after="0"/>
              <w:rPr>
                <w:sz w:val="20"/>
                <w:szCs w:val="20"/>
                <w:color w:val="auto"/>
              </w:rPr>
            </w:pPr>
            <w:r>
              <w:rPr>
                <w:rFonts w:ascii="Arial" w:cs="Arial" w:eastAsia="Arial" w:hAnsi="Arial"/>
                <w:sz w:val="18"/>
                <w:szCs w:val="18"/>
                <w:color w:val="auto"/>
              </w:rPr>
              <w:t>Cooperation; Execution; Delivery</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18"/>
        </w:trPr>
        <w:tc>
          <w:tcPr>
            <w:tcW w:w="10880" w:type="dxa"/>
            <w:vAlign w:val="bottom"/>
            <w:gridSpan w:val="2"/>
          </w:tcPr>
          <w:p>
            <w:pPr>
              <w:spacing w:after="0"/>
              <w:rPr>
                <w:sz w:val="20"/>
                <w:szCs w:val="20"/>
                <w:color w:val="auto"/>
              </w:rPr>
            </w:pPr>
            <w:r>
              <w:rPr>
                <w:rFonts w:ascii="Arial" w:cs="Arial" w:eastAsia="Arial" w:hAnsi="Arial"/>
                <w:sz w:val="18"/>
                <w:szCs w:val="18"/>
                <w:color w:val="auto"/>
              </w:rPr>
              <w:t>ARTICLE 10 MISCELLANEOUS</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10.1</w:t>
            </w:r>
          </w:p>
        </w:tc>
        <w:tc>
          <w:tcPr>
            <w:tcW w:w="9280" w:type="dxa"/>
            <w:vAlign w:val="bottom"/>
          </w:tcPr>
          <w:p>
            <w:pPr>
              <w:ind w:left="80"/>
              <w:spacing w:after="0"/>
              <w:rPr>
                <w:sz w:val="20"/>
                <w:szCs w:val="20"/>
                <w:color w:val="auto"/>
              </w:rPr>
            </w:pPr>
            <w:r>
              <w:rPr>
                <w:rFonts w:ascii="Arial" w:cs="Arial" w:eastAsia="Arial" w:hAnsi="Arial"/>
                <w:sz w:val="18"/>
                <w:szCs w:val="18"/>
                <w:color w:val="auto"/>
              </w:rPr>
              <w:t>Exculpation</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10.2</w:t>
            </w:r>
          </w:p>
        </w:tc>
        <w:tc>
          <w:tcPr>
            <w:tcW w:w="9280" w:type="dxa"/>
            <w:vAlign w:val="bottom"/>
          </w:tcPr>
          <w:p>
            <w:pPr>
              <w:ind w:left="80"/>
              <w:spacing w:after="0"/>
              <w:rPr>
                <w:sz w:val="20"/>
                <w:szCs w:val="20"/>
                <w:color w:val="auto"/>
              </w:rPr>
            </w:pPr>
            <w:r>
              <w:rPr>
                <w:rFonts w:ascii="Arial" w:cs="Arial" w:eastAsia="Arial" w:hAnsi="Arial"/>
                <w:sz w:val="18"/>
                <w:szCs w:val="18"/>
                <w:color w:val="auto"/>
              </w:rPr>
              <w:t>Survival; Successors and Assigns</w:t>
            </w:r>
          </w:p>
        </w:tc>
        <w:tc>
          <w:tcPr>
            <w:tcW w:w="3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10.3</w:t>
            </w:r>
          </w:p>
        </w:tc>
        <w:tc>
          <w:tcPr>
            <w:tcW w:w="9280" w:type="dxa"/>
            <w:vAlign w:val="bottom"/>
          </w:tcPr>
          <w:p>
            <w:pPr>
              <w:ind w:left="80"/>
              <w:spacing w:after="0"/>
              <w:rPr>
                <w:sz w:val="20"/>
                <w:szCs w:val="20"/>
                <w:color w:val="auto"/>
              </w:rPr>
            </w:pPr>
            <w:r>
              <w:rPr>
                <w:rFonts w:ascii="Arial" w:cs="Arial" w:eastAsia="Arial" w:hAnsi="Arial"/>
                <w:sz w:val="18"/>
                <w:szCs w:val="18"/>
                <w:color w:val="auto"/>
              </w:rPr>
              <w:t>Lender’s Discretion; Rating Agency Review Waiver</w:t>
            </w:r>
          </w:p>
        </w:tc>
        <w:tc>
          <w:tcPr>
            <w:tcW w:w="3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10.4</w:t>
            </w:r>
          </w:p>
        </w:tc>
        <w:tc>
          <w:tcPr>
            <w:tcW w:w="928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3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10.5</w:t>
            </w:r>
          </w:p>
        </w:tc>
        <w:tc>
          <w:tcPr>
            <w:tcW w:w="9280" w:type="dxa"/>
            <w:vAlign w:val="bottom"/>
          </w:tcPr>
          <w:p>
            <w:pPr>
              <w:ind w:left="80"/>
              <w:spacing w:after="0"/>
              <w:rPr>
                <w:sz w:val="20"/>
                <w:szCs w:val="20"/>
                <w:color w:val="auto"/>
              </w:rPr>
            </w:pPr>
            <w:r>
              <w:rPr>
                <w:rFonts w:ascii="Arial" w:cs="Arial" w:eastAsia="Arial" w:hAnsi="Arial"/>
                <w:sz w:val="18"/>
                <w:szCs w:val="18"/>
                <w:color w:val="auto"/>
              </w:rPr>
              <w:t>Modification, Waiver in Writing</w:t>
            </w:r>
          </w:p>
        </w:tc>
        <w:tc>
          <w:tcPr>
            <w:tcW w:w="3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10.6</w:t>
            </w:r>
          </w:p>
        </w:tc>
        <w:tc>
          <w:tcPr>
            <w:tcW w:w="9280" w:type="dxa"/>
            <w:vAlign w:val="bottom"/>
          </w:tcPr>
          <w:p>
            <w:pPr>
              <w:ind w:left="80"/>
              <w:spacing w:after="0"/>
              <w:rPr>
                <w:sz w:val="20"/>
                <w:szCs w:val="20"/>
                <w:color w:val="auto"/>
              </w:rPr>
            </w:pPr>
            <w:r>
              <w:rPr>
                <w:rFonts w:ascii="Arial" w:cs="Arial" w:eastAsia="Arial" w:hAnsi="Arial"/>
                <w:sz w:val="18"/>
                <w:szCs w:val="18"/>
                <w:color w:val="auto"/>
              </w:rPr>
              <w:t>Notices</w:t>
            </w:r>
          </w:p>
        </w:tc>
        <w:tc>
          <w:tcPr>
            <w:tcW w:w="3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10.7</w:t>
            </w:r>
          </w:p>
        </w:tc>
        <w:tc>
          <w:tcPr>
            <w:tcW w:w="9280" w:type="dxa"/>
            <w:vAlign w:val="bottom"/>
          </w:tcPr>
          <w:p>
            <w:pPr>
              <w:ind w:left="80"/>
              <w:spacing w:after="0"/>
              <w:rPr>
                <w:sz w:val="20"/>
                <w:szCs w:val="20"/>
                <w:color w:val="auto"/>
              </w:rPr>
            </w:pPr>
            <w:r>
              <w:rPr>
                <w:rFonts w:ascii="Arial" w:cs="Arial" w:eastAsia="Arial" w:hAnsi="Arial"/>
                <w:sz w:val="18"/>
                <w:szCs w:val="18"/>
                <w:color w:val="auto"/>
              </w:rPr>
              <w:t>Waiver of Trial by Jury</w:t>
            </w:r>
          </w:p>
        </w:tc>
        <w:tc>
          <w:tcPr>
            <w:tcW w:w="3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10.8</w:t>
            </w:r>
          </w:p>
        </w:tc>
        <w:tc>
          <w:tcPr>
            <w:tcW w:w="9280" w:type="dxa"/>
            <w:vAlign w:val="bottom"/>
          </w:tcPr>
          <w:p>
            <w:pPr>
              <w:ind w:left="80"/>
              <w:spacing w:after="0"/>
              <w:rPr>
                <w:sz w:val="20"/>
                <w:szCs w:val="20"/>
                <w:color w:val="auto"/>
              </w:rPr>
            </w:pPr>
            <w:r>
              <w:rPr>
                <w:rFonts w:ascii="Arial" w:cs="Arial" w:eastAsia="Arial" w:hAnsi="Arial"/>
                <w:sz w:val="18"/>
                <w:szCs w:val="18"/>
                <w:color w:val="auto"/>
              </w:rPr>
              <w:t>Headings, Schedules and Exhibits</w:t>
            </w:r>
          </w:p>
        </w:tc>
        <w:tc>
          <w:tcPr>
            <w:tcW w:w="3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rPr>
              <w:t>Section 10.9</w:t>
            </w:r>
          </w:p>
        </w:tc>
        <w:tc>
          <w:tcPr>
            <w:tcW w:w="928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3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10.10</w:t>
            </w:r>
          </w:p>
        </w:tc>
        <w:tc>
          <w:tcPr>
            <w:tcW w:w="9280" w:type="dxa"/>
            <w:vAlign w:val="bottom"/>
          </w:tcPr>
          <w:p>
            <w:pPr>
              <w:ind w:left="80"/>
              <w:spacing w:after="0"/>
              <w:rPr>
                <w:sz w:val="20"/>
                <w:szCs w:val="20"/>
                <w:color w:val="auto"/>
              </w:rPr>
            </w:pPr>
            <w:r>
              <w:rPr>
                <w:rFonts w:ascii="Arial" w:cs="Arial" w:eastAsia="Arial" w:hAnsi="Arial"/>
                <w:sz w:val="18"/>
                <w:szCs w:val="18"/>
                <w:color w:val="auto"/>
              </w:rPr>
              <w:t>Preferences</w:t>
            </w:r>
          </w:p>
        </w:tc>
        <w:tc>
          <w:tcPr>
            <w:tcW w:w="3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10.11</w:t>
            </w:r>
          </w:p>
        </w:tc>
        <w:tc>
          <w:tcPr>
            <w:tcW w:w="9280" w:type="dxa"/>
            <w:vAlign w:val="bottom"/>
          </w:tcPr>
          <w:p>
            <w:pPr>
              <w:ind w:left="80"/>
              <w:spacing w:after="0"/>
              <w:rPr>
                <w:sz w:val="20"/>
                <w:szCs w:val="20"/>
                <w:color w:val="auto"/>
              </w:rPr>
            </w:pPr>
            <w:r>
              <w:rPr>
                <w:rFonts w:ascii="Arial" w:cs="Arial" w:eastAsia="Arial" w:hAnsi="Arial"/>
                <w:sz w:val="18"/>
                <w:szCs w:val="18"/>
                <w:color w:val="auto"/>
              </w:rPr>
              <w:t>Waiver of Notice</w:t>
            </w:r>
          </w:p>
        </w:tc>
        <w:tc>
          <w:tcPr>
            <w:tcW w:w="3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10.12</w:t>
            </w:r>
          </w:p>
        </w:tc>
        <w:tc>
          <w:tcPr>
            <w:tcW w:w="9280" w:type="dxa"/>
            <w:vAlign w:val="bottom"/>
          </w:tcPr>
          <w:p>
            <w:pPr>
              <w:ind w:left="80"/>
              <w:spacing w:after="0"/>
              <w:rPr>
                <w:sz w:val="20"/>
                <w:szCs w:val="20"/>
                <w:color w:val="auto"/>
              </w:rPr>
            </w:pPr>
            <w:r>
              <w:rPr>
                <w:rFonts w:ascii="Arial" w:cs="Arial" w:eastAsia="Arial" w:hAnsi="Arial"/>
                <w:sz w:val="18"/>
                <w:szCs w:val="18"/>
                <w:color w:val="auto"/>
              </w:rPr>
              <w:t>Remedies of Borrower</w:t>
            </w:r>
          </w:p>
        </w:tc>
        <w:tc>
          <w:tcPr>
            <w:tcW w:w="3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10.13</w:t>
            </w:r>
          </w:p>
        </w:tc>
        <w:tc>
          <w:tcPr>
            <w:tcW w:w="9280" w:type="dxa"/>
            <w:vAlign w:val="bottom"/>
          </w:tcPr>
          <w:p>
            <w:pPr>
              <w:ind w:left="80"/>
              <w:spacing w:after="0"/>
              <w:rPr>
                <w:sz w:val="20"/>
                <w:szCs w:val="20"/>
                <w:color w:val="auto"/>
              </w:rPr>
            </w:pPr>
            <w:r>
              <w:rPr>
                <w:rFonts w:ascii="Arial" w:cs="Arial" w:eastAsia="Arial" w:hAnsi="Arial"/>
                <w:sz w:val="18"/>
                <w:szCs w:val="18"/>
                <w:color w:val="auto"/>
              </w:rPr>
              <w:t>Offsets, Counterclaims and Defenses</w:t>
            </w:r>
          </w:p>
        </w:tc>
        <w:tc>
          <w:tcPr>
            <w:tcW w:w="3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10.14</w:t>
            </w:r>
          </w:p>
        </w:tc>
        <w:tc>
          <w:tcPr>
            <w:tcW w:w="9280" w:type="dxa"/>
            <w:vAlign w:val="bottom"/>
          </w:tcPr>
          <w:p>
            <w:pPr>
              <w:ind w:left="80"/>
              <w:spacing w:after="0"/>
              <w:rPr>
                <w:sz w:val="20"/>
                <w:szCs w:val="20"/>
                <w:color w:val="auto"/>
              </w:rPr>
            </w:pPr>
            <w:r>
              <w:rPr>
                <w:rFonts w:ascii="Arial" w:cs="Arial" w:eastAsia="Arial" w:hAnsi="Arial"/>
                <w:sz w:val="18"/>
                <w:szCs w:val="18"/>
                <w:color w:val="auto"/>
              </w:rPr>
              <w:t>No Joint Venture or Partnership; No Third Party Beneficiaries</w:t>
            </w:r>
          </w:p>
        </w:tc>
        <w:tc>
          <w:tcPr>
            <w:tcW w:w="3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10.15</w:t>
            </w:r>
          </w:p>
        </w:tc>
        <w:tc>
          <w:tcPr>
            <w:tcW w:w="9280" w:type="dxa"/>
            <w:vAlign w:val="bottom"/>
          </w:tcPr>
          <w:p>
            <w:pPr>
              <w:ind w:left="80"/>
              <w:spacing w:after="0"/>
              <w:rPr>
                <w:sz w:val="20"/>
                <w:szCs w:val="20"/>
                <w:color w:val="auto"/>
              </w:rPr>
            </w:pPr>
            <w:r>
              <w:rPr>
                <w:rFonts w:ascii="Arial" w:cs="Arial" w:eastAsia="Arial" w:hAnsi="Arial"/>
                <w:sz w:val="18"/>
                <w:szCs w:val="18"/>
                <w:color w:val="auto"/>
              </w:rPr>
              <w:t>Publicity</w:t>
            </w:r>
          </w:p>
        </w:tc>
        <w:tc>
          <w:tcPr>
            <w:tcW w:w="3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10.16</w:t>
            </w:r>
          </w:p>
        </w:tc>
        <w:tc>
          <w:tcPr>
            <w:tcW w:w="9280" w:type="dxa"/>
            <w:vAlign w:val="bottom"/>
          </w:tcPr>
          <w:p>
            <w:pPr>
              <w:ind w:left="80"/>
              <w:spacing w:after="0"/>
              <w:rPr>
                <w:sz w:val="20"/>
                <w:szCs w:val="20"/>
                <w:color w:val="auto"/>
              </w:rPr>
            </w:pPr>
            <w:r>
              <w:rPr>
                <w:rFonts w:ascii="Arial" w:cs="Arial" w:eastAsia="Arial" w:hAnsi="Arial"/>
                <w:sz w:val="18"/>
                <w:szCs w:val="18"/>
                <w:color w:val="auto"/>
              </w:rPr>
              <w:t>Waiver of Marshalling of Assets</w:t>
            </w:r>
          </w:p>
        </w:tc>
        <w:tc>
          <w:tcPr>
            <w:tcW w:w="3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10.17</w:t>
            </w:r>
          </w:p>
        </w:tc>
        <w:tc>
          <w:tcPr>
            <w:tcW w:w="9280" w:type="dxa"/>
            <w:vAlign w:val="bottom"/>
          </w:tcPr>
          <w:p>
            <w:pPr>
              <w:ind w:left="80"/>
              <w:spacing w:after="0"/>
              <w:rPr>
                <w:sz w:val="20"/>
                <w:szCs w:val="20"/>
                <w:color w:val="auto"/>
              </w:rPr>
            </w:pPr>
            <w:r>
              <w:rPr>
                <w:rFonts w:ascii="Arial" w:cs="Arial" w:eastAsia="Arial" w:hAnsi="Arial"/>
                <w:sz w:val="18"/>
                <w:szCs w:val="18"/>
                <w:color w:val="auto"/>
              </w:rPr>
              <w:t>Certain Waivers</w:t>
            </w:r>
          </w:p>
        </w:tc>
        <w:tc>
          <w:tcPr>
            <w:tcW w:w="3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10.18</w:t>
            </w:r>
          </w:p>
        </w:tc>
        <w:tc>
          <w:tcPr>
            <w:tcW w:w="9280" w:type="dxa"/>
            <w:vAlign w:val="bottom"/>
          </w:tcPr>
          <w:p>
            <w:pPr>
              <w:ind w:left="80"/>
              <w:spacing w:after="0"/>
              <w:rPr>
                <w:sz w:val="20"/>
                <w:szCs w:val="20"/>
                <w:color w:val="auto"/>
              </w:rPr>
            </w:pPr>
            <w:r>
              <w:rPr>
                <w:rFonts w:ascii="Arial" w:cs="Arial" w:eastAsia="Arial" w:hAnsi="Arial"/>
                <w:sz w:val="18"/>
                <w:szCs w:val="18"/>
                <w:color w:val="auto"/>
              </w:rPr>
              <w:t>Conflict; Construction of Documents; Reliance</w:t>
            </w:r>
          </w:p>
        </w:tc>
        <w:tc>
          <w:tcPr>
            <w:tcW w:w="3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10.19</w:t>
            </w:r>
          </w:p>
        </w:tc>
        <w:tc>
          <w:tcPr>
            <w:tcW w:w="9280" w:type="dxa"/>
            <w:vAlign w:val="bottom"/>
          </w:tcPr>
          <w:p>
            <w:pPr>
              <w:ind w:left="80"/>
              <w:spacing w:after="0"/>
              <w:rPr>
                <w:sz w:val="20"/>
                <w:szCs w:val="20"/>
                <w:color w:val="auto"/>
              </w:rPr>
            </w:pPr>
            <w:r>
              <w:rPr>
                <w:rFonts w:ascii="Arial" w:cs="Arial" w:eastAsia="Arial" w:hAnsi="Arial"/>
                <w:sz w:val="18"/>
                <w:szCs w:val="18"/>
                <w:color w:val="auto"/>
              </w:rPr>
              <w:t>Brokers and Financial Advisors</w:t>
            </w:r>
          </w:p>
        </w:tc>
        <w:tc>
          <w:tcPr>
            <w:tcW w:w="3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10.20</w:t>
            </w:r>
          </w:p>
        </w:tc>
        <w:tc>
          <w:tcPr>
            <w:tcW w:w="9280" w:type="dxa"/>
            <w:vAlign w:val="bottom"/>
          </w:tcPr>
          <w:p>
            <w:pPr>
              <w:ind w:left="80"/>
              <w:spacing w:after="0"/>
              <w:rPr>
                <w:sz w:val="20"/>
                <w:szCs w:val="20"/>
                <w:color w:val="auto"/>
              </w:rPr>
            </w:pPr>
            <w:r>
              <w:rPr>
                <w:rFonts w:ascii="Arial" w:cs="Arial" w:eastAsia="Arial" w:hAnsi="Arial"/>
                <w:sz w:val="18"/>
                <w:szCs w:val="18"/>
                <w:color w:val="auto"/>
              </w:rPr>
              <w:t>Prior Agreements</w:t>
            </w:r>
          </w:p>
        </w:tc>
        <w:tc>
          <w:tcPr>
            <w:tcW w:w="3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10.21</w:t>
            </w:r>
          </w:p>
        </w:tc>
        <w:tc>
          <w:tcPr>
            <w:tcW w:w="9280" w:type="dxa"/>
            <w:vAlign w:val="bottom"/>
          </w:tcPr>
          <w:p>
            <w:pPr>
              <w:ind w:left="80"/>
              <w:spacing w:after="0"/>
              <w:rPr>
                <w:sz w:val="20"/>
                <w:szCs w:val="20"/>
                <w:color w:val="auto"/>
              </w:rPr>
            </w:pPr>
            <w:r>
              <w:rPr>
                <w:rFonts w:ascii="Arial" w:cs="Arial" w:eastAsia="Arial" w:hAnsi="Arial"/>
                <w:sz w:val="18"/>
                <w:szCs w:val="18"/>
                <w:color w:val="auto"/>
              </w:rPr>
              <w:t>Servicer</w:t>
            </w:r>
          </w:p>
        </w:tc>
        <w:tc>
          <w:tcPr>
            <w:tcW w:w="3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10.22</w:t>
            </w:r>
          </w:p>
        </w:tc>
        <w:tc>
          <w:tcPr>
            <w:tcW w:w="9280" w:type="dxa"/>
            <w:vAlign w:val="bottom"/>
          </w:tcPr>
          <w:p>
            <w:pPr>
              <w:ind w:left="80"/>
              <w:spacing w:after="0"/>
              <w:rPr>
                <w:sz w:val="20"/>
                <w:szCs w:val="20"/>
                <w:color w:val="auto"/>
              </w:rPr>
            </w:pPr>
            <w:r>
              <w:rPr>
                <w:rFonts w:ascii="Arial" w:cs="Arial" w:eastAsia="Arial" w:hAnsi="Arial"/>
                <w:sz w:val="18"/>
                <w:szCs w:val="18"/>
                <w:color w:val="auto"/>
              </w:rPr>
              <w:t>Joint and Several Liability</w:t>
            </w:r>
          </w:p>
        </w:tc>
        <w:tc>
          <w:tcPr>
            <w:tcW w:w="3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10.23</w:t>
            </w:r>
          </w:p>
        </w:tc>
        <w:tc>
          <w:tcPr>
            <w:tcW w:w="9280" w:type="dxa"/>
            <w:vAlign w:val="bottom"/>
          </w:tcPr>
          <w:p>
            <w:pPr>
              <w:ind w:left="80"/>
              <w:spacing w:after="0"/>
              <w:rPr>
                <w:sz w:val="20"/>
                <w:szCs w:val="20"/>
                <w:color w:val="auto"/>
              </w:rPr>
            </w:pPr>
            <w:r>
              <w:rPr>
                <w:rFonts w:ascii="Arial" w:cs="Arial" w:eastAsia="Arial" w:hAnsi="Arial"/>
                <w:sz w:val="18"/>
                <w:szCs w:val="18"/>
                <w:color w:val="auto"/>
              </w:rPr>
              <w:t>Creation of Security Interest</w:t>
            </w:r>
          </w:p>
        </w:tc>
        <w:tc>
          <w:tcPr>
            <w:tcW w:w="3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1600" w:type="dxa"/>
            <w:vAlign w:val="bottom"/>
          </w:tcPr>
          <w:p>
            <w:pPr>
              <w:ind w:left="520"/>
              <w:spacing w:after="0"/>
              <w:rPr>
                <w:sz w:val="20"/>
                <w:szCs w:val="20"/>
                <w:color w:val="auto"/>
              </w:rPr>
            </w:pPr>
            <w:r>
              <w:rPr>
                <w:rFonts w:ascii="Arial" w:cs="Arial" w:eastAsia="Arial" w:hAnsi="Arial"/>
                <w:sz w:val="18"/>
                <w:szCs w:val="18"/>
                <w:color w:val="auto"/>
                <w:w w:val="96"/>
              </w:rPr>
              <w:t>Section 10.24</w:t>
            </w:r>
          </w:p>
        </w:tc>
        <w:tc>
          <w:tcPr>
            <w:tcW w:w="9280" w:type="dxa"/>
            <w:vAlign w:val="bottom"/>
          </w:tcPr>
          <w:p>
            <w:pPr>
              <w:ind w:left="80"/>
              <w:spacing w:after="0"/>
              <w:rPr>
                <w:sz w:val="20"/>
                <w:szCs w:val="20"/>
                <w:color w:val="auto"/>
              </w:rPr>
            </w:pPr>
            <w:r>
              <w:rPr>
                <w:rFonts w:ascii="Arial" w:cs="Arial" w:eastAsia="Arial" w:hAnsi="Arial"/>
                <w:sz w:val="18"/>
                <w:szCs w:val="18"/>
                <w:color w:val="auto"/>
              </w:rPr>
              <w:t>Regulatory Change; Taxes</w:t>
            </w:r>
          </w:p>
        </w:tc>
        <w:tc>
          <w:tcPr>
            <w:tcW w:w="36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r>
      <w:tr>
        <w:trPr>
          <w:trHeight w:val="411"/>
        </w:trPr>
        <w:tc>
          <w:tcPr>
            <w:tcW w:w="1120" w:type="dxa"/>
            <w:vAlign w:val="bottom"/>
          </w:tcPr>
          <w:p>
            <w:pPr>
              <w:ind w:left="520"/>
              <w:spacing w:after="0"/>
              <w:rPr>
                <w:sz w:val="20"/>
                <w:szCs w:val="20"/>
                <w:color w:val="auto"/>
              </w:rPr>
            </w:pPr>
            <w:r>
              <w:rPr>
                <w:rFonts w:ascii="Arial" w:cs="Arial" w:eastAsia="Arial" w:hAnsi="Arial"/>
                <w:sz w:val="18"/>
                <w:szCs w:val="18"/>
                <w:color w:val="auto"/>
                <w:w w:val="96"/>
              </w:rPr>
              <w:t>10.24.1</w:t>
            </w:r>
          </w:p>
        </w:tc>
        <w:tc>
          <w:tcPr>
            <w:tcW w:w="9240" w:type="dxa"/>
            <w:vAlign w:val="bottom"/>
          </w:tcPr>
          <w:p>
            <w:pPr>
              <w:ind w:left="40"/>
              <w:spacing w:after="0"/>
              <w:rPr>
                <w:sz w:val="20"/>
                <w:szCs w:val="20"/>
                <w:color w:val="auto"/>
              </w:rPr>
            </w:pPr>
            <w:r>
              <w:rPr>
                <w:rFonts w:ascii="Arial" w:cs="Arial" w:eastAsia="Arial" w:hAnsi="Arial"/>
                <w:sz w:val="18"/>
                <w:szCs w:val="18"/>
                <w:color w:val="auto"/>
              </w:rPr>
              <w:t>Increased Costs</w:t>
            </w:r>
          </w:p>
        </w:tc>
        <w:tc>
          <w:tcPr>
            <w:tcW w:w="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120" w:type="dxa"/>
            <w:vAlign w:val="bottom"/>
          </w:tcPr>
          <w:p>
            <w:pPr>
              <w:ind w:left="520"/>
              <w:spacing w:after="0"/>
              <w:rPr>
                <w:sz w:val="20"/>
                <w:szCs w:val="20"/>
                <w:color w:val="auto"/>
              </w:rPr>
            </w:pPr>
            <w:r>
              <w:rPr>
                <w:rFonts w:ascii="Arial" w:cs="Arial" w:eastAsia="Arial" w:hAnsi="Arial"/>
                <w:sz w:val="18"/>
                <w:szCs w:val="18"/>
                <w:color w:val="auto"/>
                <w:w w:val="96"/>
              </w:rPr>
              <w:t>10.24.2</w:t>
            </w:r>
          </w:p>
        </w:tc>
        <w:tc>
          <w:tcPr>
            <w:tcW w:w="9240" w:type="dxa"/>
            <w:vAlign w:val="bottom"/>
          </w:tcPr>
          <w:p>
            <w:pPr>
              <w:ind w:left="40"/>
              <w:spacing w:after="0"/>
              <w:rPr>
                <w:sz w:val="20"/>
                <w:szCs w:val="20"/>
                <w:color w:val="auto"/>
              </w:rPr>
            </w:pPr>
            <w:r>
              <w:rPr>
                <w:rFonts w:ascii="Arial" w:cs="Arial" w:eastAsia="Arial" w:hAnsi="Arial"/>
                <w:sz w:val="18"/>
                <w:szCs w:val="18"/>
                <w:color w:val="auto"/>
              </w:rPr>
              <w:t>Special Taxes</w:t>
            </w:r>
          </w:p>
        </w:tc>
        <w:tc>
          <w:tcPr>
            <w:tcW w:w="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120" w:type="dxa"/>
            <w:vAlign w:val="bottom"/>
          </w:tcPr>
          <w:p>
            <w:pPr>
              <w:ind w:left="520"/>
              <w:spacing w:after="0"/>
              <w:rPr>
                <w:sz w:val="20"/>
                <w:szCs w:val="20"/>
                <w:color w:val="auto"/>
              </w:rPr>
            </w:pPr>
            <w:r>
              <w:rPr>
                <w:rFonts w:ascii="Arial" w:cs="Arial" w:eastAsia="Arial" w:hAnsi="Arial"/>
                <w:sz w:val="18"/>
                <w:szCs w:val="18"/>
                <w:color w:val="auto"/>
                <w:w w:val="96"/>
              </w:rPr>
              <w:t>10.24.3</w:t>
            </w:r>
          </w:p>
        </w:tc>
        <w:tc>
          <w:tcPr>
            <w:tcW w:w="9240" w:type="dxa"/>
            <w:vAlign w:val="bottom"/>
          </w:tcPr>
          <w:p>
            <w:pPr>
              <w:ind w:left="40"/>
              <w:spacing w:after="0"/>
              <w:rPr>
                <w:sz w:val="20"/>
                <w:szCs w:val="20"/>
                <w:color w:val="auto"/>
              </w:rPr>
            </w:pPr>
            <w:r>
              <w:rPr>
                <w:rFonts w:ascii="Arial" w:cs="Arial" w:eastAsia="Arial" w:hAnsi="Arial"/>
                <w:sz w:val="18"/>
                <w:szCs w:val="18"/>
                <w:color w:val="auto"/>
              </w:rPr>
              <w:t>Other Taxes</w:t>
            </w:r>
          </w:p>
        </w:tc>
        <w:tc>
          <w:tcPr>
            <w:tcW w:w="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10.25</w:t>
            </w:r>
          </w:p>
        </w:tc>
        <w:tc>
          <w:tcPr>
            <w:tcW w:w="9240" w:type="dxa"/>
            <w:vAlign w:val="bottom"/>
          </w:tcPr>
          <w:p>
            <w:pPr>
              <w:ind w:left="40"/>
              <w:spacing w:after="0"/>
              <w:rPr>
                <w:sz w:val="20"/>
                <w:szCs w:val="20"/>
                <w:color w:val="auto"/>
              </w:rPr>
            </w:pPr>
            <w:r>
              <w:rPr>
                <w:rFonts w:ascii="Arial" w:cs="Arial" w:eastAsia="Arial" w:hAnsi="Arial"/>
                <w:sz w:val="18"/>
                <w:szCs w:val="18"/>
                <w:color w:val="auto"/>
              </w:rPr>
              <w:t>Assignments and Participations</w:t>
            </w:r>
          </w:p>
        </w:tc>
        <w:tc>
          <w:tcPr>
            <w:tcW w:w="3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10.26</w:t>
            </w:r>
          </w:p>
        </w:tc>
        <w:tc>
          <w:tcPr>
            <w:tcW w:w="9240" w:type="dxa"/>
            <w:vAlign w:val="bottom"/>
          </w:tcPr>
          <w:p>
            <w:pPr>
              <w:ind w:left="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3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10.27</w:t>
            </w:r>
          </w:p>
        </w:tc>
        <w:tc>
          <w:tcPr>
            <w:tcW w:w="9240" w:type="dxa"/>
            <w:vAlign w:val="bottom"/>
          </w:tcPr>
          <w:p>
            <w:pPr>
              <w:ind w:left="40"/>
              <w:spacing w:after="0"/>
              <w:rPr>
                <w:sz w:val="20"/>
                <w:szCs w:val="20"/>
                <w:color w:val="auto"/>
              </w:rPr>
            </w:pPr>
            <w:r>
              <w:rPr>
                <w:rFonts w:ascii="Arial" w:cs="Arial" w:eastAsia="Arial" w:hAnsi="Arial"/>
                <w:sz w:val="18"/>
                <w:szCs w:val="18"/>
                <w:color w:val="auto"/>
              </w:rPr>
              <w:t>Appraisals</w:t>
            </w:r>
          </w:p>
        </w:tc>
        <w:tc>
          <w:tcPr>
            <w:tcW w:w="3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10.28</w:t>
            </w:r>
          </w:p>
        </w:tc>
        <w:tc>
          <w:tcPr>
            <w:tcW w:w="92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3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9"/>
              </w:rPr>
              <w:t>Section 10.29</w:t>
            </w:r>
          </w:p>
        </w:tc>
        <w:tc>
          <w:tcPr>
            <w:tcW w:w="9240" w:type="dxa"/>
            <w:vAlign w:val="bottom"/>
          </w:tcPr>
          <w:p>
            <w:pPr>
              <w:ind w:left="40"/>
              <w:spacing w:after="0"/>
              <w:rPr>
                <w:sz w:val="20"/>
                <w:szCs w:val="20"/>
                <w:color w:val="auto"/>
              </w:rPr>
            </w:pPr>
            <w:r>
              <w:rPr>
                <w:rFonts w:ascii="Arial" w:cs="Arial" w:eastAsia="Arial" w:hAnsi="Arial"/>
                <w:sz w:val="18"/>
                <w:szCs w:val="18"/>
                <w:color w:val="auto"/>
              </w:rPr>
              <w:t>Set-Off</w:t>
            </w:r>
          </w:p>
        </w:tc>
        <w:tc>
          <w:tcPr>
            <w:tcW w:w="360" w:type="dxa"/>
            <w:vAlign w:val="bottom"/>
          </w:tcPr>
          <w:p>
            <w:pPr>
              <w:jc w:val="right"/>
              <w:spacing w:after="0"/>
              <w:rPr>
                <w:sz w:val="20"/>
                <w:szCs w:val="20"/>
                <w:color w:val="auto"/>
              </w:rPr>
            </w:pPr>
            <w:r>
              <w:rPr>
                <w:rFonts w:ascii="Arial" w:cs="Arial" w:eastAsia="Arial" w:hAnsi="Arial"/>
                <w:sz w:val="18"/>
                <w:szCs w:val="18"/>
                <w:color w:val="auto"/>
              </w:rPr>
              <w:t>132</w:t>
            </w:r>
          </w:p>
        </w:tc>
      </w:tr>
    </w:tbl>
    <w:p>
      <w:pPr>
        <w:spacing w:after="0" w:line="200" w:lineRule="exact"/>
        <w:rPr>
          <w:sz w:val="20"/>
          <w:szCs w:val="20"/>
          <w:color w:val="auto"/>
        </w:rPr>
      </w:pPr>
    </w:p>
    <w:p>
      <w:pPr>
        <w:spacing w:after="0" w:line="20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48895</wp:posOffset>
            </wp:positionV>
            <wp:extent cx="713232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368" w:right="3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t>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Schedule I</w:t>
            </w:r>
          </w:p>
        </w:tc>
        <w:tc>
          <w:tcPr>
            <w:tcW w:w="9880" w:type="dxa"/>
            <w:vAlign w:val="bottom"/>
          </w:tcPr>
          <w:p>
            <w:pPr>
              <w:ind w:left="340"/>
              <w:spacing w:after="0"/>
              <w:rPr>
                <w:sz w:val="20"/>
                <w:szCs w:val="20"/>
                <w:color w:val="auto"/>
              </w:rPr>
            </w:pPr>
            <w:r>
              <w:rPr>
                <w:rFonts w:ascii="Arial" w:cs="Arial" w:eastAsia="Arial" w:hAnsi="Arial"/>
                <w:sz w:val="18"/>
                <w:szCs w:val="18"/>
                <w:color w:val="auto"/>
              </w:rPr>
              <w:t>Rent Roll</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II</w:t>
            </w:r>
          </w:p>
        </w:tc>
        <w:tc>
          <w:tcPr>
            <w:tcW w:w="9880" w:type="dxa"/>
            <w:vAlign w:val="bottom"/>
          </w:tcPr>
          <w:p>
            <w:pPr>
              <w:ind w:left="340"/>
              <w:spacing w:after="0"/>
              <w:rPr>
                <w:sz w:val="20"/>
                <w:szCs w:val="20"/>
                <w:color w:val="auto"/>
              </w:rPr>
            </w:pPr>
            <w:r>
              <w:rPr>
                <w:rFonts w:ascii="Arial" w:cs="Arial" w:eastAsia="Arial" w:hAnsi="Arial"/>
                <w:sz w:val="18"/>
                <w:szCs w:val="18"/>
                <w:color w:val="auto"/>
              </w:rPr>
              <w:t>Required Repairs</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III</w:t>
            </w:r>
          </w:p>
        </w:tc>
        <w:tc>
          <w:tcPr>
            <w:tcW w:w="9880" w:type="dxa"/>
            <w:vAlign w:val="bottom"/>
          </w:tcPr>
          <w:p>
            <w:pPr>
              <w:ind w:left="340"/>
              <w:spacing w:after="0"/>
              <w:rPr>
                <w:sz w:val="20"/>
                <w:szCs w:val="20"/>
                <w:color w:val="auto"/>
              </w:rPr>
            </w:pPr>
            <w:r>
              <w:rPr>
                <w:rFonts w:ascii="Arial" w:cs="Arial" w:eastAsia="Arial" w:hAnsi="Arial"/>
                <w:sz w:val="18"/>
                <w:szCs w:val="18"/>
                <w:color w:val="auto"/>
              </w:rPr>
              <w:t>Organization of Borrower</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IV</w:t>
            </w:r>
          </w:p>
        </w:tc>
        <w:tc>
          <w:tcPr>
            <w:tcW w:w="9880" w:type="dxa"/>
            <w:vAlign w:val="bottom"/>
          </w:tcPr>
          <w:p>
            <w:pPr>
              <w:ind w:left="340"/>
              <w:spacing w:after="0"/>
              <w:rPr>
                <w:sz w:val="20"/>
                <w:szCs w:val="20"/>
                <w:color w:val="auto"/>
              </w:rPr>
            </w:pPr>
            <w:r>
              <w:rPr>
                <w:rFonts w:ascii="Arial" w:cs="Arial" w:eastAsia="Arial" w:hAnsi="Arial"/>
                <w:sz w:val="18"/>
                <w:szCs w:val="18"/>
                <w:color w:val="auto"/>
              </w:rPr>
              <w:t>Exceptions to Representations and Warranties</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V</w:t>
            </w:r>
          </w:p>
        </w:tc>
        <w:tc>
          <w:tcPr>
            <w:tcW w:w="9880" w:type="dxa"/>
            <w:vAlign w:val="bottom"/>
          </w:tcPr>
          <w:p>
            <w:pPr>
              <w:ind w:left="340"/>
              <w:spacing w:after="0"/>
              <w:rPr>
                <w:sz w:val="20"/>
                <w:szCs w:val="20"/>
                <w:color w:val="auto"/>
              </w:rPr>
            </w:pPr>
            <w:r>
              <w:rPr>
                <w:rFonts w:ascii="Arial" w:cs="Arial" w:eastAsia="Arial" w:hAnsi="Arial"/>
                <w:sz w:val="18"/>
                <w:szCs w:val="18"/>
                <w:color w:val="auto"/>
              </w:rPr>
              <w:t>Definition of Special Purpose Bankruptcy Remote Entity</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VI</w:t>
            </w:r>
          </w:p>
        </w:tc>
        <w:tc>
          <w:tcPr>
            <w:tcW w:w="9880" w:type="dxa"/>
            <w:vAlign w:val="bottom"/>
          </w:tcPr>
          <w:p>
            <w:pPr>
              <w:ind w:left="340"/>
              <w:spacing w:after="0"/>
              <w:rPr>
                <w:sz w:val="20"/>
                <w:szCs w:val="20"/>
                <w:color w:val="auto"/>
              </w:rPr>
            </w:pPr>
            <w:r>
              <w:rPr>
                <w:rFonts w:ascii="Arial" w:cs="Arial" w:eastAsia="Arial" w:hAnsi="Arial"/>
                <w:sz w:val="18"/>
                <w:szCs w:val="18"/>
                <w:color w:val="auto"/>
              </w:rPr>
              <w:t>Intellectual Property/Websites</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VII</w:t>
            </w:r>
          </w:p>
        </w:tc>
        <w:tc>
          <w:tcPr>
            <w:tcW w:w="9880" w:type="dxa"/>
            <w:vAlign w:val="bottom"/>
          </w:tcPr>
          <w:p>
            <w:pPr>
              <w:ind w:left="340"/>
              <w:spacing w:after="0"/>
              <w:rPr>
                <w:sz w:val="20"/>
                <w:szCs w:val="20"/>
                <w:color w:val="auto"/>
              </w:rPr>
            </w:pPr>
            <w:r>
              <w:rPr>
                <w:rFonts w:ascii="Arial" w:cs="Arial" w:eastAsia="Arial" w:hAnsi="Arial"/>
                <w:sz w:val="18"/>
                <w:szCs w:val="18"/>
                <w:color w:val="auto"/>
              </w:rPr>
              <w:t>REA</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VIII</w:t>
            </w:r>
          </w:p>
        </w:tc>
        <w:tc>
          <w:tcPr>
            <w:tcW w:w="9880" w:type="dxa"/>
            <w:vAlign w:val="bottom"/>
          </w:tcPr>
          <w:p>
            <w:pPr>
              <w:ind w:left="340"/>
              <w:spacing w:after="0"/>
              <w:rPr>
                <w:sz w:val="20"/>
                <w:szCs w:val="20"/>
                <w:color w:val="auto"/>
              </w:rPr>
            </w:pPr>
            <w:r>
              <w:rPr>
                <w:rFonts w:ascii="Arial" w:cs="Arial" w:eastAsia="Arial" w:hAnsi="Arial"/>
                <w:sz w:val="18"/>
                <w:szCs w:val="18"/>
                <w:color w:val="auto"/>
              </w:rPr>
              <w:t>Description of Ground Lease</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IX</w:t>
            </w:r>
          </w:p>
        </w:tc>
        <w:tc>
          <w:tcPr>
            <w:tcW w:w="9880" w:type="dxa"/>
            <w:vAlign w:val="bottom"/>
          </w:tcPr>
          <w:p>
            <w:pPr>
              <w:ind w:left="340"/>
              <w:spacing w:after="0"/>
              <w:rPr>
                <w:sz w:val="20"/>
                <w:szCs w:val="20"/>
                <w:color w:val="auto"/>
              </w:rPr>
            </w:pPr>
            <w:r>
              <w:rPr>
                <w:rFonts w:ascii="Arial" w:cs="Arial" w:eastAsia="Arial" w:hAnsi="Arial"/>
                <w:sz w:val="18"/>
                <w:szCs w:val="18"/>
                <w:color w:val="auto"/>
              </w:rPr>
              <w:t>Intentionally Omitted</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X</w:t>
            </w:r>
          </w:p>
        </w:tc>
        <w:tc>
          <w:tcPr>
            <w:tcW w:w="9880" w:type="dxa"/>
            <w:vAlign w:val="bottom"/>
          </w:tcPr>
          <w:p>
            <w:pPr>
              <w:ind w:left="340"/>
              <w:spacing w:after="0"/>
              <w:rPr>
                <w:sz w:val="20"/>
                <w:szCs w:val="20"/>
                <w:color w:val="auto"/>
              </w:rPr>
            </w:pPr>
            <w:r>
              <w:rPr>
                <w:rFonts w:ascii="Arial" w:cs="Arial" w:eastAsia="Arial" w:hAnsi="Arial"/>
                <w:sz w:val="18"/>
                <w:szCs w:val="18"/>
                <w:color w:val="auto"/>
              </w:rPr>
              <w:t>Scheduled Capital Expenditures</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XI</w:t>
            </w:r>
          </w:p>
        </w:tc>
        <w:tc>
          <w:tcPr>
            <w:tcW w:w="9880" w:type="dxa"/>
            <w:vAlign w:val="bottom"/>
          </w:tcPr>
          <w:p>
            <w:pPr>
              <w:ind w:left="340"/>
              <w:spacing w:after="0"/>
              <w:rPr>
                <w:sz w:val="20"/>
                <w:szCs w:val="20"/>
                <w:color w:val="auto"/>
              </w:rPr>
            </w:pPr>
            <w:r>
              <w:rPr>
                <w:rFonts w:ascii="Arial" w:cs="Arial" w:eastAsia="Arial" w:hAnsi="Arial"/>
                <w:sz w:val="18"/>
                <w:szCs w:val="18"/>
                <w:color w:val="auto"/>
              </w:rPr>
              <w:t>Plans and Specifications for Scheduled Capital Expenditures Work</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XII</w:t>
            </w:r>
          </w:p>
        </w:tc>
        <w:tc>
          <w:tcPr>
            <w:tcW w:w="9880" w:type="dxa"/>
            <w:vAlign w:val="bottom"/>
          </w:tcPr>
          <w:p>
            <w:pPr>
              <w:ind w:left="340"/>
              <w:spacing w:after="0"/>
              <w:rPr>
                <w:sz w:val="20"/>
                <w:szCs w:val="20"/>
                <w:color w:val="auto"/>
              </w:rPr>
            </w:pPr>
            <w:r>
              <w:rPr>
                <w:rFonts w:ascii="Arial" w:cs="Arial" w:eastAsia="Arial" w:hAnsi="Arial"/>
                <w:sz w:val="18"/>
                <w:szCs w:val="18"/>
                <w:color w:val="auto"/>
              </w:rPr>
              <w:t>Specified Equipment</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Schedule XIII</w:t>
            </w:r>
          </w:p>
        </w:tc>
        <w:tc>
          <w:tcPr>
            <w:tcW w:w="9880" w:type="dxa"/>
            <w:vAlign w:val="bottom"/>
          </w:tcPr>
          <w:p>
            <w:pPr>
              <w:ind w:left="340"/>
              <w:spacing w:after="0"/>
              <w:rPr>
                <w:sz w:val="20"/>
                <w:szCs w:val="20"/>
                <w:color w:val="auto"/>
              </w:rPr>
            </w:pPr>
            <w:r>
              <w:rPr>
                <w:rFonts w:ascii="Arial" w:cs="Arial" w:eastAsia="Arial" w:hAnsi="Arial"/>
                <w:sz w:val="18"/>
                <w:szCs w:val="18"/>
                <w:color w:val="auto"/>
              </w:rPr>
              <w:t>Additional Operations Agreements</w:t>
            </w:r>
          </w:p>
        </w:tc>
      </w:tr>
      <w:tr>
        <w:trPr>
          <w:trHeight w:val="391"/>
        </w:trPr>
        <w:tc>
          <w:tcPr>
            <w:tcW w:w="136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988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453"/>
        </w:trPr>
        <w:tc>
          <w:tcPr>
            <w:tcW w:w="136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880" w:type="dxa"/>
            <w:vAlign w:val="bottom"/>
          </w:tcPr>
          <w:p>
            <w:pPr>
              <w:ind w:left="340"/>
              <w:spacing w:after="0"/>
              <w:rPr>
                <w:sz w:val="20"/>
                <w:szCs w:val="20"/>
                <w:color w:val="auto"/>
              </w:rPr>
            </w:pPr>
            <w:r>
              <w:rPr>
                <w:rFonts w:ascii="Arial" w:cs="Arial" w:eastAsia="Arial" w:hAnsi="Arial"/>
                <w:sz w:val="18"/>
                <w:szCs w:val="18"/>
                <w:color w:val="auto"/>
              </w:rPr>
              <w:t>Legal Description</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880" w:type="dxa"/>
            <w:vAlign w:val="bottom"/>
          </w:tcPr>
          <w:p>
            <w:pPr>
              <w:ind w:left="340"/>
              <w:spacing w:after="0"/>
              <w:rPr>
                <w:sz w:val="20"/>
                <w:szCs w:val="20"/>
                <w:color w:val="auto"/>
              </w:rPr>
            </w:pPr>
            <w:r>
              <w:rPr>
                <w:rFonts w:ascii="Arial" w:cs="Arial" w:eastAsia="Arial" w:hAnsi="Arial"/>
                <w:sz w:val="18"/>
                <w:szCs w:val="18"/>
                <w:color w:val="auto"/>
              </w:rPr>
              <w:t>Secondary Market Transaction Information</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9880" w:type="dxa"/>
            <w:vAlign w:val="bottom"/>
          </w:tcPr>
          <w:p>
            <w:pPr>
              <w:ind w:left="340"/>
              <w:spacing w:after="0"/>
              <w:rPr>
                <w:sz w:val="20"/>
                <w:szCs w:val="20"/>
                <w:color w:val="auto"/>
              </w:rPr>
            </w:pPr>
            <w:r>
              <w:rPr>
                <w:rFonts w:ascii="Arial" w:cs="Arial" w:eastAsia="Arial" w:hAnsi="Arial"/>
                <w:sz w:val="18"/>
                <w:szCs w:val="18"/>
                <w:color w:val="auto"/>
              </w:rPr>
              <w:t>Form of Additional Access Easement Agreement</w:t>
            </w:r>
          </w:p>
        </w:tc>
      </w:tr>
      <w:tr>
        <w:trPr>
          <w:trHeight w:val="634"/>
        </w:trPr>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80" w:type="dxa"/>
            <w:vAlign w:val="bottom"/>
          </w:tcPr>
          <w:p>
            <w:pPr>
              <w:ind w:left="4140"/>
              <w:spacing w:after="0"/>
              <w:rPr>
                <w:sz w:val="20"/>
                <w:szCs w:val="20"/>
                <w:color w:val="auto"/>
              </w:rPr>
            </w:pPr>
            <w:r>
              <w:rPr>
                <w:rFonts w:ascii="Arial" w:cs="Arial" w:eastAsia="Arial" w:hAnsi="Arial"/>
                <w:sz w:val="18"/>
                <w:szCs w:val="18"/>
                <w:color w:val="auto"/>
              </w:rPr>
              <w:t>vii</w:t>
            </w:r>
          </w:p>
        </w:tc>
      </w:tr>
      <w:tr>
        <w:trPr>
          <w:trHeight w:val="61"/>
        </w:trPr>
        <w:tc>
          <w:tcPr>
            <w:tcW w:w="6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8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LOAN AGREEMENT</w:t>
      </w:r>
      <w:r>
        <w:rPr>
          <w:rFonts w:ascii="Arial" w:cs="Arial" w:eastAsia="Arial" w:hAnsi="Arial"/>
          <w:sz w:val="18"/>
          <w:szCs w:val="18"/>
          <w:color w:val="auto"/>
        </w:rPr>
        <w:t>, dated as of July 28, 2021 (as amended, restated, replaced, supplemented or otherwise modified from time to time,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DBR INVESTMENTS CO. LIMITED</w:t>
      </w:r>
      <w:r>
        <w:rPr>
          <w:rFonts w:ascii="Arial" w:cs="Arial" w:eastAsia="Arial" w:hAnsi="Arial"/>
          <w:sz w:val="18"/>
          <w:szCs w:val="18"/>
          <w:color w:val="auto"/>
        </w:rPr>
        <w:t>, a Cayman Islands corporation, having an address at 60 Wall Street, 10th Floor, New York, New York 10005 (together with its successors and assigns, collectively,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xml:space="preserve">”), and </w:t>
      </w:r>
      <w:r>
        <w:rPr>
          <w:rFonts w:ascii="Arial" w:cs="Arial" w:eastAsia="Arial" w:hAnsi="Arial"/>
          <w:sz w:val="18"/>
          <w:szCs w:val="18"/>
          <w:b w:val="1"/>
          <w:bCs w:val="1"/>
          <w:color w:val="auto"/>
        </w:rPr>
        <w:t>NOVONIX 1029, LLC</w:t>
      </w:r>
      <w:r>
        <w:rPr>
          <w:rFonts w:ascii="Arial" w:cs="Arial" w:eastAsia="Arial" w:hAnsi="Arial"/>
          <w:sz w:val="18"/>
          <w:szCs w:val="18"/>
          <w:color w:val="auto"/>
        </w:rPr>
        <w:t>, a Delaware limited liability company, having an address at 353 Corporate Place, Chattanooga, Tennessee 37419 (together with its permitted successors and assigns, collectively,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terms used herein shall have the respective meanings set forth in Article 1 hereof.</w:t>
      </w:r>
    </w:p>
    <w:p>
      <w:pPr>
        <w:spacing w:after="0" w:line="22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W I T N E S S E T H :</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Borrower desires to obtain the Loan from Lender; and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Lender is willing to make the Loan to Borrower, subject to and in accordance with the terms and conditions of this Agreement and the other Loan Documents.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covenants set forth in this Agreement, and other good and valuable consideration, the receipt and sufficiency of which are hereby acknowledged, the parties hereto hereby agree, represent and warrant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PRINCIPLES OF CONSTRUCTION</w:t>
      </w:r>
    </w:p>
    <w:p>
      <w:pPr>
        <w:spacing w:after="0" w:line="22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u w:val="single" w:color="auto"/>
          <w:color w:val="auto"/>
        </w:rPr>
        <w:t>Specific Definitions</w:t>
      </w:r>
      <w:r>
        <w:rPr>
          <w:rFonts w:ascii="Arial" w:cs="Arial" w:eastAsia="Arial" w:hAnsi="Arial"/>
          <w:sz w:val="15"/>
          <w:szCs w:val="15"/>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Agreement, except as otherwise expressly provided: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Acceptable Accounting Method</w:t>
      </w:r>
      <w:r>
        <w:rPr>
          <w:rFonts w:ascii="Arial" w:cs="Arial" w:eastAsia="Arial" w:hAnsi="Arial"/>
          <w:sz w:val="18"/>
          <w:szCs w:val="18"/>
          <w:color w:val="auto"/>
        </w:rPr>
        <w:t>” shall mean either (a) GAAP, (b) tax basis accounting (c) cash basis accounting, (d) IFRS, or (e) such other method of accounting as shall be expressly approved by Lender in writing, in each case so long as the same is and remains in general use by significant segments of the United States accounting profession and is consistently applied throughout the Term (both as to the application of the rules governing such accounting method and the choice of which accounting method to apply) and provided further than in each case such accounting method is consistently applied with respect to the applicable financial statements and reporting required under the Loan Documents. As of the date hereof, Borrower has elected IFRS in accordance with the foregoing.</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Acceptable Additional Guarantor</w:t>
      </w:r>
      <w:r>
        <w:rPr>
          <w:rFonts w:ascii="Arial" w:cs="Arial" w:eastAsia="Arial" w:hAnsi="Arial"/>
          <w:sz w:val="17"/>
          <w:szCs w:val="17"/>
          <w:color w:val="auto"/>
        </w:rPr>
        <w:t>” means an additional guarantor who satisfies the conditions of an Approved Replacement Guarantor, when considered together with Guarantor. For the avoidance of doubt, the addition of such additional guarantor pursuant to the terms and conditions hereof shall be deemed to be the “applicable Transfer” for purposes of clause (v) of the definition of Approved Replacement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2" w:name="page283"/>
    <w:bookmarkEnd w:id="282"/>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Acceptable Additional Guarantor Information</w:t>
      </w:r>
      <w:r>
        <w:rPr>
          <w:rFonts w:ascii="Arial" w:cs="Arial" w:eastAsia="Arial" w:hAnsi="Arial"/>
          <w:sz w:val="16"/>
          <w:szCs w:val="16"/>
          <w:color w:val="auto"/>
        </w:rPr>
        <w:t>” shall mean, with respect to the applicable proposed Acceptable Additional Guarantor, (i) the legal name, contact information and state of formation/incorporation of such proposed Acceptable Additional Guarantor, as applicable, (ii) unaudited financial statements, balance sheets and statement of profits and loss of such proposed Acceptable Additional Guarantor (or such other comparable financial statements as reasonably acceptable to Lender) certified as true and correct in all material respects as of the date thereof by an officer of such proposed Acceptable Additional Guarantor and (iii) such other information and/or materials as Lender may request in its reasonable discretion.</w:t>
      </w:r>
    </w:p>
    <w:p>
      <w:pPr>
        <w:spacing w:after="0" w:line="16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shall mean, as to any Person, any other Person that (i) owns directly or indirectly ten percent (10%) or more of all equity interests in such Person, and/or (ii) is in Control of, is Controlled by or is under common ownership or Control with such Person, and/or (iii) is a director or officer of such Person or of an Affiliate of such Person, and/or (iv) is the spouse, issue or parent of such Person or of an Affiliate of such Person.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ALTA</w:t>
      </w:r>
      <w:r>
        <w:rPr>
          <w:rFonts w:ascii="Arial" w:cs="Arial" w:eastAsia="Arial" w:hAnsi="Arial"/>
          <w:sz w:val="18"/>
          <w:szCs w:val="18"/>
          <w:color w:val="auto"/>
        </w:rPr>
        <w:t>” shall mean American Land Title Association,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Alteration Threshold</w:t>
      </w:r>
      <w:r>
        <w:rPr>
          <w:rFonts w:ascii="Arial" w:cs="Arial" w:eastAsia="Arial" w:hAnsi="Arial"/>
          <w:sz w:val="18"/>
          <w:szCs w:val="18"/>
          <w:color w:val="auto"/>
        </w:rPr>
        <w:t>” shall mean three percent (3.0%) of the Outstanding Principal Balance.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Annual Budget</w:t>
      </w:r>
      <w:r>
        <w:rPr>
          <w:rFonts w:ascii="Arial" w:cs="Arial" w:eastAsia="Arial" w:hAnsi="Arial"/>
          <w:sz w:val="16"/>
          <w:szCs w:val="16"/>
          <w:color w:val="auto"/>
        </w:rPr>
        <w:t>” shall mean the operating and capital budget for the Property setting forth, on a month-by-month basis, in reasonable detail, each line item of Borrower’s good faith estimate of anticipated operating income, operating expenses and Capital Expenditures for the applicable Fiscal Year.</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Anti-Money Laundering Laws</w:t>
      </w:r>
      <w:r>
        <w:rPr>
          <w:rFonts w:ascii="Arial" w:cs="Arial" w:eastAsia="Arial" w:hAnsi="Arial"/>
          <w:sz w:val="18"/>
          <w:szCs w:val="18"/>
          <w:color w:val="auto"/>
        </w:rPr>
        <w:t>” shall mean any laws relating to money laundering or terrorist financing, including, without limitation, (A) the criminal laws against terrorism; (B) the criminal laws against money laundering, (C) the Bank Secrecy Act, as amended, (D) the Money Laundering Control Act of 1986, as amended, and (E) the Patriot Act.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Approved Capital Expenditures</w:t>
      </w:r>
      <w:r>
        <w:rPr>
          <w:rFonts w:ascii="Arial" w:cs="Arial" w:eastAsia="Arial" w:hAnsi="Arial"/>
          <w:sz w:val="17"/>
          <w:szCs w:val="17"/>
          <w:color w:val="auto"/>
        </w:rPr>
        <w:t>” shall mean actual out-of-pocket Capital Expenditures to unaffiliated third-parties (except with respect to expenses to Affiliates of Borrower or Guarantor to the extent such expenses have been expressly approved by Lender) incurred by Borrower and either (i) included in the Approved Annual Budget or (ii) approved by Lender, which approval shall not be unreasonably withheld or delayed.</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Approved Leasing Expenses</w:t>
      </w:r>
      <w:r>
        <w:rPr>
          <w:rFonts w:ascii="Arial" w:cs="Arial" w:eastAsia="Arial" w:hAnsi="Arial"/>
          <w:sz w:val="16"/>
          <w:szCs w:val="16"/>
          <w:color w:val="auto"/>
        </w:rPr>
        <w:t>” shall mean actual out-of-pocket expenses to unaffiliated third-parties (except with respect to expenses to Affiliates of Borrower or Guarantor to the extent such expenses have been expressly approved by Lender) incurred by Borrower in leasing space at the Property pursuant to Leases entered into in accordance with the Loan Documents, including brokerage commissions and tenant improvements, which expenses (i) are (A) specifically approved by Lender in connection with approving the applicable Lease, (B) incurred in the ordinary course of business and on market terms and conditions in connection with Leases which do not require Lender’s approval under the Loan Documents, and Lender shall have received a budget for such tenant improvement costs and a schedule of leasing commission payments payable in connection therewith, or (C) otherwise approved by Lender, which approval shall not be unreasonably withheld or delayed, and (ii) are substantiated by executed Lease documents and brokerage agreements.</w:t>
      </w: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3" w:name="page284"/>
    <w:bookmarkEnd w:id="283"/>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Approved Lease Sweep Space Leasing Expenses</w:t>
      </w:r>
      <w:r>
        <w:rPr>
          <w:rFonts w:ascii="Arial" w:cs="Arial" w:eastAsia="Arial" w:hAnsi="Arial"/>
          <w:sz w:val="17"/>
          <w:szCs w:val="17"/>
          <w:color w:val="auto"/>
        </w:rPr>
        <w:t>” shall mean actual out-of-pocket expenses to unaffiliated third-parties (except with respect to expenses to Affiliates of Borrower or Guarantor to the extent such expenses have been expressly approved by Lender) incurred by Borrower in leasing Lease Sweep Space at the Property pursuant to Qualified Leases, including brokerage commissions and tenant improvements, which expenses (i) are (A) specifically approved by Lender in connection with approving the applicable Lease, or (B) otherwise approved by Lender, which approval shall not be unreasonably withheld or delayed, and (ii) are substantiated by executed Lease documents and brokerage agreements.</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Approved Replacement Guarantor</w:t>
      </w:r>
      <w:r>
        <w:rPr>
          <w:rFonts w:ascii="Arial" w:cs="Arial" w:eastAsia="Arial" w:hAnsi="Arial"/>
          <w:sz w:val="16"/>
          <w:szCs w:val="16"/>
          <w:color w:val="auto"/>
        </w:rPr>
        <w:t>” shall mean a Person (i) that satisfies the conditions set forth in clauses (x) and (y) of the definition of “Qualified Transferee”, (ii) is formed in (or, if such Person is an individual, is a citizen of), maintains its principal place of business in (or, if such Person is an individual, maintains a primary residence in), and is subject to service in the United States or Canada, (iii) has all or substantially all of its assets in the United States or Canada, (iv) whose identity, experience, financial condition and creditworthiness, including net worth and liquidity (provided, however, that a net worth equal to $30,100,000 and liquid assets equal to $3,100,000 shall be deemed to be acceptable), is acceptable to Lender in Lender’s sole discretion, for which Lender has received a Rating Agency Confirmation from each applicable Rating Agency, (v) that satisfies the Guarantor Financial Covenants and (vi) who Controls Borrower (or Transferee Borrower, as applicable) and owns a direct or indirect interest in Borrower (or Transferee Borrower, as applicable). If two or more Approved Replacement Guarantors are delivering replacement guaranties and replacement environmental indemnities to Lender, then (1) only one such Approved Replacement Guarantor must Control Borrower (or Transferee Borrower, as applicable), directly or indirectly (provided that each such Approved Replacement Guarantor must own a direct or indirect interest in Borrower (or Transferee Borrower, as applicable)) and (2) the obligations of all Approved Replacement Guarantors shall be joint and several.</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Approved LC Bank</w:t>
      </w:r>
      <w:r>
        <w:rPr>
          <w:rFonts w:ascii="Arial" w:cs="Arial" w:eastAsia="Arial" w:hAnsi="Arial"/>
          <w:sz w:val="18"/>
          <w:szCs w:val="18"/>
          <w:color w:val="auto"/>
        </w:rPr>
        <w:t>” shall mean a bank or other financial institution, the long-term unsecured debt rating of which are at least “A+” by S&amp;P, Fitch and DBRS Morningstar and “A1” by Moody’s and the short-term unsecured debt ratings of which are at least “A-1” by S&amp;P, “F1” by Fitch, “R-1” by DBRS Morningstar and “P-1” by Moody’s.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of Agreements</w:t>
      </w:r>
      <w:r>
        <w:rPr>
          <w:rFonts w:ascii="Arial" w:cs="Arial" w:eastAsia="Arial" w:hAnsi="Arial"/>
          <w:sz w:val="18"/>
          <w:szCs w:val="18"/>
          <w:color w:val="auto"/>
        </w:rPr>
        <w:t>” shall mean that certain Assignment of Agreements, Licenses, Permits and Contracts, dated as of the date hereof, from Borrower, as assignor, to Lender, as assignee.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of Leases</w:t>
      </w:r>
      <w:r>
        <w:rPr>
          <w:rFonts w:ascii="Arial" w:cs="Arial" w:eastAsia="Arial" w:hAnsi="Arial"/>
          <w:sz w:val="18"/>
          <w:szCs w:val="18"/>
          <w:color w:val="auto"/>
        </w:rPr>
        <w:t>” shall mean that certain first priority Assignment of Leases and Rents, dated as of the date hereof, from Borrower, as assignor, to Lender, as assignee.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of Management Agreement</w:t>
      </w:r>
      <w:r>
        <w:rPr>
          <w:rFonts w:ascii="Arial" w:cs="Arial" w:eastAsia="Arial" w:hAnsi="Arial"/>
          <w:sz w:val="18"/>
          <w:szCs w:val="18"/>
          <w:color w:val="auto"/>
        </w:rPr>
        <w:t>” shall mean, if applicable, an assignment of management agreement and subordination of management fees among Borrower, Manager and Lender.</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4" w:name="page285"/>
    <w:bookmarkEnd w:id="28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shall mean any compensation paid by any Governmental Authority in connection with a Condemnation in respect to all or any part of the Property.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shall mean Title 11 of the United States Code entitled “Bankruptcy”, as amended from time to time, and any successor statute or statutes and all rules and regulations from time to time promulgated thereunder, and any comparable foreign laws relating to bankruptcy, insolvency or creditors’ rights.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 Affiliated Lease</w:t>
      </w:r>
      <w:r>
        <w:rPr>
          <w:rFonts w:ascii="Arial" w:cs="Arial" w:eastAsia="Arial" w:hAnsi="Arial"/>
          <w:sz w:val="18"/>
          <w:szCs w:val="18"/>
          <w:color w:val="auto"/>
        </w:rPr>
        <w:t>” shall mean, individually and/or collectively, as the context may require, (i) the PUREgraphite Lease and/or (ii) any Lease, now or hereafter existing, in which the Tenant is a Borrower Affiliated Tenant and/or the guarantor of such Tenant’s obligations under such Lease is an Affiliate of Borrower, Guarantor and/or Key Principal.</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 Affiliated Lease Default Event</w:t>
      </w:r>
      <w:r>
        <w:rPr>
          <w:rFonts w:ascii="Arial" w:cs="Arial" w:eastAsia="Arial" w:hAnsi="Arial"/>
          <w:sz w:val="18"/>
          <w:szCs w:val="18"/>
          <w:color w:val="auto"/>
        </w:rPr>
        <w:t>” shall mean the occurrence of any monetary default or material non-monetary default by a Borrower Affiliated Tenant under its respective Borrower Affiliated Lease, in each case which default remains uncured following any applicable cure period expressly set forth in the applicable Borrower Affiliated Lease, but without taking into account any requirement to deliver any applicable notice of such default.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 Affiliated Lease Guarantor</w:t>
      </w:r>
      <w:r>
        <w:rPr>
          <w:rFonts w:ascii="Arial" w:cs="Arial" w:eastAsia="Arial" w:hAnsi="Arial"/>
          <w:sz w:val="18"/>
          <w:szCs w:val="18"/>
          <w:color w:val="auto"/>
        </w:rPr>
        <w:t>” shall mean, individually and/or collectively, as the context may require, (i) the PUREgraphite Guarantor and/or (ii) any other guarantor of the obligations of any Tenant under a Borrower Affiliated Lease.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 Affiliated Lease Guaranty</w:t>
      </w:r>
      <w:r>
        <w:rPr>
          <w:rFonts w:ascii="Arial" w:cs="Arial" w:eastAsia="Arial" w:hAnsi="Arial"/>
          <w:sz w:val="18"/>
          <w:szCs w:val="18"/>
          <w:color w:val="auto"/>
        </w:rPr>
        <w:t>” shall mean, individually and/or collectively, as the context may require, (i) the PUREgraphite Lease Guaranty and/or (ii) any other guaranty (or other similar instrument) pursuant to which a Borrower Affiliated Lease Guarantor guarantees the obligations of any Tenant under a Borrower Affiliated Lease.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 Affiliated Tenant</w:t>
      </w:r>
      <w:r>
        <w:rPr>
          <w:rFonts w:ascii="Arial" w:cs="Arial" w:eastAsia="Arial" w:hAnsi="Arial"/>
          <w:sz w:val="18"/>
          <w:szCs w:val="18"/>
          <w:color w:val="auto"/>
        </w:rPr>
        <w:t>” shall mean any Tenant under a Lease who is an Affiliate of Borrower, Guarantor and/or Key Principal.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any day other than a Saturday, a Sunday or a legal holiday on which national banks are not open for general business in (i) the State of New York, (ii) the state where the corporate trust office of the Trustee is located, or (iii) the state where the servicing offices of the Servicer are located.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Calculation Date</w:t>
      </w:r>
      <w:r>
        <w:rPr>
          <w:rFonts w:ascii="Arial" w:cs="Arial" w:eastAsia="Arial" w:hAnsi="Arial"/>
          <w:sz w:val="18"/>
          <w:szCs w:val="18"/>
          <w:color w:val="auto"/>
        </w:rPr>
        <w:t>” shall mean the last day of each calendar quarter during the Term.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Expenditures</w:t>
      </w:r>
      <w:r>
        <w:rPr>
          <w:rFonts w:ascii="Arial" w:cs="Arial" w:eastAsia="Arial" w:hAnsi="Arial"/>
          <w:sz w:val="18"/>
          <w:szCs w:val="18"/>
          <w:color w:val="auto"/>
        </w:rPr>
        <w:t>” for any period shall mean amounts expended for replacements and alterations to the Property (excluding tenant improvements) and required to be capitalized according to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Cash Management Agreement</w:t>
      </w:r>
      <w:r>
        <w:rPr>
          <w:rFonts w:ascii="Arial" w:cs="Arial" w:eastAsia="Arial" w:hAnsi="Arial"/>
          <w:sz w:val="16"/>
          <w:szCs w:val="16"/>
          <w:color w:val="auto"/>
        </w:rPr>
        <w:t>” shall mean that certain Cash Management Agreement of even date herewith among Lender and Borrower.</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Clearing Account Agreement</w:t>
      </w:r>
      <w:r>
        <w:rPr>
          <w:rFonts w:ascii="Arial" w:cs="Arial" w:eastAsia="Arial" w:hAnsi="Arial"/>
          <w:sz w:val="18"/>
          <w:szCs w:val="18"/>
          <w:color w:val="auto"/>
        </w:rPr>
        <w:t>” shall mean that certain Deposit Account Control Agreement dated the date hereof by and among Borrower, Lender and Clearing Bank.</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5" w:name="page286"/>
    <w:bookmarkEnd w:id="28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shall mean the date of the funding of the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Internal Revenue Code of 1986, as amended, and as it may be further amended from time to time, any successor statutes thereto, and applicable U.S. Department of Treasury regulations issued pursuant thereto in temporary or final form.</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Condemnation</w:t>
      </w:r>
      <w:r>
        <w:rPr>
          <w:rFonts w:ascii="Arial" w:cs="Arial" w:eastAsia="Arial" w:hAnsi="Arial"/>
          <w:sz w:val="18"/>
          <w:szCs w:val="18"/>
          <w:color w:val="auto"/>
        </w:rPr>
        <w:t>” shall mean a temporary or permanent taking by any Governmental Authority as the result or in lieu or in anticipation of the exercise of the right of condemnation or eminent domain, of all or any part of the Property, or any interest therein or right accruing thereto, including any right of access thereto or any change of grade affecting the Property or any part thereof.</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shall mean, with respect to any Person, the possession, directly or indirectly, of the power to direct or cause the direction of the management and policies of such Person, through the ownership of voting securities, by contract or otherwise, and the terms Controlled, Controlling and Common Control shall have correlative meanings.</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Crowd Funded Person</w:t>
      </w:r>
      <w:r>
        <w:rPr>
          <w:rFonts w:ascii="Arial" w:cs="Arial" w:eastAsia="Arial" w:hAnsi="Arial"/>
          <w:sz w:val="18"/>
          <w:szCs w:val="18"/>
          <w:color w:val="auto"/>
        </w:rPr>
        <w:t>” shall mean a Person that is capitalized through the practice of syndication, advertising or general or broad solicitation, which capitalization is achieved primarily (i) in reliance upon Regulation Crowdfunding promulgated by the Securities and Exchange Commission pursuant to the Securities Act of 1933, as amended, and/or (ii) through internet-mediated registries, platforms or similar portals, mail-order subscriptions, benefit events and/or other similar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DBRS Morningstar</w:t>
      </w:r>
      <w:r>
        <w:rPr>
          <w:rFonts w:ascii="Arial" w:cs="Arial" w:eastAsia="Arial" w:hAnsi="Arial"/>
          <w:sz w:val="18"/>
          <w:szCs w:val="18"/>
          <w:color w:val="auto"/>
        </w:rPr>
        <w:t>” shall mean DBRS, Inc. and its successor-in-interest.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w:t>
      </w:r>
      <w:r>
        <w:rPr>
          <w:rFonts w:ascii="Arial" w:cs="Arial" w:eastAsia="Arial" w:hAnsi="Arial"/>
          <w:sz w:val="18"/>
          <w:szCs w:val="18"/>
          <w:color w:val="auto"/>
        </w:rPr>
        <w:t>” shall mean the Outstanding Principal Balance together with all interest accrued and unpaid thereon and all other sums (including any applicable Prepayment Fee and/or Liquidated Damages Amount, if applicable) due to Lender from time to time in respect of the Loan under the Note, this Agreement, the Mortgage, the Environmental Indemnity or any other Loan Document.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Debt-Like Preferred Equity</w:t>
      </w:r>
      <w:r>
        <w:rPr>
          <w:rFonts w:ascii="Arial" w:cs="Arial" w:eastAsia="Arial" w:hAnsi="Arial"/>
          <w:sz w:val="17"/>
          <w:szCs w:val="17"/>
          <w:color w:val="auto"/>
        </w:rPr>
        <w:t>” shall mean preferred equity that (i) has a “hard coupon”, minimum return or the equivalent, such as a preferred return or similar required payments that must be paid on dates certain, (ii) a “hard maturity” such as mandatory redemption date or similar required date of repayment or redemption, (iii) provides for a change in control, required redemption, increase in preferred return, right to change control or management, buy-sell mechanism or similar remedies in the event of a failure to repay or redeem on date certain or satisfy preferred return or similar payment thresholds, (iv) is secured by a pledge of ownership interests, or (v) is treated as debt under GAAP.</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 Service</w:t>
      </w:r>
      <w:r>
        <w:rPr>
          <w:rFonts w:ascii="Arial" w:cs="Arial" w:eastAsia="Arial" w:hAnsi="Arial"/>
          <w:sz w:val="18"/>
          <w:szCs w:val="18"/>
          <w:color w:val="auto"/>
        </w:rPr>
        <w:t>” shall mean, with respect to any particular period, the scheduled principal and interest payments due under the Note and, if applicable, the note(s) evidencing any New Mezzanine Loan in such period.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 Service Coverage Ratio</w:t>
      </w:r>
      <w:r>
        <w:rPr>
          <w:rFonts w:ascii="Arial" w:cs="Arial" w:eastAsia="Arial" w:hAnsi="Arial"/>
          <w:sz w:val="18"/>
          <w:szCs w:val="18"/>
          <w:color w:val="auto"/>
        </w:rPr>
        <w:t>” shall mean, as of any date of determination, a ratio calculated by Lender, in which (a) the numerator is the Underwritten Net Cash Flow, and (b)the denominator is the annual Debt Service. Each determination by Lender of the Debt Service Coverage Ratio shall be conclusive and binding for all purposes, absent manifest error.</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6" w:name="page287"/>
    <w:bookmarkEnd w:id="28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shall mean the occurrence of any event hereunder or under any other Loan Document which, but for the giving of notice or passage of time, or both, would constitute an Event of Default.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xml:space="preserve">” shall mean, with respect to the Loan, a rate per annum equal to the lesser of (i) the Maximum Legal Rate or (ii) five percent (5%) above the Interest Rate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“Interest Rate”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 Account</w:t>
      </w:r>
      <w:r>
        <w:rPr>
          <w:rFonts w:ascii="Arial" w:cs="Arial" w:eastAsia="Arial" w:hAnsi="Arial"/>
          <w:sz w:val="18"/>
          <w:szCs w:val="18"/>
          <w:color w:val="auto"/>
        </w:rPr>
        <w:t>” shall mean an Eligible Account at the Deposit Bank.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 Bank</w:t>
      </w:r>
      <w:r>
        <w:rPr>
          <w:rFonts w:ascii="Arial" w:cs="Arial" w:eastAsia="Arial" w:hAnsi="Arial"/>
          <w:sz w:val="18"/>
          <w:szCs w:val="18"/>
          <w:color w:val="auto"/>
        </w:rPr>
        <w:t>” shall mean the bank or banks selected by Lender to maintain the Deposit Account. Lender may in its sole but reasonable discretion change the Deposit Bank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 Rate</w:t>
      </w:r>
      <w:r>
        <w:rPr>
          <w:rFonts w:ascii="Arial" w:cs="Arial" w:eastAsia="Arial" w:hAnsi="Arial"/>
          <w:sz w:val="18"/>
          <w:szCs w:val="18"/>
          <w:color w:val="auto"/>
        </w:rPr>
        <w:t>” shall mean the rate which, when compounded monthly, is equivalent to the lesser of (i) the Treasury Rate and (ii) the Swap Rate, each when compounded semiannually.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Disqualified Person</w:t>
      </w:r>
      <w:r>
        <w:rPr>
          <w:rFonts w:ascii="Arial" w:cs="Arial" w:eastAsia="Arial" w:hAnsi="Arial"/>
          <w:sz w:val="17"/>
          <w:szCs w:val="17"/>
          <w:color w:val="auto"/>
        </w:rPr>
        <w:t>” shall mean any Person (i) that is a Crowd Funded Person, a DST or that is Controlled by a Crowd Funded Person or a DST, or in which a Crowd Funded Person or a DST owns any direct or indirect ownership interest, or (ii) that owns (or, in connection with a proposed assumption of the Loan or a proposed Transfer, proposes to own) any direct or indirect interest in Borrower, any prospective Approved Replacement Guarantor, or any prospective transferee or the Property through a tenancy-in-common or other similar form of ownership.</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DST</w:t>
      </w:r>
      <w:r>
        <w:rPr>
          <w:rFonts w:ascii="Arial" w:cs="Arial" w:eastAsia="Arial" w:hAnsi="Arial"/>
          <w:sz w:val="18"/>
          <w:szCs w:val="18"/>
          <w:color w:val="auto"/>
        </w:rPr>
        <w:t>” means a trust formed under Chapter 38 of Title 12 of the Delaware Code, 12 Del. Code §§ 3801 et seq., or any successor statute thereto, in each case, as amended from time to time, or any similar statutory trust formed under the law of any other state.</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Earnout Reserve Release Conditions</w:t>
      </w:r>
      <w:r>
        <w:rPr>
          <w:rFonts w:ascii="Arial" w:cs="Arial" w:eastAsia="Arial" w:hAnsi="Arial"/>
          <w:sz w:val="16"/>
          <w:szCs w:val="16"/>
          <w:color w:val="auto"/>
        </w:rPr>
        <w:t xml:space="preserve">” shall mean each of the following requirements is satisfied: (a) Borrower provides Lender with evidence (in a form reasonably acceptable to Lender) that (i) all of the Scheduled Capital Expenditures Work has been completed in a good and workmanlike manner and in accordance with all applicable Legal Requirements and the plans and specifications attached hereto as </w:t>
      </w:r>
      <w:r>
        <w:rPr>
          <w:rFonts w:ascii="Arial" w:cs="Arial" w:eastAsia="Arial" w:hAnsi="Arial"/>
          <w:sz w:val="16"/>
          <w:szCs w:val="16"/>
          <w:u w:val="single" w:color="auto"/>
          <w:color w:val="auto"/>
        </w:rPr>
        <w:t>Schedule XI</w:t>
      </w:r>
      <w:r>
        <w:rPr>
          <w:rFonts w:ascii="Arial" w:cs="Arial" w:eastAsia="Arial" w:hAnsi="Arial"/>
          <w:sz w:val="16"/>
          <w:szCs w:val="16"/>
          <w:color w:val="auto"/>
        </w:rPr>
        <w:t xml:space="preserve">, (ii) each Person that supplied materials or labor in connection with the Scheduled Capital Expenditures has been paid in full, (iii) all trade payable in connection with the Scheduled Capital Expenditures have been paid in full, and (iv) without limitation of the foregoing, Borrower has satisfied all of the requirements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6.7.2</w:t>
      </w:r>
      <w:r>
        <w:rPr>
          <w:rFonts w:ascii="Arial" w:cs="Arial" w:eastAsia="Arial" w:hAnsi="Arial"/>
          <w:sz w:val="16"/>
          <w:szCs w:val="16"/>
          <w:color w:val="auto"/>
        </w:rPr>
        <w:t xml:space="preserve"> for the release of Scheduled Capital Expenditure Funds with respect to all of the Scheduled Capital Expenditures; (b) Borrower provides Lender with evidence (in a form reasonably acceptable to Lender) that all Licenses required for the use of the Property in the ordinary course as contemplated by the PUREgraphite Lease have been issued and are in full force and effect, and such use of the Property in the ordinary course as contemplated by the PUREgraphite Lease is in conformity with the final certificate of occupancy issued for the Property and all other restrictions, covenants and conditions affecting the Property, including, without limitation, all applicable Legal Requirements; (c) Borrower shall have delivered to Lender an Officer’s Certificate certifying that all equipment set forth on the attached </w:t>
      </w:r>
      <w:r>
        <w:rPr>
          <w:rFonts w:ascii="Arial" w:cs="Arial" w:eastAsia="Arial" w:hAnsi="Arial"/>
          <w:sz w:val="16"/>
          <w:szCs w:val="16"/>
          <w:u w:val="single" w:color="auto"/>
          <w:color w:val="auto"/>
        </w:rPr>
        <w:t>Schedule XII</w:t>
      </w:r>
      <w:r>
        <w:rPr>
          <w:rFonts w:ascii="Arial" w:cs="Arial" w:eastAsia="Arial" w:hAnsi="Arial"/>
          <w:sz w:val="16"/>
          <w:szCs w:val="16"/>
          <w:color w:val="auto"/>
        </w:rPr>
        <w:t xml:space="preserve"> (or similar equipment of similar value and purpose, as determined by Lender in its sole discretion) (as applicable, the “</w:t>
      </w:r>
      <w:r>
        <w:rPr>
          <w:rFonts w:ascii="Arial" w:cs="Arial" w:eastAsia="Arial" w:hAnsi="Arial"/>
          <w:sz w:val="16"/>
          <w:szCs w:val="16"/>
          <w:b w:val="1"/>
          <w:bCs w:val="1"/>
          <w:i w:val="1"/>
          <w:iCs w:val="1"/>
          <w:color w:val="auto"/>
        </w:rPr>
        <w:t>Specified Equipment</w:t>
      </w:r>
      <w:r>
        <w:rPr>
          <w:rFonts w:ascii="Arial" w:cs="Arial" w:eastAsia="Arial" w:hAnsi="Arial"/>
          <w:sz w:val="16"/>
          <w:szCs w:val="16"/>
          <w:color w:val="auto"/>
        </w:rPr>
        <w:t>”), has been purchased and installed and is being utilized by PUREgraphite Tenant in the ordinary course, in each case, in compliance with all Legal Requirements; (d) Borrower shall have delivered an Officer’s Certificate to Lender certifying that PUREgraphite Tenant is operating in the applicable Lease Sweep Space in the ordinary course; (e) no Trigger Period (other than a Trigger Period continuing solely because of the continuance of a Mezzanine Trigger Period) has occurred and be continuing (including, without limitation, any Event of Default and/or any Lease Sweep Period); (f) there are no Emergency Laws, and/or any other limitations on business operations and/or openings relating to the COVID-19 pandemic, which, in each case, would be reasonably likely to have a material adverse effect on PUREgraphite Tenant’s operation of its business at the Property as contemplated by the PUREgraphite Lease; and (g) Borrower shall have delivered to Lender a duly executed estoppel certificate from PUREgraphite Tenant attesting to such facts regarding the PUREgraphite Lease as Lender may reasonably require, including, without limitation, attestations that (i) PUREgraphite Tenant has accepted delivery of, and taken possession of the entire Lease Sweep Space, (ii) all contingencies under the PUREgraphite Lease to the effectiveness thereof have been satisfied, (iii) all of the Specified Equipment has been purchased and installed and is being utilized by PUREgraphite Tenant in the ordinary course, in each case, in compliance with all Legal Requirements, and (iv) PUREgraphite Tenant is operating in the applicable Lease Sweep Space in the ordinary course.</w:t>
      </w: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7" w:name="page288"/>
    <w:bookmarkEnd w:id="287"/>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Account</w:t>
      </w:r>
      <w:r>
        <w:rPr>
          <w:rFonts w:ascii="Arial" w:cs="Arial" w:eastAsia="Arial" w:hAnsi="Arial"/>
          <w:sz w:val="17"/>
          <w:szCs w:val="17"/>
          <w:color w:val="auto"/>
        </w:rPr>
        <w:t>” shall mean a separate and identifiable account from all other funds held by the holding institution that is either (i) an account or accounts (or subaccounts thereof) maintained with a federal or state-chartered depository institution or trust company which complies with the definition of Eligible Institution or (ii) a segregated trust account or accounts (or subaccounts thereof) maintained with the corporate trust department of a federal depository institution or state chartered depository institution subject to regulations regarding fiduciary funds on deposit similar to Title 12 of the Code of Federal Regulations §9.10(b), having in either case corporate trust powers, acting in its fiduciary capacity, and a combined capital and surplus of at least $50,000,000, subject to supervision or examination by federal and state authorities and having a long-term unsecured debt rating of “BBB-” or higher by S&amp;P and “A2” or higher by Moody’s and a short-term unsecured debt rating of “A-1” or higher by S&amp;P and “P-1” or higher by Moody’s. An Eligible Account will not be evidenced by a certificate of deposit, passbook or other instrument.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Institution</w:t>
      </w:r>
      <w:r>
        <w:rPr>
          <w:rFonts w:ascii="Arial" w:cs="Arial" w:eastAsia="Arial" w:hAnsi="Arial"/>
          <w:sz w:val="16"/>
          <w:szCs w:val="16"/>
          <w:color w:val="auto"/>
        </w:rPr>
        <w:t>” shall mean a depository institution or trust company insured by the Federal Deposit Insurance Corporation the short term unsecured debt obligations or commercial paper of which are rated at least “A-1” by S&amp;P, “P-1” by Moody’s and “F1” by Fitch (and the long term unsecured debt obligations of such depository institution are rated at least “A” by Fitch) in the case of accounts in which funds are held for thirty (30) days or less or, in the case of accounts in which funds are held for more than thirty (30) days, the long term unsecured debt obligations of which are rated at least</w:t>
      </w:r>
    </w:p>
    <w:p>
      <w:pPr>
        <w:spacing w:after="0" w:line="1" w:lineRule="exact"/>
        <w:rPr>
          <w:sz w:val="20"/>
          <w:szCs w:val="20"/>
          <w:color w:val="auto"/>
        </w:rPr>
      </w:pPr>
    </w:p>
    <w:p>
      <w:pPr>
        <w:jc w:val="both"/>
        <w:ind w:firstLine="8"/>
        <w:spacing w:after="0" w:line="255" w:lineRule="auto"/>
        <w:tabs>
          <w:tab w:leader="none" w:pos="22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 by S&amp;P, (ii) “A” by Fitch (and the short term deposits or short term unsecured debt obligations or commercial paper of such depository institution are rated no less than “F1” by Fitch), and (iii) “A2” by Moody’s; provided, however, for purposes of the Deposit Bank, the definition of Eligible Institution shall have the meaning set forth in the Cash Management Agreement.</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Emergency Law</w:t>
      </w:r>
      <w:r>
        <w:rPr>
          <w:rFonts w:ascii="Arial" w:cs="Arial" w:eastAsia="Arial" w:hAnsi="Arial"/>
          <w:sz w:val="18"/>
          <w:szCs w:val="18"/>
          <w:color w:val="auto"/>
        </w:rPr>
        <w:t>” shall mean any Legal Requirement related to, in connection with, or in response to any pandemic, including, without limitation, the COVID-19 pandemic.</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8" w:name="page289"/>
    <w:bookmarkEnd w:id="288"/>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Indemnity</w:t>
      </w:r>
      <w:r>
        <w:rPr>
          <w:rFonts w:ascii="Arial" w:cs="Arial" w:eastAsia="Arial" w:hAnsi="Arial"/>
          <w:sz w:val="18"/>
          <w:szCs w:val="18"/>
          <w:color w:val="auto"/>
        </w:rPr>
        <w:t>” shall mean that certain Environmental Indemnity Agreement dated as of the date hereof executed by Borrower and Guarantor in connection with the Loan for the benefit of Lender.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shall mean any trade or business (whether or not incorporated) which is a member of the same controlled group of corporations or group of trades or businesses under common control with Borrower or the Guarantor, or is treated as a single employer together with Borrower or the Guarantor under Section 414 of the Code or Title IV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Fiscal Year</w:t>
      </w:r>
      <w:r>
        <w:rPr>
          <w:rFonts w:ascii="Arial" w:cs="Arial" w:eastAsia="Arial" w:hAnsi="Arial"/>
          <w:sz w:val="17"/>
          <w:szCs w:val="17"/>
          <w:color w:val="auto"/>
        </w:rPr>
        <w:t>” shall mean each twelve (12) month period commencing on July 1 and ending on June 30 during each year of the Term.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Fitch</w:t>
      </w:r>
      <w:r>
        <w:rPr>
          <w:rFonts w:ascii="Arial" w:cs="Arial" w:eastAsia="Arial" w:hAnsi="Arial"/>
          <w:sz w:val="18"/>
          <w:szCs w:val="18"/>
          <w:color w:val="auto"/>
        </w:rPr>
        <w:t>” shall mean Fitch, Inc. and its successor-in-interest.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shall mean generally accepted accounting principles set forth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or in such other statements by such entity as may be in general use by significant segments of the U.S. accounting profession.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shall mean any court, board, agency, department, committee, commission, central bank, office or authority of any nature whatsoever (including any political subdivision or instrumentality thereof) for any governmental or quasi-governmental unit (whether federal, state, commonwealth, county, district, municipal, city, parish, provincial or otherwise) (whether of the government of the United States or any other nation) now or hereafter in existence (including any supra-national bodies such as the European Union or the European Central Bank and any intergovernmental organizations such as the United Nations).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Gross Revenue</w:t>
      </w:r>
      <w:r>
        <w:rPr>
          <w:rFonts w:ascii="Arial" w:cs="Arial" w:eastAsia="Arial" w:hAnsi="Arial"/>
          <w:sz w:val="17"/>
          <w:szCs w:val="17"/>
          <w:color w:val="auto"/>
        </w:rPr>
        <w:t xml:space="preserve">” shall mean all revenue derived from the ownership and operation of the Property from whatever source, including, without limitation, Rents and any Insurance Proceeds (whether or not Lender elects to treat any such Insurance Proceeds as business or rental interruption Insurance Proceeds pursuant to </w:t>
      </w:r>
      <w:r>
        <w:rPr>
          <w:rFonts w:ascii="Arial" w:cs="Arial" w:eastAsia="Arial" w:hAnsi="Arial"/>
          <w:sz w:val="17"/>
          <w:szCs w:val="17"/>
          <w:u w:val="single" w:color="auto"/>
          <w:color w:val="auto"/>
        </w:rPr>
        <w:t>Section 5.4(f)</w:t>
      </w:r>
      <w:r>
        <w:rPr>
          <w:rFonts w:ascii="Arial" w:cs="Arial" w:eastAsia="Arial" w:hAnsi="Arial"/>
          <w:sz w:val="17"/>
          <w:szCs w:val="17"/>
          <w:color w:val="auto"/>
        </w:rPr>
        <w:t xml:space="preserve"> hereof), Lease Termination Payments, any revenue received in connection with any tax certiorari proceeding and any amounts received by Borrower as a result of any litigation or other legal, administrative or other proceeding.</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Ground Lease</w:t>
      </w:r>
      <w:r>
        <w:rPr>
          <w:rFonts w:ascii="Arial" w:cs="Arial" w:eastAsia="Arial" w:hAnsi="Arial"/>
          <w:sz w:val="17"/>
          <w:szCs w:val="17"/>
          <w:color w:val="auto"/>
        </w:rPr>
        <w:t xml:space="preserve">” shall mean that certain ground lease more particularly described on </w:t>
      </w:r>
      <w:r>
        <w:rPr>
          <w:rFonts w:ascii="Arial" w:cs="Arial" w:eastAsia="Arial" w:hAnsi="Arial"/>
          <w:sz w:val="17"/>
          <w:szCs w:val="17"/>
          <w:b w:val="1"/>
          <w:bCs w:val="1"/>
          <w:u w:val="single" w:color="auto"/>
          <w:color w:val="auto"/>
        </w:rPr>
        <w:t>Schedule VIII</w:t>
      </w:r>
      <w:r>
        <w:rPr>
          <w:rFonts w:ascii="Arial" w:cs="Arial" w:eastAsia="Arial" w:hAnsi="Arial"/>
          <w:sz w:val="17"/>
          <w:szCs w:val="17"/>
          <w:color w:val="auto"/>
        </w:rPr>
        <w:t xml:space="preserve"> attached hereto and made a part hereof as the same may be amended, restated, supplemented or otherwise modified from time to time in accordance with the terms of this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Ground Rent</w:t>
      </w:r>
      <w:r>
        <w:rPr>
          <w:rFonts w:ascii="Arial" w:cs="Arial" w:eastAsia="Arial" w:hAnsi="Arial"/>
          <w:sz w:val="18"/>
          <w:szCs w:val="18"/>
          <w:color w:val="auto"/>
        </w:rPr>
        <w:t>” shall mean any rent, additional rent or other charge payable by the tenant under the Ground Lease.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shall mean Novonix Limited, an Australian public company, or any other Person that now or hereafter guarantees any of Borrower’s obligations under any Loan Document.</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9" w:name="page290"/>
    <w:bookmarkEnd w:id="2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 Financial Covenants</w:t>
      </w:r>
      <w:r>
        <w:rPr>
          <w:rFonts w:ascii="Arial" w:cs="Arial" w:eastAsia="Arial" w:hAnsi="Arial"/>
          <w:sz w:val="18"/>
          <w:szCs w:val="18"/>
          <w:color w:val="auto"/>
        </w:rPr>
        <w:t>” shall mean those covenants set forth in Section 5.2 of the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Guaranty</w:t>
      </w:r>
      <w:r>
        <w:rPr>
          <w:rFonts w:ascii="Arial" w:cs="Arial" w:eastAsia="Arial" w:hAnsi="Arial"/>
          <w:sz w:val="17"/>
          <w:szCs w:val="17"/>
          <w:color w:val="auto"/>
        </w:rPr>
        <w:t>” shall mean that certain Guaranty of Recourse Obligations of even date herewith from Guarantor for the benefit of Lender.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IFRS</w:t>
      </w:r>
      <w:r>
        <w:rPr>
          <w:rFonts w:ascii="Arial" w:cs="Arial" w:eastAsia="Arial" w:hAnsi="Arial"/>
          <w:sz w:val="18"/>
          <w:szCs w:val="18"/>
          <w:color w:val="auto"/>
        </w:rPr>
        <w:t>” shall mean international financial reportion standards, consistently applied.</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shall mean, for any Person, without duplication: (i) all indebtedness of such Person for borrowed money, for amounts drawn under a letter of credit, or for the deferred purchase price of property or services for which such Person or its assets is liable, (ii) all unfunded amounts under a loan agreement, letter of credit, or other credit facility for which such Person would be liable if such amounts were advanced thereunder, (iii) all amounts required to be paid by such Person as a guaranteed payment to partners or a preferred or special dividend, including any mandatory redemption of shares or interests, (iv) all indebtedness guaranteed by such Person, directly or indirectly, (v) all obligations under leases that constitute capital leases for which such Person is liable, (vi) all obligations of such Person under interest rate swaps, caps, floors, collars and other interest hedge agreements, in each case for which such Person is liable or its assets are liable, whether such Person (or its assets) is liable contingently or otherwise, as obligor, guarantor or otherwise, or in respect of which obligations such Person otherwise assures a creditor against loss, (vii) all obligations under any PACE Loans and (viii) any other contractual obligation for the payment of money which are not settled within thirty (30) days.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shall mean, when used with respect to any Person, a Person who: (i) does not have any direct financial interest or any material indirect financial interest in Borrower or in any Affiliate of Borrower, (ii) is not connected with Borrower or any Affiliate of Borrower as an officer, employee, promoter, underwriter, trustee, partner, member, manager, creditor, director, supplier, customer or person performing similar functions and (iii) is not a member of the immediate family of a Person defined in (i) or (ii) above.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Independent Accountant</w:t>
      </w:r>
      <w:r>
        <w:rPr>
          <w:rFonts w:ascii="Arial" w:cs="Arial" w:eastAsia="Arial" w:hAnsi="Arial"/>
          <w:sz w:val="17"/>
          <w:szCs w:val="17"/>
          <w:color w:val="auto"/>
        </w:rPr>
        <w:t>” shall mean (i) PricewaterhouseCoopers (for so long as there has been no material adverse change in PricewaterhouseCoopers’ general business standing or reputation from the respective levels thereof as of the Closing Date) or (ii) a firm of nationally recognized, certified public accountants which is Independent and which is selected by Borrower and reasonably acceptable to Lender.</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Insolvency Opinion</w:t>
      </w:r>
      <w:r>
        <w:rPr>
          <w:rFonts w:ascii="Arial" w:cs="Arial" w:eastAsia="Arial" w:hAnsi="Arial"/>
          <w:sz w:val="18"/>
          <w:szCs w:val="18"/>
          <w:color w:val="auto"/>
        </w:rPr>
        <w:t>” shall mean, individually and/or collectively, as the context may require, (i) that certain bankruptcy non-consolidation opinion letter dated the date hereof delivered by Miller &amp; Martin PLLC in connection with the Loan, and (ii) that certain bankruptcy non-consolidation opinion letter dated the date hereof delivered by Allens, Australia in connection with the Loan.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Rate</w:t>
      </w:r>
      <w:r>
        <w:rPr>
          <w:rFonts w:ascii="Arial" w:cs="Arial" w:eastAsia="Arial" w:hAnsi="Arial"/>
          <w:sz w:val="18"/>
          <w:szCs w:val="18"/>
          <w:color w:val="auto"/>
        </w:rPr>
        <w:t>” shall mean, with respect to each Interest Period: (a) a rate of four and nine hundredths percent (4.09%) per annum or (b) when applicable pursuant to this Agreement or any other Loan Document, the Default Rate.</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0" w:name="page291"/>
    <w:bookmarkEnd w:id="290"/>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Grade Rating</w:t>
      </w:r>
      <w:r>
        <w:rPr>
          <w:rFonts w:ascii="Arial" w:cs="Arial" w:eastAsia="Arial" w:hAnsi="Arial"/>
          <w:sz w:val="18"/>
          <w:szCs w:val="18"/>
          <w:color w:val="auto"/>
        </w:rPr>
        <w:t>” shall mean, with respect to an entity, a long-term unsecured debt rating of at least “BBB-” from S&amp;P and an equivalent rating from each of the other national statistical rating agencies which rate such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Principal(s)</w:t>
      </w:r>
      <w:r>
        <w:rPr>
          <w:rFonts w:ascii="Arial" w:cs="Arial" w:eastAsia="Arial" w:hAnsi="Arial"/>
          <w:sz w:val="18"/>
          <w:szCs w:val="18"/>
          <w:color w:val="auto"/>
        </w:rPr>
        <w:t>” shall mean Novonix Limited, an Australian public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Kroll</w:t>
      </w:r>
      <w:r>
        <w:rPr>
          <w:rFonts w:ascii="Arial" w:cs="Arial" w:eastAsia="Arial" w:hAnsi="Arial"/>
          <w:sz w:val="18"/>
          <w:szCs w:val="18"/>
          <w:color w:val="auto"/>
        </w:rPr>
        <w:t>” means Kroll Bond Ratings and its successor-in-interest.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Lease</w:t>
      </w:r>
      <w:r>
        <w:rPr>
          <w:rFonts w:ascii="Arial" w:cs="Arial" w:eastAsia="Arial" w:hAnsi="Arial"/>
          <w:sz w:val="17"/>
          <w:szCs w:val="17"/>
          <w:color w:val="auto"/>
        </w:rPr>
        <w:t>” shall mean any lease, sublease or sub-sublease, letting, license, concession or other agreement (whether written or oral and whether now or hereafter in effect) pursuant to which any Person is granted a possessory interest in, or right to use or occupy, all or any portion of any space in the Property, and every modification, amendment or other agreement (whether written or oral and whether now or hereafter in effect) relating to such lease, sublease, sub-sublease or other agreement entered into in connection with such lease, sublease, sub-sublease or other agreement, and every guarantee of the performance and observance of the covenants, conditions and agreements to be performed and observed by the other party thereto, whether before or after the filing by or against Borrower of any petition for relief under the Bankruptcy Code.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 Sweep Lease</w:t>
      </w:r>
      <w:r>
        <w:rPr>
          <w:rFonts w:ascii="Arial" w:cs="Arial" w:eastAsia="Arial" w:hAnsi="Arial"/>
          <w:sz w:val="18"/>
          <w:szCs w:val="18"/>
          <w:color w:val="auto"/>
        </w:rPr>
        <w:t>” shall mean (i) the PUREgraphite Lease, or (ii) any replacement Lease that, either individually, or when taken together with any other Lease with the same Tenant or its Affiliates, and assuming the exercise of all expansion rights and all preferential rights to lease additional space contained in such Lease, covers the majority of the applicable Lease Sweep Space.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Lease Sweep Lease Investment Grade Rating Achievement Date</w:t>
      </w:r>
      <w:r>
        <w:rPr>
          <w:rFonts w:ascii="Arial" w:cs="Arial" w:eastAsia="Arial" w:hAnsi="Arial"/>
          <w:sz w:val="17"/>
          <w:szCs w:val="17"/>
          <w:color w:val="auto"/>
        </w:rPr>
        <w:t>” shall mean the first date during the Term of the Loan on which the Tenant under a Lease Sweep Lease (or any parent entity guaranteeing such Tenant’s obligations under the applicable Lease Sweep Lease, including, for the avoidance of doubt, PUREgraphite Lease Guarantor with respect to PUREgraphite Tenant) achieves an Investment Grade Rating.</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 Sweep Lease Termination Payments</w:t>
      </w:r>
      <w:r>
        <w:rPr>
          <w:rFonts w:ascii="Arial" w:cs="Arial" w:eastAsia="Arial" w:hAnsi="Arial"/>
          <w:sz w:val="18"/>
          <w:szCs w:val="18"/>
          <w:color w:val="auto"/>
        </w:rPr>
        <w:t>” shall mean, collectively, all sums paid with respect to any rejection, termination, surrender or cancellation of any Lease Sweep Lease (including in any Lease Sweep Tenant Party Insolvency Proceeding) or any lease buy-out or surrender payment from any Tenant under a Lease Sweep Lease (including any payment relating to unamortized tenant improvements and/or leasing commissions and/or application of any security deposit).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 Sweep Period</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157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shall commence on the first Monthly Payment Date following (or in the case of clause (a)(1) below, the Monthly Payment Date preceding) the occurrence of any of the following:</w:t>
      </w:r>
    </w:p>
    <w:p>
      <w:pPr>
        <w:spacing w:after="0" w:line="166" w:lineRule="exact"/>
        <w:rPr>
          <w:rFonts w:ascii="Arial" w:cs="Arial" w:eastAsia="Arial" w:hAnsi="Arial"/>
          <w:sz w:val="18"/>
          <w:szCs w:val="18"/>
          <w:color w:val="auto"/>
        </w:rPr>
      </w:pPr>
    </w:p>
    <w:p>
      <w:pPr>
        <w:ind w:left="1960" w:hanging="656"/>
        <w:spacing w:after="0"/>
        <w:tabs>
          <w:tab w:leader="none" w:pos="19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with respect to each Lease Sweep Lease, the earlier to occur of</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2280" w:right="20" w:hanging="328"/>
        <w:spacing w:after="0" w:line="277" w:lineRule="auto"/>
        <w:tabs>
          <w:tab w:leader="none" w:pos="2280" w:val="left"/>
        </w:tabs>
        <w:numPr>
          <w:ilvl w:val="2"/>
          <w:numId w:val="321"/>
        </w:numPr>
        <w:rPr>
          <w:rFonts w:ascii="Arial" w:cs="Arial" w:eastAsia="Arial" w:hAnsi="Arial"/>
          <w:sz w:val="18"/>
          <w:szCs w:val="18"/>
          <w:color w:val="auto"/>
        </w:rPr>
      </w:pPr>
      <w:r>
        <w:rPr>
          <w:rFonts w:ascii="Arial" w:cs="Arial" w:eastAsia="Arial" w:hAnsi="Arial"/>
          <w:sz w:val="18"/>
          <w:szCs w:val="18"/>
          <w:color w:val="auto"/>
        </w:rPr>
        <w:t>twelve (12) months prior to the earliest stated expiration (including the stated expiration of any renewal term) of a Lease Sweep Lease; and</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1" w:name="page292"/>
    <w:bookmarkEnd w:id="291"/>
    <w:p>
      <w:pPr>
        <w:ind w:left="2280" w:hanging="328"/>
        <w:spacing w:after="0" w:line="277" w:lineRule="auto"/>
        <w:tabs>
          <w:tab w:leader="none" w:pos="228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upon the date required under a Lease Sweep Lease by which the tenant thereunder is required to give notice of its exercise of a renewal option thereunder (and such renewal has not been so exercised);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087"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date that a Lease Sweep Lease (or any material portion thereof) is surrendered, cancelled or terminated or the receipt by Borrower or Manager of notice from any Tenant under a Lease Sweep Lease of its intent to surrender, cancel or terminate the Lease Sweep Lease (or any material portion thereof);</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978"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date that any Tenant under a Lease Sweep Lease shall discontinue its business (i.e., “goes dark”) at its Lease Sweep Space at the Property (or more than fifty percent (50%) thereof) or give notice that it intends to discontinue its business at its Lease Sweep Space at the Property (or more than fifty percent (50%) thereof);</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upon a default under a Lease Sweep Lease by the Tenant thereunder that continues beyond any applicable notice and cure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left="1980" w:hanging="676"/>
        <w:spacing w:after="0"/>
        <w:tabs>
          <w:tab w:leader="none" w:pos="198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occurrence of a Lease Sweep Tenant Party Insolvency Proceeding; or</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007" w:val="left"/>
        </w:tabs>
        <w:numPr>
          <w:ilvl w:val="1"/>
          <w:numId w:val="323"/>
        </w:numPr>
        <w:rPr>
          <w:rFonts w:ascii="Arial" w:cs="Arial" w:eastAsia="Arial" w:hAnsi="Arial"/>
          <w:sz w:val="18"/>
          <w:szCs w:val="18"/>
          <w:color w:val="auto"/>
        </w:rPr>
      </w:pPr>
      <w:r>
        <w:rPr>
          <w:rFonts w:ascii="Arial" w:cs="Arial" w:eastAsia="Arial" w:hAnsi="Arial"/>
          <w:sz w:val="18"/>
          <w:szCs w:val="18"/>
          <w:color w:val="auto"/>
        </w:rPr>
        <w:t>following the Lease Sweep Lease Investment Grade Rating Achievement Date, upon a decline in the credit rating of the Tenant under a Lease Sweep Lease (or any parent entity guaranteeing such Tenant’s obligations under the applicable Lease Sweep Lease, including, for the avoidance of doubt, PUREgraphite Lease Guarantor with respect to PUREgraphite Tenant) below the Investment Grade Rating by any rating agency; and</w:t>
      </w:r>
    </w:p>
    <w:p>
      <w:pPr>
        <w:spacing w:after="0" w:line="186" w:lineRule="exact"/>
        <w:rPr>
          <w:rFonts w:ascii="Arial" w:cs="Arial" w:eastAsia="Arial" w:hAnsi="Arial"/>
          <w:sz w:val="18"/>
          <w:szCs w:val="18"/>
          <w:color w:val="auto"/>
        </w:rPr>
      </w:pPr>
    </w:p>
    <w:p>
      <w:pPr>
        <w:ind w:right="20" w:firstLine="656"/>
        <w:spacing w:after="0" w:line="277" w:lineRule="auto"/>
        <w:tabs>
          <w:tab w:leader="none" w:pos="136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shall end with respect to the applicable event giving rise to the Lease Sweep Period upon the first to occur of the following with respect to such event (identified by sub-clause reference below):</w:t>
      </w:r>
    </w:p>
    <w:p>
      <w:pPr>
        <w:spacing w:after="0" w:line="170" w:lineRule="exact"/>
        <w:rPr>
          <w:sz w:val="20"/>
          <w:szCs w:val="20"/>
          <w:color w:val="auto"/>
        </w:rPr>
      </w:pPr>
    </w:p>
    <w:p>
      <w:pPr>
        <w:jc w:val="both"/>
        <w:ind w:left="660" w:firstLine="644"/>
        <w:spacing w:after="0" w:line="296" w:lineRule="auto"/>
        <w:tabs>
          <w:tab w:leader="none" w:pos="193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in the case of clauses (i)(a), (i)(c), (i)(d) and (i)(e) above, the entirety of the Lease Sweep Space (or applicable portion thereof) is leased pursuant to one or more Qualified Leases and, in Lender’s reasonable judgment, sufficient funds have been accumulated in the Lease Sweep Account (during the continuance of the subject Lease Sweep Period) to cover all anticipated Approved Lease Sweep Space Leasing Expenses, free rent periods, and/or rent abatement periods set forth in all such Qualified Leases and any shortfalls in required payments hereunder or Operating Expenses as a result of any anticipated down time prior to the commencement of payments under such Qualified Leases;</w:t>
      </w:r>
    </w:p>
    <w:p>
      <w:pPr>
        <w:spacing w:after="0" w:line="161" w:lineRule="exact"/>
        <w:rPr>
          <w:rFonts w:ascii="Arial" w:cs="Arial" w:eastAsia="Arial" w:hAnsi="Arial"/>
          <w:sz w:val="16"/>
          <w:szCs w:val="16"/>
          <w:color w:val="auto"/>
        </w:rPr>
      </w:pPr>
    </w:p>
    <w:p>
      <w:pPr>
        <w:jc w:val="both"/>
        <w:ind w:left="660" w:firstLine="644"/>
        <w:spacing w:after="0" w:line="279" w:lineRule="auto"/>
        <w:tabs>
          <w:tab w:leader="none" w:pos="1995"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in the case of clause (i)(a) above, the date on which the subject Tenant under the Lease Sweep Lease irrevocably exercises its renewal or extension option with respect to all of its Lease Sweep Space, and in Lender’s judgment, sufficient funds have been accumulated in the Lease Sweep Account (during the continuance of the subject Lease Sweep Period) to cover all anticipated Approved Lease Sweep Space Leasing Expenses, free rent periods and/or rent abatement periods in connection with such renewal or extension;</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2" w:name="page293"/>
    <w:bookmarkEnd w:id="292"/>
    <w:p>
      <w:pPr>
        <w:ind w:left="660" w:firstLine="644"/>
        <w:spacing w:after="0" w:line="277" w:lineRule="auto"/>
        <w:tabs>
          <w:tab w:leader="none" w:pos="202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the case of clause (i)(e) above, the date on which the subject default has been cured, and no other default under such Lease Sweep Lease occurs for a period of six (6) consecutive months following such cure;</w:t>
      </w:r>
    </w:p>
    <w:p>
      <w:pPr>
        <w:spacing w:after="0" w:line="170" w:lineRule="exact"/>
        <w:rPr>
          <w:rFonts w:ascii="Arial" w:cs="Arial" w:eastAsia="Arial" w:hAnsi="Arial"/>
          <w:sz w:val="18"/>
          <w:szCs w:val="18"/>
          <w:color w:val="auto"/>
        </w:rPr>
      </w:pPr>
    </w:p>
    <w:p>
      <w:pPr>
        <w:jc w:val="both"/>
        <w:ind w:left="660" w:firstLine="644"/>
        <w:spacing w:after="0" w:line="291" w:lineRule="auto"/>
        <w:tabs>
          <w:tab w:leader="none" w:pos="2064"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in the case of clause (i)(f) above, (a) the applicable Lease Sweep Tenant Party Insolvency Proceeding has terminated and the applicable Lease Sweep Lease, and each guaranty of the Lease Sweep Lease (if any), has been affirmed or assumed, without modification of such Lease Sweep Lease or any guaranty thereof, by the Tenant under the Lease Sweep Lease and each guarantor (if any) of the Lease Sweep Lease in a manner reasonably satisfactory to Lender pursuant to a final, non-appealable order of the bankruptcy court, and in connection therewith all defaults under the Lease Sweep Lease are cured and the Tenant under the Lease Sweep Lease is in occupancy of its premises and paying full, unabated rent under the applicable Lease Sweep Lease and (b) adequate assurance of future performance under the Lease Sweep Lease and, if applicable, each guaranty of the Lease Sweep Lease as reasonably determined by Lender is provided;</w:t>
      </w:r>
    </w:p>
    <w:p>
      <w:pPr>
        <w:spacing w:after="0" w:line="166" w:lineRule="exact"/>
        <w:rPr>
          <w:rFonts w:ascii="Arial" w:cs="Arial" w:eastAsia="Arial" w:hAnsi="Arial"/>
          <w:sz w:val="16"/>
          <w:szCs w:val="16"/>
          <w:color w:val="auto"/>
        </w:rPr>
      </w:pPr>
    </w:p>
    <w:p>
      <w:pPr>
        <w:jc w:val="both"/>
        <w:ind w:left="660" w:firstLine="644"/>
        <w:spacing w:after="0" w:line="257" w:lineRule="auto"/>
        <w:tabs>
          <w:tab w:leader="none" w:pos="197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the case of clause (i)(g) above, the date on which either (x) the credit rating of the Tenant under a Lease Sweep Lease (or any parent entity guaranteeing such Tenant’s obligations under the applicable Lease Sweep Lease, including, for the avoidance of doubt, PUREgraphite Lease Guarantor with respect to PUREgraphite Tenant) has been restored to the Investment Grade Rating by the relevant rating agencies, or (y) the Lease Sweep Funds in the Lease Sweep Account collected with respect to the PUREgraphite Lease are equal to or greater than $1,361,480.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 Sweep Space</w:t>
      </w:r>
      <w:r>
        <w:rPr>
          <w:rFonts w:ascii="Arial" w:cs="Arial" w:eastAsia="Arial" w:hAnsi="Arial"/>
          <w:sz w:val="18"/>
          <w:szCs w:val="18"/>
          <w:color w:val="auto"/>
        </w:rPr>
        <w:t>” shall mean the space demised under the applicable Lease Sweep Lease.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 Sweep Tenant Party</w:t>
      </w:r>
      <w:r>
        <w:rPr>
          <w:rFonts w:ascii="Arial" w:cs="Arial" w:eastAsia="Arial" w:hAnsi="Arial"/>
          <w:sz w:val="18"/>
          <w:szCs w:val="18"/>
          <w:color w:val="auto"/>
        </w:rPr>
        <w:t>” shall mean a Tenant under a Lease Sweep Lease or its direct or indirect parent company (if any) and/or any guarantor of such Tenant’s obligations under a Lease Sweep Lease.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Lease Sweep Tenant Party Insolvency Proceeding</w:t>
      </w:r>
      <w:r>
        <w:rPr>
          <w:rFonts w:ascii="Arial" w:cs="Arial" w:eastAsia="Arial" w:hAnsi="Arial"/>
          <w:sz w:val="16"/>
          <w:szCs w:val="16"/>
          <w:color w:val="auto"/>
        </w:rPr>
        <w:t>” shall mean (A) the admission in writing by any Lease Sweep Tenant Party of its inability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pay its debts generally, or the making of a general assignment for the benefit of creditors, or the instituting by any Lease Sweep Tenant Party of any proceeding seeking to adjudicate it insolvent or seeking a liquidation or dissolution, or the taking advantage by any Lease Sweep Tenant Party of any Insolvency Law (as hereinafter defined), or the commencement by any Lease Sweep Tenant Party of a case or other proceeding naming it as debtor under any Insolvency Law or the instituting of a case or other proceeding against or with respect to any Lease Sweep Tenant Party under any Insolvency Law or</w:t>
      </w:r>
    </w:p>
    <w:p>
      <w:pPr>
        <w:spacing w:after="0" w:line="2" w:lineRule="exact"/>
        <w:rPr>
          <w:sz w:val="20"/>
          <w:szCs w:val="20"/>
          <w:color w:val="auto"/>
        </w:rPr>
      </w:pPr>
    </w:p>
    <w:p>
      <w:pPr>
        <w:jc w:val="both"/>
        <w:ind w:firstLine="8"/>
        <w:spacing w:after="0" w:line="252" w:lineRule="auto"/>
        <w:tabs>
          <w:tab w:leader="none" w:pos="29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instituting of any proceeding against or with respect to any Lease Sweep Tenant Party seeking liquidation of its assets or the appointment of (or if any Lease Sweep Tenant Party shall consent to or acquiesce in the appointment of) a receiver, liquidator, conservator, trustee or similar official in respect of it or the whole or any substantial part of its properties or assets or the taking of any corporate, partnership or limited liability company action in furtherance of any of the foregoing. As used herein, the term “</w:t>
      </w:r>
      <w:r>
        <w:rPr>
          <w:rFonts w:ascii="Arial" w:cs="Arial" w:eastAsia="Arial" w:hAnsi="Arial"/>
          <w:sz w:val="18"/>
          <w:szCs w:val="18"/>
          <w:b w:val="1"/>
          <w:bCs w:val="1"/>
          <w:i w:val="1"/>
          <w:iCs w:val="1"/>
          <w:color w:val="auto"/>
        </w:rPr>
        <w:t>Insolvency Law</w:t>
      </w:r>
      <w:r>
        <w:rPr>
          <w:rFonts w:ascii="Arial" w:cs="Arial" w:eastAsia="Arial" w:hAnsi="Arial"/>
          <w:sz w:val="18"/>
          <w:szCs w:val="18"/>
          <w:color w:val="auto"/>
        </w:rPr>
        <w:t>” shall mean Title 11 of the United States Code (11 U.S.C. §§ 101 et seq.) as the same has been or may be amended or superseded from time to time, or any other applicable domestic or foreign liquidation, conservatorship, bankruptcy, receivership, insolvency, reorganization, or any similar debtor relief laws affecting the rights, remedies, powers, privileges and benefits of creditors generally.</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3" w:name="page294"/>
    <w:bookmarkEnd w:id="293"/>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Legal Requirements</w:t>
      </w:r>
      <w:r>
        <w:rPr>
          <w:rFonts w:ascii="Arial" w:cs="Arial" w:eastAsia="Arial" w:hAnsi="Arial"/>
          <w:sz w:val="16"/>
          <w:szCs w:val="16"/>
          <w:color w:val="auto"/>
        </w:rPr>
        <w:t>” shall mean all federal, state, county, municipal and other governmental statutes, laws, rules, orders, regulations, ordinances, judgments, decrees and injunctions of Governmental Authorities affecting the Loan, any Secondary Market Transaction with respect to the Loan, Borrower, Manager or the Property or any part thereof or the construction, use, alteration or operation thereof, or any part thereof, whether now or hereafter enacted and in force, including, without limitation, the Securities Act, the Exchange Act, Regulation AB, the rules and regulations promulgated pursuant to the Dodd-Frank Wall Street Reform and Consumer Protection Act, zoning and land use laws, the Americans with Disabilities Act of 1990, and all permits, licenses and authorizations and regulations relating thereto, and all covenants, agreements, restrictions and encumbrances contained in any instruments, either of record or known to Borrower, at any time in force affecting the Property or any part thereof, including any which may (i) require repairs, modifications or alterations in or to the Property or any part thereof, or (ii) in any way limit the use and enjoyment thereof.</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Letter of Credit</w:t>
      </w:r>
      <w:r>
        <w:rPr>
          <w:rFonts w:ascii="Arial" w:cs="Arial" w:eastAsia="Arial" w:hAnsi="Arial"/>
          <w:sz w:val="18"/>
          <w:szCs w:val="18"/>
          <w:color w:val="auto"/>
        </w:rPr>
        <w:t xml:space="preserve">” shall mean an irrevocable, unconditional, transferable (without payment of any transfer fee), clean sight draft letter of credit acceptable to Lender (either an evergreen letter of credit or one which does not expire until at least thirty (30) Business Days after the Stated Maturity Date) in favor of Lender and entitling Lender to draw thereon, in whole or in part, in New York, New York, issued by a domestic Approved LC Bank or the U.S. agency or branch of a foreign Approved LC Bank, the applicant/obligor under which shall not be Borrower. Any Letter of Credit delivered to Lender in connection with the Loan shall, in addition to any other requirements set forth herein, be subject to the terms and conditions set forth in </w:t>
      </w:r>
      <w:r>
        <w:rPr>
          <w:rFonts w:ascii="Arial" w:cs="Arial" w:eastAsia="Arial" w:hAnsi="Arial"/>
          <w:sz w:val="18"/>
          <w:szCs w:val="18"/>
          <w:u w:val="single" w:color="auto"/>
          <w:color w:val="auto"/>
        </w:rPr>
        <w:t>Section 4.34</w:t>
      </w:r>
      <w:r>
        <w:rPr>
          <w:rFonts w:ascii="Arial" w:cs="Arial" w:eastAsia="Arial" w:hAnsi="Arial"/>
          <w:sz w:val="18"/>
          <w:szCs w:val="18"/>
          <w:color w:val="auto"/>
        </w:rPr>
        <w:t xml:space="preserve"> hereof.</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shall mean any mortgage, deed of trust, lien (statutory or otherwise), pledge, hypothecation, easement, restrictive covenant, preference, assignment, security interest, PACE Loan or any other encumbrance, charge or transfer of, or any agreement to enter into or create any of the foregoing, on or affecting all or any portion of the Property or any interest therein, or any direct or indirect interest in Borrower, including any conditional sale or other title retention agreement, any financing lease having substantially the same economic effect as any of the foregoing, the creation or issuance of any Debt-Like Preferred Equity, the filing of any financing statement, and mechanic’s, materialmen’s and other similar liens and encumbrances.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w:t>
      </w:r>
      <w:r>
        <w:rPr>
          <w:rFonts w:ascii="Arial" w:cs="Arial" w:eastAsia="Arial" w:hAnsi="Arial"/>
          <w:sz w:val="18"/>
          <w:szCs w:val="18"/>
          <w:color w:val="auto"/>
        </w:rPr>
        <w:t>” shall mean the loan in the original principal amount of Thirty Million One Hundred Thousand and No/100 Dollars ($30,100,000.00) made by Lender to Borrower pursuant to this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 shall mean, collectively, this Agreement, the Note, the Mortgage, the Assignment of Leases, the Cash Management Agreement, the Clearing Account Agreement, the Assignment of Agreements, the Environmental Indemnity, the Assignment of Management Agreement (if any) and the Guaranty and any other documents, agreements and instruments now or hereafter evidencing, securing or delivered to Lender in connection with the Loan, as the same may be (and each of the foregoing defined terms shall refer to such documents as they may be) amended, restated, replaced, supplemented or otherwise modified from time to time.</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4" w:name="page295"/>
    <w:bookmarkEnd w:id="29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to Value Ratio</w:t>
      </w:r>
      <w:r>
        <w:rPr>
          <w:rFonts w:ascii="Arial" w:cs="Arial" w:eastAsia="Arial" w:hAnsi="Arial"/>
          <w:sz w:val="18"/>
          <w:szCs w:val="18"/>
          <w:color w:val="auto"/>
        </w:rPr>
        <w:t>” shall mean the ratio, as of a particular date, in which the numerator is equal to the Outstanding Principal Balance and the denominator is equal to the appraised value of the Property, as determined by Lender in its sole discretion.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Low DSCR Period</w:t>
      </w:r>
      <w:r>
        <w:rPr>
          <w:rFonts w:ascii="Arial" w:cs="Arial" w:eastAsia="Arial" w:hAnsi="Arial"/>
          <w:sz w:val="16"/>
          <w:szCs w:val="16"/>
          <w:color w:val="auto"/>
        </w:rPr>
        <w:t xml:space="preserve">” shall (I) commence if the Debt Service Coverage Ratio is less than 1.20:1.00 as of any Calculation Date, provided, however, if any Tenant (pursuant to a Major Lease and/or a Lease Sweep Lease) shall become subject to a Tenant Adjustment Event, then the Underwritten Net Cash Flow as of the most recent Calculation Date may be immediately adjusted downward by Lender and to the extent said adjustment results in a Debt Service Coverage Ratio that is below 1.20:1.00, a Low DSCR Period shall immediately commence and (II) end if the Property has achieved a Debt Service Coverage Ratio of at least 1.25:1.00 for two consecutive Calculation Dates, as determined by Lender (provided that if the financial reports required under </w:t>
      </w:r>
      <w:r>
        <w:rPr>
          <w:rFonts w:ascii="Arial" w:cs="Arial" w:eastAsia="Arial" w:hAnsi="Arial"/>
          <w:sz w:val="16"/>
          <w:szCs w:val="16"/>
          <w:u w:val="single" w:color="auto"/>
          <w:color w:val="auto"/>
        </w:rPr>
        <w:t>Sections 4.9.2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4.9.3</w:t>
      </w:r>
      <w:r>
        <w:rPr>
          <w:rFonts w:ascii="Arial" w:cs="Arial" w:eastAsia="Arial" w:hAnsi="Arial"/>
          <w:sz w:val="16"/>
          <w:szCs w:val="16"/>
          <w:color w:val="auto"/>
        </w:rPr>
        <w:t xml:space="preserve"> are not delivered to Lender as and when required hereunder, a Low DSCR Period shall be deemed to have commenced and be ongoing, unless and until such reports are delivered and they indicate that, in fact, no Low DSCR Period is ongoing).</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Contract</w:t>
      </w:r>
      <w:r>
        <w:rPr>
          <w:rFonts w:ascii="Arial" w:cs="Arial" w:eastAsia="Arial" w:hAnsi="Arial"/>
          <w:sz w:val="18"/>
          <w:szCs w:val="18"/>
          <w:color w:val="auto"/>
        </w:rPr>
        <w:t>” shall mean (i) any management, brokerage or leasing agreement, (ii) any cleaning, maintenance, service or other contract or agreement of any kind (other than Leases) of a material nature (materiality for these purposes to include, without limitation, contracts which extend beyond one year (unless cancelable on thirty (30) days or less notice without requiring the payment of termination fees or payments of any kind)), or (iii) any contract or agreement with an Affiliate of Borrower, in any case relating to the ownership, leasing, management, use, operation, maintenance, repair or restoration of the Property, whether written or oral.</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Lease</w:t>
      </w:r>
      <w:r>
        <w:rPr>
          <w:rFonts w:ascii="Arial" w:cs="Arial" w:eastAsia="Arial" w:hAnsi="Arial"/>
          <w:sz w:val="18"/>
          <w:szCs w:val="18"/>
          <w:color w:val="auto"/>
        </w:rPr>
        <w:t>” shall mean any Lease which, either individually, or when taken together with any other Lease with the same Tenant or its Affiliates, and assuming the exercise of all expansion rights and all preferential rights to lease additional space contained in such Lease, (i) covers more than 40,000 rentable square feet, (ii) contains an option or other preferential right to purchase all or any portion of the Property, (iii) is a Borrower Affiliated Lease, (iv) is entered into during the continuance of a Trigger Period (other than a Trigger Period continuing solely because of the continuance of a Mezzanine Trigger Period), or (v) is a Lease Sweep Lease.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Agreement</w:t>
      </w:r>
      <w:r>
        <w:rPr>
          <w:rFonts w:ascii="Arial" w:cs="Arial" w:eastAsia="Arial" w:hAnsi="Arial"/>
          <w:sz w:val="18"/>
          <w:szCs w:val="18"/>
          <w:color w:val="auto"/>
        </w:rPr>
        <w:t>” shall mean, if applicable, any management agreement entered into by and between Borrower and a Manager in accordance with the terms of the Loan Documents, in each case, pursuant to which the Manager is to provide management and other services with respect to the Property.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shall mean any manager engaged in accordance with the terms and conditions of the Loan Documents.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Alteration</w:t>
      </w:r>
      <w:r>
        <w:rPr>
          <w:rFonts w:ascii="Arial" w:cs="Arial" w:eastAsia="Arial" w:hAnsi="Arial"/>
          <w:sz w:val="17"/>
          <w:szCs w:val="17"/>
          <w:color w:val="auto"/>
        </w:rPr>
        <w:t>” shall mean any alteration affecting structural elements of the Improvements, utility or HVAC system contained in any Improvements or the exterior of the Property, the cost of which exceeds the Alteration Threshold; provided, however, that in no event shall (i) any Required Repairs, (ii) any tenant improvement work performed pursuant to any Lease existing on the date hereof or entered into hereafter in accordance with the provisions of this Agreement, or (iii) alterations performed as part of a Restoration, constitute a Material Alteration.</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5" w:name="page296"/>
    <w:bookmarkEnd w:id="29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shall mean the date on which the final payment of principal of the Note becomes due and payable as herein and therein provided, whether at the Stated Maturity Date, by declaration of acceleration, extension or otherwise.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Maximum Legal Rate</w:t>
      </w:r>
      <w:r>
        <w:rPr>
          <w:rFonts w:ascii="Arial" w:cs="Arial" w:eastAsia="Arial" w:hAnsi="Arial"/>
          <w:sz w:val="17"/>
          <w:szCs w:val="17"/>
          <w:color w:val="auto"/>
        </w:rPr>
        <w:t>” shall mean the maximum nonusurious interest rate, if any, that at any time or from time to time may be contracted for, taken, reserved, charged or received on the indebtedness evidenced by the Note and as provided for herein or the other Loan Documents, under the laws of such Governmental Authority whose laws are held by any court of competent jurisdiction to govern the interest rate provisions of the Loan.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Mezzanine Trigger Period</w:t>
      </w:r>
      <w:r>
        <w:rPr>
          <w:rFonts w:ascii="Arial" w:cs="Arial" w:eastAsia="Arial" w:hAnsi="Arial"/>
          <w:sz w:val="18"/>
          <w:szCs w:val="18"/>
          <w:color w:val="auto"/>
        </w:rPr>
        <w:t>” shall commence and continue for so long as any New Mezzanine Loan is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Debt Service Payment Amount</w:t>
      </w:r>
      <w:r>
        <w:rPr>
          <w:rFonts w:ascii="Arial" w:cs="Arial" w:eastAsia="Arial" w:hAnsi="Arial"/>
          <w:sz w:val="18"/>
          <w:szCs w:val="18"/>
          <w:color w:val="auto"/>
        </w:rPr>
        <w:t>” shall mean a constant monthly payment of $160,378.49.</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Monthly Operating Expense Budgeted Amount</w:t>
      </w:r>
      <w:r>
        <w:rPr>
          <w:rFonts w:ascii="Arial" w:cs="Arial" w:eastAsia="Arial" w:hAnsi="Arial"/>
          <w:sz w:val="17"/>
          <w:szCs w:val="17"/>
          <w:color w:val="auto"/>
        </w:rPr>
        <w:t>” shall mean the monthly amount set forth in the Approved Annual Budget for operating expenses for the calendar month in which such Monthly Payment Date occurs; provided that management fees payable to Manager as part of the Monthly Operating Expense Budgeted Amount shall not exceed three percent (3%) of Rents (“</w:t>
      </w:r>
      <w:r>
        <w:rPr>
          <w:rFonts w:ascii="Arial" w:cs="Arial" w:eastAsia="Arial" w:hAnsi="Arial"/>
          <w:sz w:val="17"/>
          <w:szCs w:val="17"/>
          <w:b w:val="1"/>
          <w:bCs w:val="1"/>
          <w:i w:val="1"/>
          <w:iCs w:val="1"/>
          <w:color w:val="auto"/>
        </w:rPr>
        <w:t>Management Fee Cap</w:t>
      </w:r>
      <w:r>
        <w:rPr>
          <w:rFonts w:ascii="Arial" w:cs="Arial" w:eastAsia="Arial" w:hAnsi="Arial"/>
          <w:sz w:val="17"/>
          <w:szCs w:val="17"/>
          <w:color w:val="auto"/>
        </w:rPr>
        <w:t>”).</w:t>
      </w:r>
    </w:p>
    <w:p>
      <w:pPr>
        <w:spacing w:after="0" w:line="155" w:lineRule="exact"/>
        <w:rPr>
          <w:sz w:val="20"/>
          <w:szCs w:val="20"/>
          <w:color w:val="auto"/>
        </w:rPr>
      </w:pPr>
    </w:p>
    <w:p>
      <w:pPr>
        <w:jc w:val="both"/>
        <w:ind w:firstLine="648"/>
        <w:spacing w:after="0" w:line="2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Payment Date</w:t>
      </w:r>
      <w:r>
        <w:rPr>
          <w:rFonts w:ascii="Arial" w:cs="Arial" w:eastAsia="Arial" w:hAnsi="Arial"/>
          <w:sz w:val="18"/>
          <w:szCs w:val="18"/>
          <w:color w:val="auto"/>
        </w:rPr>
        <w:t>” shall mean the sixth (6</w:t>
      </w:r>
      <w:r>
        <w:rPr>
          <w:rFonts w:ascii="Arial" w:cs="Arial" w:eastAsia="Arial" w:hAnsi="Arial"/>
          <w:sz w:val="29"/>
          <w:szCs w:val="29"/>
          <w:color w:val="auto"/>
          <w:vertAlign w:val="superscript"/>
        </w:rPr>
        <w:t>th</w:t>
      </w:r>
      <w:r>
        <w:rPr>
          <w:rFonts w:ascii="Arial" w:cs="Arial" w:eastAsia="Arial" w:hAnsi="Arial"/>
          <w:sz w:val="18"/>
          <w:szCs w:val="18"/>
          <w:color w:val="auto"/>
        </w:rPr>
        <w:t>) day of every calendar month occurring during the Term. The first Monthly Payment Date shall be September 6, 2021.</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shall mean Moody’s Investors Service, Inc. and its successor-in-interest.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Mortgage</w:t>
      </w:r>
      <w:r>
        <w:rPr>
          <w:rFonts w:ascii="Arial" w:cs="Arial" w:eastAsia="Arial" w:hAnsi="Arial"/>
          <w:sz w:val="16"/>
          <w:szCs w:val="16"/>
          <w:color w:val="auto"/>
        </w:rPr>
        <w:t>” shall mean that certain first priority Fee and Leasehold Deed of Trust, Assignment of Leases and Rents, Security Agreement and Fixture Filing, dated the date hereof, executed and delivered by Borrower and the Industrial Development Board of the City of Chattanooga as security for the Loan and encumbering the Property, as the same may be amended, restated, replaced, supplemented or otherwise modified from time to time.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NRSRO</w:t>
      </w:r>
      <w:r>
        <w:rPr>
          <w:rFonts w:ascii="Arial" w:cs="Arial" w:eastAsia="Arial" w:hAnsi="Arial"/>
          <w:sz w:val="18"/>
          <w:szCs w:val="18"/>
          <w:color w:val="auto"/>
        </w:rPr>
        <w:t>” shall mean any credit rating agency that has elected to be treated as a nationally recognized statistical rating organization for purposes of Section 15E of the Exchange Act, without regard to whether or not such credit rating agency has been engaged by Lender or its designees in connection with, or in anticipation of, a Securitization.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Obligations</w:t>
      </w:r>
      <w:r>
        <w:rPr>
          <w:rFonts w:ascii="Arial" w:cs="Arial" w:eastAsia="Arial" w:hAnsi="Arial"/>
          <w:sz w:val="17"/>
          <w:szCs w:val="17"/>
          <w:color w:val="auto"/>
        </w:rPr>
        <w:t>” shall mean, collectively, Borrower’s obligations for the payment of the Debt and the performance of the Other Obligations.</w:t>
      </w:r>
    </w:p>
    <w:p>
      <w:pPr>
        <w:spacing w:after="0" w:line="2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Occupancy Conditions</w:t>
      </w:r>
      <w:r>
        <w:rPr>
          <w:rFonts w:ascii="Arial" w:cs="Arial" w:eastAsia="Arial" w:hAnsi="Arial"/>
          <w:sz w:val="17"/>
          <w:szCs w:val="17"/>
          <w:color w:val="auto"/>
        </w:rPr>
        <w:t>” shall mean the delivery by Borrower to Lender of evidence reasonably satisfactory to Lender (including an estoppel certificate executed by the relevant Tenant(s)) that (A) the entire subject Lease Sweep Space is tenanted under one or more Qualified Leases, (B) each such Tenant has taken occupancy of the entire space demised to such Tenant, (C) all contingencies under all such Lease(s) to the effectiveness of the Lease(s) have been satisfied, (D) all leasing commissions payable in connection with any such Lease have been paid and all tenant improvement obligations or other landlord obligations of an inducement nature have either been completed or paid in full or, alternatively, sufficient funds will be retained in the Lease Sweep Account for such purposes (the “</w:t>
      </w:r>
      <w:r>
        <w:rPr>
          <w:rFonts w:ascii="Arial" w:cs="Arial" w:eastAsia="Arial" w:hAnsi="Arial"/>
          <w:sz w:val="17"/>
          <w:szCs w:val="17"/>
          <w:b w:val="1"/>
          <w:bCs w:val="1"/>
          <w:i w:val="1"/>
          <w:iCs w:val="1"/>
          <w:color w:val="auto"/>
        </w:rPr>
        <w:t>Unpaid TILC Obligation Amount</w:t>
      </w:r>
      <w:r>
        <w:rPr>
          <w:rFonts w:ascii="Arial" w:cs="Arial" w:eastAsia="Arial" w:hAnsi="Arial"/>
          <w:sz w:val="17"/>
          <w:szCs w:val="17"/>
          <w:color w:val="auto"/>
        </w:rPr>
        <w:t>”), (E) such Tenant has actually commenced paying full contractual rent under the applicable Lease and any initial free rent period or period of partial rent abatements has expired or, alternatively, sufficient funds will be retained in the Lease Sweep Account to account for all remaining scheduled free rent periods or rent abatements (the “</w:t>
      </w:r>
      <w:r>
        <w:rPr>
          <w:rFonts w:ascii="Arial" w:cs="Arial" w:eastAsia="Arial" w:hAnsi="Arial"/>
          <w:sz w:val="17"/>
          <w:szCs w:val="17"/>
          <w:b w:val="1"/>
          <w:bCs w:val="1"/>
          <w:i w:val="1"/>
          <w:iCs w:val="1"/>
          <w:color w:val="auto"/>
        </w:rPr>
        <w:t>Remaining Rent Abatement Amount</w:t>
      </w:r>
      <w:r>
        <w:rPr>
          <w:rFonts w:ascii="Arial" w:cs="Arial" w:eastAsia="Arial" w:hAnsi="Arial"/>
          <w:sz w:val="17"/>
          <w:szCs w:val="17"/>
          <w:color w:val="auto"/>
        </w:rPr>
        <w:t>”) and (F) the rent commencement date under all such Lease(s) has been set.</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6" w:name="page297"/>
    <w:bookmarkEnd w:id="296"/>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shall mean a certificate delivered to Lender by Borrower which is signed by an authorized senior officer of Borrower.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Prepayment Date</w:t>
      </w:r>
      <w:r>
        <w:rPr>
          <w:rFonts w:ascii="Arial" w:cs="Arial" w:eastAsia="Arial" w:hAnsi="Arial"/>
          <w:sz w:val="18"/>
          <w:szCs w:val="18"/>
          <w:color w:val="auto"/>
        </w:rPr>
        <w:t>” shall mean the Monthly Payment Date occurring in May, 2031.</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Operating Expenses</w:t>
      </w:r>
      <w:r>
        <w:rPr>
          <w:rFonts w:ascii="Arial" w:cs="Arial" w:eastAsia="Arial" w:hAnsi="Arial"/>
          <w:sz w:val="17"/>
          <w:szCs w:val="17"/>
          <w:color w:val="auto"/>
        </w:rPr>
        <w:t xml:space="preserve">” shall mean, for any period, without duplication, all expenses actually paid or payable by Borrower during such period in connection with the operation, management, maintenance, repair and use of the Property, determined on an accrual basis, and, except to the extent otherwise provided in this definition, in accordance with GAAP. Operating Expenses specifically shall include (i) all expenses incurred in the immediately preceding twelve (12) month period based on quarterly financial statements delivered to Lender in accordance with </w:t>
      </w:r>
      <w:r>
        <w:rPr>
          <w:rFonts w:ascii="Arial" w:cs="Arial" w:eastAsia="Arial" w:hAnsi="Arial"/>
          <w:sz w:val="17"/>
          <w:szCs w:val="17"/>
          <w:u w:val="single" w:color="auto"/>
          <w:color w:val="auto"/>
        </w:rPr>
        <w:t>Section 4.9.2</w:t>
      </w:r>
      <w:r>
        <w:rPr>
          <w:rFonts w:ascii="Arial" w:cs="Arial" w:eastAsia="Arial" w:hAnsi="Arial"/>
          <w:sz w:val="17"/>
          <w:szCs w:val="17"/>
          <w:color w:val="auto"/>
        </w:rPr>
        <w:t xml:space="preserve"> hereof, (ii) all payments required to be made pursuant to any Operations Agreements, (iii) property management fees in an amount equal to the management fees actually paid under the Management Agreement, (iv) administrative, payroll, security and general expenses for the Property, (v) the cost of utilities, inventories and fixed asset supplies consumed in the operation of the Property, (vi) a reasonable reserve for uncollectible accounts, (vii) costs and fees of Independent professionals (including, without limitation, legal, accounting, consultants and other professional expenses), technical consultants, operational experts (including quality assurance inspectors) or other third parties retained to perform services required or permitted hereunder, (viii) cost of attendance by employees at training and manpower development programs, (ix) association dues, (x) computer processing charges, (xi) operational equipment and other lease payments, (xii) Taxes and Other Charges (other than income taxes or Other Charges in the nature of income taxes) and insurance premiums and (xiii) all underwritten reserves required by Lender hereunder (without duplication). Notwithstanding the foregoing, Operating Expenses shall not include (1) depreciation or amortization, (2) income taxes or Other Charges in the nature of income taxes, (3) any expenses (including legal, accounting and other professional fees, expenses and disbursements) incurred in connection with the making of the Loan or the sale, exchange, transfer, financing or refinancing of all or any portion of the Property or in connection with the recovery of Insurance Proceeds or Awards which are applied to prepay the Note, (4) Capital Expenditures, (5) Debt Service, and (6) any item of expense which would otherwise be considered within Operating Expenses pursuant to the provisions above but is paid directly by any Tenant.</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Operations Agreements</w:t>
      </w:r>
      <w:r>
        <w:rPr>
          <w:rFonts w:ascii="Arial" w:cs="Arial" w:eastAsia="Arial" w:hAnsi="Arial"/>
          <w:sz w:val="17"/>
          <w:szCs w:val="17"/>
          <w:color w:val="auto"/>
        </w:rPr>
        <w:t xml:space="preserve">” shall mean each REA, the PILOT Documents, and any other covenants, restrictions, easements, declarations or agreements of record relating to the construction, operation or use of the Property, together with all amendments, modifications or supplements thereto, including, without limitation, those certain documents and/or instruments set forth on </w:t>
      </w:r>
      <w:r>
        <w:rPr>
          <w:rFonts w:ascii="Arial" w:cs="Arial" w:eastAsia="Arial" w:hAnsi="Arial"/>
          <w:sz w:val="17"/>
          <w:szCs w:val="17"/>
          <w:u w:val="single" w:color="auto"/>
          <w:color w:val="auto"/>
        </w:rPr>
        <w:t>Schedule XIII</w:t>
      </w:r>
      <w:r>
        <w:rPr>
          <w:rFonts w:ascii="Arial" w:cs="Arial" w:eastAsia="Arial" w:hAnsi="Arial"/>
          <w:sz w:val="17"/>
          <w:szCs w:val="17"/>
          <w:color w:val="auto"/>
        </w:rPr>
        <w:t xml:space="preserve"> hereto.</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7" w:name="page298"/>
    <w:bookmarkEnd w:id="297"/>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Charges</w:t>
      </w:r>
      <w:r>
        <w:rPr>
          <w:rFonts w:ascii="Arial" w:cs="Arial" w:eastAsia="Arial" w:hAnsi="Arial"/>
          <w:sz w:val="18"/>
          <w:szCs w:val="18"/>
          <w:color w:val="auto"/>
        </w:rPr>
        <w:t>” shall mean all ground rents, maintenance charges, impositions other than Taxes and any other charges, including vault charges and license fees for the use of vaults, chutes and similar areas adjoining the Property, now or hereafter levied or assessed or imposed against the Property or any part thereof.</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Obligations</w:t>
      </w:r>
      <w:r>
        <w:rPr>
          <w:rFonts w:ascii="Arial" w:cs="Arial" w:eastAsia="Arial" w:hAnsi="Arial"/>
          <w:sz w:val="18"/>
          <w:szCs w:val="18"/>
          <w:color w:val="auto"/>
        </w:rPr>
        <w:t>” shall mean (a) the performance of all obligations of Borrower contained herein; (b) the performance of each obligation of Borrower contained in any other Loan Document; and (c) the performance of each obligation of Borrower contained in any renewal, extension, amendment, modification, consolidation, change of, or substitution or replacement for, all or any part of this Agreement, the Note or any other Loan Document.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 Principal Balance</w:t>
      </w:r>
      <w:r>
        <w:rPr>
          <w:rFonts w:ascii="Arial" w:cs="Arial" w:eastAsia="Arial" w:hAnsi="Arial"/>
          <w:sz w:val="18"/>
          <w:szCs w:val="18"/>
          <w:color w:val="auto"/>
        </w:rPr>
        <w:t>” shall mean, as of any date, the outstanding principal balance of the Loan.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PACE Loan</w:t>
      </w:r>
      <w:r>
        <w:rPr>
          <w:rFonts w:ascii="Arial" w:cs="Arial" w:eastAsia="Arial" w:hAnsi="Arial"/>
          <w:sz w:val="17"/>
          <w:szCs w:val="17"/>
          <w:color w:val="auto"/>
        </w:rPr>
        <w:t>” shall mean (x) any “Property-Assessed Clean Energy loan” or (y) any other indebtedness, without regard to the name given to such indebtedness, which is (i) incurred for improvements to the Property for the purpose of increasing energy efficiency, increasing use of renewable energy sources, resource conservation, or a combination of the foregoing, and (ii) repaid through multi-year assessments against the Property.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shall mean the Uniting and Strengthening America by Providing Appropriate Tools Required to Intercept and Obstruct Terrorism Act (USA PATRIOT ACT) of 2001, as the same was restored and amended by Uniting and Strengthening America by Fulfilling Rights and Ensuring Effective Discipline Over Monitoring Act (USA FREEDOM Act) of 2015 and as the same may be further amended, extended, replaced or otherwise modified from time to time, and any corresponding provisions of future laws.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Encumbrances</w:t>
      </w:r>
      <w:r>
        <w:rPr>
          <w:rFonts w:ascii="Arial" w:cs="Arial" w:eastAsia="Arial" w:hAnsi="Arial"/>
          <w:sz w:val="16"/>
          <w:szCs w:val="16"/>
          <w:color w:val="auto"/>
        </w:rPr>
        <w:t>” shall mean, collectively, (i) the Liens and security interests created by the Loan Documents, (ii) all encumbrances and other matters disclosed in the Title Insurance Policy, (iii) Liens, if any, for Taxes or Other Charges imposed by any Governmental Authority not yet due or delinquent, (iv) any workers’, mechanics’ or other similar Liens on the Property provided that any such Lien is (A) bonded or discharged within thirty (30) days after Borrower first receives written notice of such Lien and/or (B) being contested in good faith pursuant to and in accordance with the requirements of Section 4.3 hereof, and (v) such other title and survey exceptions as Lender has approved or may approve in writing in Lender’s reasonable discretion.</w:t>
      </w:r>
    </w:p>
    <w:p>
      <w:pPr>
        <w:spacing w:after="0" w:line="16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mean any individual, corporation, partnership, limited liability company, joint venture, estate, trust, unincorporated association, any other entity, any country or Governmental Authority and any fiduciary acting in such capacity on behalf of any of the foregoing.</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Physical Conditions Report</w:t>
      </w:r>
      <w:r>
        <w:rPr>
          <w:rFonts w:ascii="Arial" w:cs="Arial" w:eastAsia="Arial" w:hAnsi="Arial"/>
          <w:sz w:val="18"/>
          <w:szCs w:val="18"/>
          <w:color w:val="auto"/>
        </w:rPr>
        <w:t>” shall mean that certain Property Condition Report, prepared by Partner ESI, Partner Project Number 21-323567.1 and dated as of June 22, 2021.</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PILOT Agreement</w:t>
      </w:r>
      <w:r>
        <w:rPr>
          <w:rFonts w:ascii="Arial" w:cs="Arial" w:eastAsia="Arial" w:hAnsi="Arial"/>
          <w:sz w:val="18"/>
          <w:szCs w:val="18"/>
          <w:color w:val="auto"/>
        </w:rPr>
        <w:t>” shall mean that certain Agreement For Payments in Lieu of Ad Valorem Taxes, dated as of the date hereof, by and among The Industrial Development Board Of The City Of Chattanooga, PUREgraphite LLC, a Delaware limited liability company, Novonix 1029, LLC, a Delaware limited liability company, the City of Chattanooga, Hamilton County and joined in, for purposes of evidencing their acceptance of the agency relationship established therein, by William F. Hullander and his successors, acting in the capacity of Hamilton County and by Marty Haynes and his successors, acting in the capacity of Hamilton County Assessor of Property, as the same may be amended, supplemented or otherwise modified from time in accordance with this Agreement.</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8" w:name="page299"/>
    <w:bookmarkEnd w:id="298"/>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PILOT Documents</w:t>
      </w:r>
      <w:r>
        <w:rPr>
          <w:rFonts w:ascii="Arial" w:cs="Arial" w:eastAsia="Arial" w:hAnsi="Arial"/>
          <w:sz w:val="16"/>
          <w:szCs w:val="16"/>
          <w:color w:val="auto"/>
        </w:rPr>
        <w:t>” shall mean, individually and/or collectively, as the context may require, (i) the PILOT Agreement and (ii) the Ground Lease.</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PILOT Payments</w:t>
      </w:r>
      <w:r>
        <w:rPr>
          <w:rFonts w:ascii="Arial" w:cs="Arial" w:eastAsia="Arial" w:hAnsi="Arial"/>
          <w:sz w:val="18"/>
          <w:szCs w:val="18"/>
          <w:color w:val="auto"/>
        </w:rPr>
        <w:t>” shall mean all amounts that are required to be paid by or on behalf of Borrower, any Borrower Affiliated Tenant (including, without limitation, PUREgraphite Tenant), and/or their respective successors and/or assigns, as applicable, pursuant to any of the PILOT Documents, including, without limitation, any PILOT Clawback Liabilities.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Prepayment Fee</w:t>
      </w:r>
      <w:r>
        <w:rPr>
          <w:rFonts w:ascii="Arial" w:cs="Arial" w:eastAsia="Arial" w:hAnsi="Arial"/>
          <w:sz w:val="18"/>
          <w:szCs w:val="18"/>
          <w:color w:val="auto"/>
        </w:rPr>
        <w:t>” shall mean an amount equal to the greater of (i) the Yield Maintenance Amount and (ii) five percent (5%) of the unpaid principal balance of the Note as of the Repayment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Prepayment Notice</w:t>
      </w:r>
      <w:r>
        <w:rPr>
          <w:rFonts w:ascii="Arial" w:cs="Arial" w:eastAsia="Arial" w:hAnsi="Arial"/>
          <w:sz w:val="18"/>
          <w:szCs w:val="18"/>
          <w:color w:val="auto"/>
        </w:rPr>
        <w:t xml:space="preserve">” shall mean a prior irrevocable written notice to Lender specifying the proposed Business Day on which a prepayment of the Debt is to be made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which date must be a Monthly Payment Date and shall be no earlier than thirty (30) days after the date of such Prepayment Notice and no later than sixty (60) days after the date of such Prepayment Notice.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Prohibited Person</w:t>
      </w:r>
      <w:r>
        <w:rPr>
          <w:rFonts w:ascii="Arial" w:cs="Arial" w:eastAsia="Arial" w:hAnsi="Arial"/>
          <w:sz w:val="18"/>
          <w:szCs w:val="18"/>
          <w:color w:val="auto"/>
        </w:rPr>
        <w:t>” shall mean any Person:</w:t>
      </w:r>
    </w:p>
    <w:p>
      <w:pPr>
        <w:spacing w:after="0" w:line="225" w:lineRule="exact"/>
        <w:rPr>
          <w:sz w:val="20"/>
          <w:szCs w:val="20"/>
          <w:color w:val="auto"/>
        </w:rPr>
      </w:pPr>
    </w:p>
    <w:p>
      <w:pPr>
        <w:ind w:left="1300" w:hanging="644"/>
        <w:spacing w:after="0"/>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that is listed on any Government List or is otherwise a Proscribed Person;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that is listed on the annex to, or is otherwise subject to the provisions of, Executive Order 13224;</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who commits, threatens, conspires to commit or supports “terrorism” as defined in Executive Order 13224;</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that is owned or Controlled by, or acting for on behalf of, any Person that is described in the foregoing </w:t>
      </w:r>
      <w:r>
        <w:rPr>
          <w:rFonts w:ascii="Arial" w:cs="Arial" w:eastAsia="Arial" w:hAnsi="Arial"/>
          <w:sz w:val="18"/>
          <w:szCs w:val="18"/>
          <w:u w:val="single" w:color="auto"/>
          <w:color w:val="auto"/>
        </w:rPr>
        <w:t>clauses(i)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or its otherwise subject to the provisions of Executive Order 13224;</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with whom another Person is prohibited from dealing or otherwise engaging in any transaction by any terrorism or money laundering law, including the Patriot Act, Executive Order 13224 and any Anti-Money Laundering Laws;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that is an Embargoed Person;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who is an Affiliate of any Person that is described in any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above;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is a Disqualified Person.</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9" w:name="page300"/>
    <w:bookmarkEnd w:id="299"/>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xml:space="preserve">” shall mean the parcel or parcels of real property described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and made a part hereof demised under a Ground Lease, the Improvements now or hereafter erected or installed thereon and all personal property owned by Borrower and encumbered by the Mortgage, together with all rights pertaining to such property and Improvements, all as more particularly described in the Granting Clauses of the Mortgage.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Provided Information</w:t>
      </w:r>
      <w:r>
        <w:rPr>
          <w:rFonts w:ascii="Arial" w:cs="Arial" w:eastAsia="Arial" w:hAnsi="Arial"/>
          <w:sz w:val="18"/>
          <w:szCs w:val="18"/>
          <w:color w:val="auto"/>
        </w:rPr>
        <w:t>” shall mean any and all financial and other information provided at any time prepared by, or on behalf of, Borrower, Manager, Tenants and/or Guarantor.</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PUREgraphite Lease</w:t>
      </w:r>
      <w:r>
        <w:rPr>
          <w:rFonts w:ascii="Arial" w:cs="Arial" w:eastAsia="Arial" w:hAnsi="Arial"/>
          <w:sz w:val="16"/>
          <w:szCs w:val="16"/>
          <w:color w:val="auto"/>
        </w:rPr>
        <w:t>” shall mean that certain Industrial Triple Net Lease, dated as of the date hereof, by and between Borrower, as landlord, and PUREgraphite Tenant, as tenant, as the same may be amended, supplemented or otherwise modified from time in accordance with this Agreement.</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PUREgraphite Tenant</w:t>
      </w:r>
      <w:r>
        <w:rPr>
          <w:rFonts w:ascii="Arial" w:cs="Arial" w:eastAsia="Arial" w:hAnsi="Arial"/>
          <w:sz w:val="18"/>
          <w:szCs w:val="18"/>
          <w:color w:val="auto"/>
        </w:rPr>
        <w:t>” shall mean PUREgraphite LLC, a Delaware limited liability company. For the avoidance of doubt, PUREgraphite Tenant is an Affiliate of Borrower, Guarantor and Key Principal.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PUREgraphite Tenant Operation Commencement Date</w:t>
      </w:r>
      <w:r>
        <w:rPr>
          <w:rFonts w:ascii="Arial" w:cs="Arial" w:eastAsia="Arial" w:hAnsi="Arial"/>
          <w:sz w:val="18"/>
          <w:szCs w:val="18"/>
          <w:color w:val="auto"/>
        </w:rPr>
        <w:t>” shall mean the earliest date during the Term of the Loan on which PUREgraphite Tenant (i) has accepted delivery of, and taken possession of the entire Lease Sweep Space and (ii) is operating in the applicable Lease Sweep Space in the ordinary course.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PUREgraphite Tenant Outside Operation Commencement Date</w:t>
      </w:r>
      <w:r>
        <w:rPr>
          <w:rFonts w:ascii="Arial" w:cs="Arial" w:eastAsia="Arial" w:hAnsi="Arial"/>
          <w:sz w:val="18"/>
          <w:szCs w:val="18"/>
          <w:color w:val="auto"/>
        </w:rPr>
        <w:t>” shall mean December 28,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PUREgraphite Lease Guarantor</w:t>
      </w:r>
      <w:r>
        <w:rPr>
          <w:rFonts w:ascii="Arial" w:cs="Arial" w:eastAsia="Arial" w:hAnsi="Arial"/>
          <w:sz w:val="18"/>
          <w:szCs w:val="18"/>
          <w:color w:val="auto"/>
        </w:rPr>
        <w:t>” shall mean Novonix Limited, an Australian public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PUREgraphite Lease Guaranty</w:t>
      </w:r>
      <w:r>
        <w:rPr>
          <w:rFonts w:ascii="Arial" w:cs="Arial" w:eastAsia="Arial" w:hAnsi="Arial"/>
          <w:sz w:val="18"/>
          <w:szCs w:val="18"/>
          <w:color w:val="auto"/>
        </w:rPr>
        <w:t>” shall mean that certain Lease Guaranty, dated as of the date hereof, given by PUREgraphite Lease Guarantor for the benefit of Borrower, as landlord under the PUREgraphite Lease, as the same may be amended, supplemented or otherwise modified from time in accordance with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Lease</w:t>
      </w:r>
      <w:r>
        <w:rPr>
          <w:rFonts w:ascii="Arial" w:cs="Arial" w:eastAsia="Arial" w:hAnsi="Arial"/>
          <w:sz w:val="18"/>
          <w:szCs w:val="18"/>
          <w:color w:val="auto"/>
        </w:rPr>
        <w:t>” means a replacement lease (i) with a term that extends at least five (5) years beyond the end of the Loan Term</w:t>
      </w:r>
      <w:r>
        <w:rPr>
          <w:rFonts w:ascii="Arial" w:cs="Arial" w:eastAsia="Arial" w:hAnsi="Arial"/>
          <w:sz w:val="18"/>
          <w:szCs w:val="18"/>
          <w:b w:val="1"/>
          <w:bCs w:val="1"/>
          <w:color w:val="auto"/>
        </w:rPr>
        <w:t>,</w:t>
      </w:r>
      <w:r>
        <w:rPr>
          <w:rFonts w:ascii="Arial" w:cs="Arial" w:eastAsia="Arial" w:hAnsi="Arial"/>
          <w:sz w:val="18"/>
          <w:szCs w:val="18"/>
          <w:color w:val="auto"/>
        </w:rPr>
        <w:t xml:space="preserve"> (ii) entered into in accordance with this Agreement and (iii) on market terms with respect to, among other things, base rent, additional rent and recoveries and tenant improvement allowances.</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Manager</w:t>
      </w:r>
      <w:r>
        <w:rPr>
          <w:rFonts w:ascii="Arial" w:cs="Arial" w:eastAsia="Arial" w:hAnsi="Arial"/>
          <w:sz w:val="18"/>
          <w:szCs w:val="18"/>
          <w:color w:val="auto"/>
        </w:rPr>
        <w:t>” shall mean (i) so long as Borrower is Controlled by Key Principal, a property management company owned and/or Controlled by Key Principal or (ii) an Unaffiliated Qualified Manager.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Transferee</w:t>
      </w:r>
      <w:r>
        <w:rPr>
          <w:rFonts w:ascii="Arial" w:cs="Arial" w:eastAsia="Arial" w:hAnsi="Arial"/>
          <w:sz w:val="18"/>
          <w:szCs w:val="18"/>
          <w:color w:val="auto"/>
        </w:rPr>
        <w:t>” shall mean a transferee for whom, prior to the Transfer, Lender shall have received and approved: (x) satisfactory evidence that the proposed transferee (1) has never been indicted or convicted of, or pled guilty or no contest to, a felony, (2) has never been indicted or convicted of, or pled guilty or no contest to, a Patriot Act Offense and is not on any Government List and is not otherwise a Prohibited Person, (3) has never been the subject of a voluntary or involuntary (to the extent the same has not been discharged) bankruptcy proceeding and (4) has no material outstanding judgments against such proposed transferee and (y) Satisfactory Search Results with respect to such proposed transferee and its direct and indirect owners.</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0" w:name="page301"/>
    <w:bookmarkEnd w:id="300"/>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Rating Agencies</w:t>
      </w:r>
      <w:r>
        <w:rPr>
          <w:rFonts w:ascii="Arial" w:cs="Arial" w:eastAsia="Arial" w:hAnsi="Arial"/>
          <w:sz w:val="17"/>
          <w:szCs w:val="17"/>
          <w:color w:val="auto"/>
        </w:rPr>
        <w:t>” shall mean any nationally-recognized statistical rating organization (e.g. S&amp;P, Moody’s, Fitch, DBRS Morningstar, Kroll or any successor thereto) that has been or will be engaged by Lender or its designees in connection with, or in anticipation of, a Securitization.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 Agency Confirmation</w:t>
      </w:r>
      <w:r>
        <w:rPr>
          <w:rFonts w:ascii="Arial" w:cs="Arial" w:eastAsia="Arial" w:hAnsi="Arial"/>
          <w:sz w:val="18"/>
          <w:szCs w:val="18"/>
          <w:color w:val="auto"/>
        </w:rPr>
        <w:t>” shall mean a written affirmation from each of the Rating Agencies that the credit rating of the Securities by such Rating Agency immediately prior to the occurrence of the event with respect to which such Rating Agency Confirmation is sought will not be qualified, downgraded or withdrawn as a result of the occurrence of such event, which affirmation may be granted or withheld in such Rating Agency’s sole and absolute discretion.</w:t>
      </w:r>
    </w:p>
    <w:p>
      <w:pPr>
        <w:spacing w:after="0" w:line="18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REA</w:t>
      </w:r>
      <w:r>
        <w:rPr>
          <w:rFonts w:ascii="Arial" w:cs="Arial" w:eastAsia="Arial" w:hAnsi="Arial"/>
          <w:sz w:val="16"/>
          <w:szCs w:val="16"/>
          <w:color w:val="auto"/>
        </w:rPr>
        <w:t xml:space="preserve">” shall mean, collectively, those certain agreement(s) more particularly described on </w:t>
      </w:r>
      <w:r>
        <w:rPr>
          <w:rFonts w:ascii="Arial" w:cs="Arial" w:eastAsia="Arial" w:hAnsi="Arial"/>
          <w:sz w:val="16"/>
          <w:szCs w:val="16"/>
          <w:b w:val="1"/>
          <w:bCs w:val="1"/>
          <w:u w:val="single" w:color="auto"/>
          <w:color w:val="auto"/>
        </w:rPr>
        <w:t>Schedule VII</w:t>
      </w:r>
      <w:r>
        <w:rPr>
          <w:rFonts w:ascii="Arial" w:cs="Arial" w:eastAsia="Arial" w:hAnsi="Arial"/>
          <w:sz w:val="16"/>
          <w:szCs w:val="16"/>
          <w:color w:val="auto"/>
        </w:rPr>
        <w:t xml:space="preserve"> attached hereto and made a part hereof, as the same may be amended, restated, supplemented or otherwise modified from time to time in accordance with the terms of this Agreement.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Regulation AB</w:t>
      </w:r>
      <w:r>
        <w:rPr>
          <w:rFonts w:ascii="Arial" w:cs="Arial" w:eastAsia="Arial" w:hAnsi="Arial"/>
          <w:sz w:val="16"/>
          <w:szCs w:val="16"/>
          <w:color w:val="auto"/>
        </w:rPr>
        <w:t>” shall mean Regulation AB under the Securities Act and the Exchange Act, as such Regulation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Change</w:t>
      </w:r>
      <w:r>
        <w:rPr>
          <w:rFonts w:ascii="Arial" w:cs="Arial" w:eastAsia="Arial" w:hAnsi="Arial"/>
          <w:sz w:val="18"/>
          <w:szCs w:val="18"/>
          <w:color w:val="auto"/>
        </w:rPr>
        <w:t>” shall mean, at any time hereafter, (i) any change in any Legal Requirement (including by repeal, amendment or otherwise) or in the interpretation or application thereof by any central bank or other Governmental Authority or (ii) any new or revised request, guidance or directive issued by any central bank or other Governmental Authority and applicable to Lender.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Loan</w:t>
      </w:r>
      <w:r>
        <w:rPr>
          <w:rFonts w:ascii="Arial" w:cs="Arial" w:eastAsia="Arial" w:hAnsi="Arial"/>
          <w:sz w:val="18"/>
          <w:szCs w:val="18"/>
          <w:color w:val="auto"/>
        </w:rPr>
        <w:t>” shall mean a loan to an Affiliate of Borrower or any Guarantor or secured by a Related Property, that is included in a Securitization with the Loan, and any other loan that is cross-collateralized with the Loan.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Property</w:t>
      </w:r>
      <w:r>
        <w:rPr>
          <w:rFonts w:ascii="Arial" w:cs="Arial" w:eastAsia="Arial" w:hAnsi="Arial"/>
          <w:sz w:val="18"/>
          <w:szCs w:val="18"/>
          <w:color w:val="auto"/>
        </w:rPr>
        <w:t>” shall mean a parcel of real property, together with improvements thereon and personal property related thereto, that is “related” within the meaning of the definition of Significant Obligor, to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REMIC Trust</w:t>
      </w:r>
      <w:r>
        <w:rPr>
          <w:rFonts w:ascii="Arial" w:cs="Arial" w:eastAsia="Arial" w:hAnsi="Arial"/>
          <w:sz w:val="17"/>
          <w:szCs w:val="17"/>
          <w:color w:val="auto"/>
        </w:rPr>
        <w:t>” shall mean a “real estate mortgage investment conduit” within the meaning of Section 860D of the Code that holds the Note.</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Rents</w:t>
      </w:r>
      <w:r>
        <w:rPr>
          <w:rFonts w:ascii="Arial" w:cs="Arial" w:eastAsia="Arial" w:hAnsi="Arial"/>
          <w:sz w:val="17"/>
          <w:szCs w:val="17"/>
          <w:color w:val="auto"/>
        </w:rPr>
        <w:t xml:space="preserve">” shall mean all rents, rent equivalents, “additional rent” (i.e. pass-throughs for operating expenses, real estate tax escalations and/or real estate tax pass-throughs, payments by Tenants on account of electrical consumption, porters’ wage escalations, condenser water charges and tap-in fees, freight elevator and HVAC overtime charges, charges for excessive rubbish removal and other sundry charges), moneys payable as damages (including payments by reason of the rejection of a Lease in a bankruptcy proceeding) or in lieu of rent or rent equivalents, royalties (including all oil and gas or other mineral royalties and bonuses), income, fees, receivables, receipts, revenues, deposits (including security, utility and other deposits), accounts, cash, issues, profits, charges for services rendered, and other payment and consideration of whatever form or nature received by or paid to or for the account of or benefit of Borrower, Manager or any of their respective agents or employees from any and all sources arising from or attributable to the Property and the Improvements, including all receivables, signage income, customer obligations, installment payment obligations and other obligations now existing or hereafter arising or created out of the sale, lease, sublease, license, concession or other grant of the right of the use and occupancy of the Property or rendering of services by Borrower, Manager or any of their respective agents or employees, and Insurance Proceeds, if any, from business interruption or other loss of income insurance, but only to the extent such Insurance Proceeds are treated as business or rental interruption Insurance Proceeds pursuant to </w:t>
      </w:r>
      <w:r>
        <w:rPr>
          <w:rFonts w:ascii="Arial" w:cs="Arial" w:eastAsia="Arial" w:hAnsi="Arial"/>
          <w:sz w:val="17"/>
          <w:szCs w:val="17"/>
          <w:u w:val="single" w:color="auto"/>
          <w:color w:val="auto"/>
        </w:rPr>
        <w:t>Section 5.4(f)</w:t>
      </w:r>
      <w:r>
        <w:rPr>
          <w:rFonts w:ascii="Arial" w:cs="Arial" w:eastAsia="Arial" w:hAnsi="Arial"/>
          <w:sz w:val="17"/>
          <w:szCs w:val="17"/>
          <w:color w:val="auto"/>
        </w:rPr>
        <w:t xml:space="preserve"> hereof.</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1" w:name="page302"/>
    <w:bookmarkEnd w:id="301"/>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Repayment Date</w:t>
      </w:r>
      <w:r>
        <w:rPr>
          <w:rFonts w:ascii="Arial" w:cs="Arial" w:eastAsia="Arial" w:hAnsi="Arial"/>
          <w:sz w:val="16"/>
          <w:szCs w:val="16"/>
          <w:color w:val="auto"/>
        </w:rPr>
        <w:t xml:space="preserve">” shall mean the date of a defeasance or prepayment (as applicable) of the Loan pursuant to the provisions of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Reserve Funds</w:t>
      </w:r>
      <w:r>
        <w:rPr>
          <w:rFonts w:ascii="Arial" w:cs="Arial" w:eastAsia="Arial" w:hAnsi="Arial"/>
          <w:sz w:val="17"/>
          <w:szCs w:val="17"/>
          <w:color w:val="auto"/>
        </w:rPr>
        <w:t xml:space="preserve">” shall mean, collectively, all funds deposited by Borrower with Lender or Deposit Bank pursuant to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of this Agreement, including, but not limited to, the Capital Expenditure Funds, the Insurance Funds, the Tax Funds, the Casualty and Condemnation Funds, the Cash Collateral Funds, the Scheduled Capital Expenditure Funds, the Earnout Reserve Funds, and the Rollover Funds.</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Restoration</w:t>
      </w:r>
      <w:r>
        <w:rPr>
          <w:rFonts w:ascii="Arial" w:cs="Arial" w:eastAsia="Arial" w:hAnsi="Arial"/>
          <w:sz w:val="16"/>
          <w:szCs w:val="16"/>
          <w:color w:val="auto"/>
        </w:rPr>
        <w:t>” shall mean the repair, restoration and re-tenanting of the Property after a Casualty or Condemnation as nearly as possible to the condition the Property was in immediately prior to such Casualty or Condemnation, with such alterations as may be reasonably approved by Lender.</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Restoration DSCR</w:t>
      </w:r>
      <w:r>
        <w:rPr>
          <w:rFonts w:ascii="Arial" w:cs="Arial" w:eastAsia="Arial" w:hAnsi="Arial"/>
          <w:sz w:val="18"/>
          <w:szCs w:val="18"/>
          <w:color w:val="auto"/>
        </w:rPr>
        <w:t>” shall mean, as of any date of determination, the ratio of (a) the Underwritten Net Cash Flow of the Property, based on (x) annualized in place Rents or annualized Rents under Leases that are reasonably expected by Lender to remain in place following the completion of such Restoration and (y) expenses on a pro forma basis, to (b) an amount equal to the annual Debt Service.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Restoration Threshold</w:t>
      </w:r>
      <w:r>
        <w:rPr>
          <w:rFonts w:ascii="Arial" w:cs="Arial" w:eastAsia="Arial" w:hAnsi="Arial"/>
          <w:sz w:val="18"/>
          <w:szCs w:val="18"/>
          <w:color w:val="auto"/>
        </w:rPr>
        <w:t>” shall mean $500,000.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shall mean Standard &amp; Poor’s Ratings Group, a division of the McGraw-Hill Companies.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Satisfactory Search Results</w:t>
      </w:r>
      <w:r>
        <w:rPr>
          <w:rFonts w:ascii="Arial" w:cs="Arial" w:eastAsia="Arial" w:hAnsi="Arial"/>
          <w:sz w:val="18"/>
          <w:szCs w:val="18"/>
          <w:color w:val="auto"/>
        </w:rPr>
        <w:t>” shall mean, with respect to any Person and its direct and indirect owners, (A) satisfactory completion by Lender of its anti-financial crime and “know your customer” procedures (internal or otherwise), including receipt of credit history, litigation, judgment, and other related searches, each of which are satisfactory to Lender in all respects and (B) confirmation satisfactory to Lender that such Person does not violate any Anti-Money Laundering Laws, is not on any Government List and is not otherwise a Prohibited Person.</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Scheduled Capital Expenditures</w:t>
      </w:r>
      <w:r>
        <w:rPr>
          <w:rFonts w:ascii="Arial" w:cs="Arial" w:eastAsia="Arial" w:hAnsi="Arial"/>
          <w:sz w:val="18"/>
          <w:szCs w:val="18"/>
          <w:color w:val="auto"/>
        </w:rPr>
        <w:t xml:space="preserve">” shall mean actual out-of-pocket Capital Expenditures to unaffiliated third-parties incurred by Borrower and specified on </w:t>
      </w:r>
      <w:r>
        <w:rPr>
          <w:rFonts w:ascii="Arial" w:cs="Arial" w:eastAsia="Arial" w:hAnsi="Arial"/>
          <w:sz w:val="18"/>
          <w:szCs w:val="18"/>
          <w:u w:val="single" w:color="auto"/>
          <w:color w:val="auto"/>
        </w:rPr>
        <w:t>Schedule X</w:t>
      </w:r>
      <w:r>
        <w:rPr>
          <w:rFonts w:ascii="Arial" w:cs="Arial" w:eastAsia="Arial" w:hAnsi="Arial"/>
          <w:sz w:val="18"/>
          <w:szCs w:val="18"/>
          <w:color w:val="auto"/>
        </w:rPr>
        <w:t xml:space="preserve"> hereto.</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2" w:name="page303"/>
    <w:bookmarkEnd w:id="30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Scheduled Capital Expenditures Work</w:t>
      </w:r>
      <w:r>
        <w:rPr>
          <w:rFonts w:ascii="Arial" w:cs="Arial" w:eastAsia="Arial" w:hAnsi="Arial"/>
          <w:sz w:val="18"/>
          <w:szCs w:val="18"/>
          <w:color w:val="auto"/>
        </w:rPr>
        <w:t xml:space="preserve">” shall mean the work associated with the Scheduled Capital Expenditures, performed in accordance with the plans and specifications annexed hereto as </w:t>
      </w:r>
      <w:r>
        <w:rPr>
          <w:rFonts w:ascii="Arial" w:cs="Arial" w:eastAsia="Arial" w:hAnsi="Arial"/>
          <w:sz w:val="18"/>
          <w:szCs w:val="18"/>
          <w:u w:val="single" w:color="auto"/>
          <w:color w:val="auto"/>
        </w:rPr>
        <w:t>Schedule XI</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Significant Obligor</w:t>
      </w:r>
      <w:r>
        <w:rPr>
          <w:rFonts w:ascii="Arial" w:cs="Arial" w:eastAsia="Arial" w:hAnsi="Arial"/>
          <w:sz w:val="18"/>
          <w:szCs w:val="18"/>
          <w:color w:val="auto"/>
        </w:rPr>
        <w:t>” shall have the meaning set forth in Item 1101(k) of Regulation AB under the Securities Act.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Special Taxes</w:t>
      </w:r>
      <w:r>
        <w:rPr>
          <w:rFonts w:ascii="Arial" w:cs="Arial" w:eastAsia="Arial" w:hAnsi="Arial"/>
          <w:sz w:val="16"/>
          <w:szCs w:val="16"/>
          <w:color w:val="auto"/>
        </w:rPr>
        <w:t>” shall mean any and all present or future taxes, levies, imposts, deductions, charges or withholdings, or any liabilities with respect thereto, including those arising after the Closing Date as a result of the adoption of or any change in law, treaty, rule, regulation, guideline or determination of a Governmental Authority or any change in the interpretation or application thereof by a Governmental Authority but excluding, in the case of Lender, such taxes (including income taxes, franchise taxes and branch profit taxes) as are imposed on or measured by Lender’s net income by the United States of America or any Governmental Authority of the jurisdiction under the laws under which Lender is organized or maintains a lending office.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State</w:t>
      </w:r>
      <w:r>
        <w:rPr>
          <w:rFonts w:ascii="Arial" w:cs="Arial" w:eastAsia="Arial" w:hAnsi="Arial"/>
          <w:sz w:val="18"/>
          <w:szCs w:val="18"/>
          <w:color w:val="auto"/>
        </w:rPr>
        <w:t>” shall mean Tennessee.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Stated Maturity Date</w:t>
      </w:r>
      <w:r>
        <w:rPr>
          <w:rFonts w:ascii="Arial" w:cs="Arial" w:eastAsia="Arial" w:hAnsi="Arial"/>
          <w:sz w:val="18"/>
          <w:szCs w:val="18"/>
          <w:color w:val="auto"/>
        </w:rPr>
        <w:t>” shall mean August 6, 2031.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Survey</w:t>
      </w:r>
      <w:r>
        <w:rPr>
          <w:rFonts w:ascii="Arial" w:cs="Arial" w:eastAsia="Arial" w:hAnsi="Arial"/>
          <w:sz w:val="18"/>
          <w:szCs w:val="18"/>
          <w:color w:val="auto"/>
        </w:rPr>
        <w:t>” shall mean a survey of the Property prepared by a surveyor licensed in the State and satisfactory to Lender and the company or companies issuing the Title Insurance Policy, and containing a certification of such surveyor satisfactory to Lender.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Swap Rate</w:t>
      </w:r>
      <w:r>
        <w:rPr>
          <w:rFonts w:ascii="Arial" w:cs="Arial" w:eastAsia="Arial" w:hAnsi="Arial"/>
          <w:sz w:val="18"/>
          <w:szCs w:val="18"/>
          <w:color w:val="auto"/>
        </w:rPr>
        <w:t>” shall mean the yield calculated by the linear interpolation of mid-market swap yields, as reported on Reuters Capital Markets screen 19901 (SEMI-BOND column) for the week ending prior to the Repayment Date, with maturities (one longer and one shorter) most nearly approximating the Stated Maturity Date (in the event Reuters Capital Markets screen 19901 is no longer available, Lender shall select a comparable publication to determine such yield).</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shall mean any and all present or future taxes, levies, imposts, duties, deductions, assessments, fees or other charges or withholdings (including backup withholding), or any liabilities with respect thereto (including any interest, additions to tax or penalties applicable thereto), including those arising after the Closing Date as a result of the adoption or taking effect of, or any change in law, treaty, rule, regulation, guideline or determination of a Governmental Authority or any change in the administration, interpretation, implementation or application thereof by a Governmental Authority, including without limitation, (i) any and all (x) real estate taxes, assessments, water rates or sewer rents and (y) PILOT Payments, and (ii) any and all personal property taxes, in each case, now or hereafter levied or assessed or imposed against the Property or part thereof, together with all interest and penalties thereon. All taxes referred to in clause (i) above, including all interest and penalties thereon, are hereinafter collectively referred to as “</w:t>
      </w:r>
      <w:r>
        <w:rPr>
          <w:rFonts w:ascii="Arial" w:cs="Arial" w:eastAsia="Arial" w:hAnsi="Arial"/>
          <w:sz w:val="17"/>
          <w:szCs w:val="17"/>
          <w:b w:val="1"/>
          <w:bCs w:val="1"/>
          <w:i w:val="1"/>
          <w:iCs w:val="1"/>
          <w:color w:val="auto"/>
        </w:rPr>
        <w:t>Real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Estate Taxes</w:t>
      </w:r>
      <w:r>
        <w:rPr>
          <w:rFonts w:ascii="Arial" w:cs="Arial" w:eastAsia="Arial" w:hAnsi="Arial"/>
          <w:sz w:val="17"/>
          <w:szCs w:val="17"/>
          <w:color w:val="auto"/>
        </w:rPr>
        <w:t>”. In no event shall any PACE Loan be considered a Tax for purposes of this Agreement.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Tenant</w:t>
      </w:r>
      <w:r>
        <w:rPr>
          <w:rFonts w:ascii="Arial" w:cs="Arial" w:eastAsia="Arial" w:hAnsi="Arial"/>
          <w:sz w:val="18"/>
          <w:szCs w:val="18"/>
          <w:color w:val="auto"/>
        </w:rPr>
        <w:t>” shall mean any Person obligated by contract or otherwise to pay monies (including a percentage of gross income, revenue or profits) under any Lease now or hereafter affecting all or any part of the Property.</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3" w:name="page304"/>
    <w:bookmarkEnd w:id="303"/>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mean the entire term of this Agreement, which shall expire upon repayment in full of the Debt and full performance of each and every obligation to be performed by Borrower pursuant to the Loan Documents.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Title Insurance Policy</w:t>
      </w:r>
      <w:r>
        <w:rPr>
          <w:rFonts w:ascii="Arial" w:cs="Arial" w:eastAsia="Arial" w:hAnsi="Arial"/>
          <w:sz w:val="18"/>
          <w:szCs w:val="18"/>
          <w:color w:val="auto"/>
        </w:rPr>
        <w:t>” shall mean an ALTA mortgagee title insurance policy in the form acceptable to Lender issued with respect to the Property and insuring the Lien of the Mortgage.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shall mean the yield calculated by the linear interpolation of the yields, as reported in Federal Reserve Statistical Release H.15 Selected Interest Rates under the heading U.S. Government Securities/Treasury Constant Maturities for the week ending prior to the Repayment Date, of U.S. Treasury constant maturities with maturity dates (one longer and one shorter) most nearly approximating the Stated Maturity Date. (In the event Release H.15 is no longer published, Lender shall select a comparable publication to determine the Treasury Rate.)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TRIPRA”</w:t>
      </w:r>
      <w:r>
        <w:rPr>
          <w:rFonts w:ascii="Arial" w:cs="Arial" w:eastAsia="Arial" w:hAnsi="Arial"/>
          <w:sz w:val="17"/>
          <w:szCs w:val="17"/>
          <w:color w:val="auto"/>
        </w:rPr>
        <w:t xml:space="preserve"> shall mean the Terrorism Risk Insurance Program Reauthorization Act of 2015 or any replacement, reauthorization or extension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Trigger Period</w:t>
      </w:r>
      <w:r>
        <w:rPr>
          <w:rFonts w:ascii="Arial" w:cs="Arial" w:eastAsia="Arial" w:hAnsi="Arial"/>
          <w:sz w:val="17"/>
          <w:szCs w:val="17"/>
          <w:color w:val="auto"/>
        </w:rPr>
        <w:t xml:space="preserve">” shall commence upon the occurrence of (i) an Event of Default, or (ii) the commencement of a Low DSCR Period, or (iii) if Manager is an Affiliate of Borrower or Guarantor and such Manager shall become insolvent or a debtor in any bankruptcy or insolvency proceeding, or (iv) the commencement of a Mezzanine Trigger Period, or (v) the commencement of a Lease Sweep Period; and shall end, in each case provided no other Trigger Period is then continuing, if, (A) with respect to a Trigger Period continuing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the Event of Default commencing the Trigger Period has been waived by Lender, cured in accordance with the terms and conditions hereof, or Borrower has otherwise tendered cure and such cure has been accepted by Lender (and no other Event of Default is then continuing) or (B) with respect to a Trigger Period continuing due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the Low DSCR Period has ended pursuant to the terms hereof, or (C) with respect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if the Manager is replaced with an Unaffiliated Qualified Manager approved by Lender under a replacement management agreement approved by Lender, such replacement Manager and Borrower executed and deliver an assignment and subordination agreement satisfactory to Lender, and all the applicable requirements of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of this Agreement are satisfied with respect thereto, or (D) with respect to a Trigger Period continuing due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the Mezzanine Trigger Period has ended pursuant to the terms hereof or (E) with respect to a Trigger Period continuing due to </w:t>
      </w:r>
      <w:r>
        <w:rPr>
          <w:rFonts w:ascii="Arial" w:cs="Arial" w:eastAsia="Arial" w:hAnsi="Arial"/>
          <w:sz w:val="17"/>
          <w:szCs w:val="17"/>
          <w:u w:val="single" w:color="auto"/>
          <w:color w:val="auto"/>
        </w:rPr>
        <w:t>clause (iv)</w:t>
      </w:r>
      <w:r>
        <w:rPr>
          <w:rFonts w:ascii="Arial" w:cs="Arial" w:eastAsia="Arial" w:hAnsi="Arial"/>
          <w:sz w:val="17"/>
          <w:szCs w:val="17"/>
          <w:color w:val="auto"/>
        </w:rPr>
        <w:t>, such Lease Sweep Period has ended pursuant to the terms hereof (and no other Lease Sweep Period is then continuing).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shall mean any trustee holding the Loan in a Securitization.</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Obligations</w:t>
      </w:r>
      <w:r>
        <w:rPr>
          <w:rFonts w:ascii="Arial" w:cs="Arial" w:eastAsia="Arial" w:hAnsi="Arial"/>
          <w:sz w:val="18"/>
          <w:szCs w:val="18"/>
          <w:color w:val="auto"/>
        </w:rPr>
        <w:t>” shall mean securities evidencing an obligation to timely pay principal and/or interest in a full and timely manner that are (i) direct obligations of the United States of America for the payment of which its full faith and credit is pledged, and (ii) not subject to prepayment, call or early redemption.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UCC</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Uniform Commercial Code</w:t>
      </w:r>
      <w:r>
        <w:rPr>
          <w:rFonts w:ascii="Arial" w:cs="Arial" w:eastAsia="Arial" w:hAnsi="Arial"/>
          <w:sz w:val="18"/>
          <w:szCs w:val="18"/>
          <w:color w:val="auto"/>
        </w:rPr>
        <w:t>” shall mean the Uniform Commercial Code as in effect in the State (with respect to fixtures), the State of New York or the state in which any of the Cash Management Accounts are located, as the case may be.</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4" w:name="page305"/>
    <w:bookmarkEnd w:id="304"/>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Unaffiliated Qualified Manager</w:t>
      </w:r>
      <w:r>
        <w:rPr>
          <w:rFonts w:ascii="Arial" w:cs="Arial" w:eastAsia="Arial" w:hAnsi="Arial"/>
          <w:sz w:val="18"/>
          <w:szCs w:val="18"/>
          <w:color w:val="auto"/>
        </w:rPr>
        <w:t>” shall mean an unaffiliated property manager of the Property that (A) is a reputable, nationally or regionally recognized management company having at least five (5) years’ experience in the management of properties that are similar to the Property as to quality, location and type, (B) at the time of its engagement as property manager has (x) leasable square footage of the same property type as the Property equal to the lesser of 2,000,000 leasable square feet in the aggregate and five (5) times the leasable square feet of the Property and (y) managed at least ten (10) properties that are similar to the Property as to quality, location and type and used as industrial facilities and (C) is not the subject of a bankruptcy or similar insolvency proceeding.</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Underwritten Net Cash Flow</w:t>
      </w:r>
      <w:r>
        <w:rPr>
          <w:rFonts w:ascii="Arial" w:cs="Arial" w:eastAsia="Arial" w:hAnsi="Arial"/>
          <w:sz w:val="16"/>
          <w:szCs w:val="16"/>
          <w:color w:val="auto"/>
        </w:rPr>
        <w:t>” shall mean, as of the end of any calendar quarter for which Underwritten Net Cash Flow is determined (or such other date for which Underwritten Net Cash Flow is determined) the excess of: (a) the sum of: (i) annualized actual in place base rents received by Borrower under bona fide Leases at the Property with Tenants in occupancy and paying full, unabated rent as of the date of such calculation (provided that</w:t>
      </w:r>
    </w:p>
    <w:p>
      <w:pPr>
        <w:spacing w:after="0" w:line="2" w:lineRule="exact"/>
        <w:rPr>
          <w:sz w:val="20"/>
          <w:szCs w:val="20"/>
          <w:color w:val="auto"/>
        </w:rPr>
      </w:pPr>
    </w:p>
    <w:p>
      <w:pPr>
        <w:jc w:val="both"/>
        <w:ind w:firstLine="8"/>
        <w:spacing w:after="0" w:line="283" w:lineRule="auto"/>
        <w:tabs>
          <w:tab w:leader="none" w:pos="26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for the avoidance of doubt, a Tenant that is not operating in its applicable premises at the Property in the ordinary course shall not be deemed to be “in occupancy” for purposes of this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and (y) notwithstanding the foregoing, so long as neither the PUREgraphite Tenant Operation Commencement Date nor the PUREgraphite Tenant Outside Operation Commencement Date has occurred, PUREgraphite Tenant shall be deemed to be “in occupancy” for purposes of this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so long as the UWNCF PUREgraphite Rental Inclusion Conditions are satisfied) and actual percentage rents received by Borrower under such Leases for the twelve (12) months preceding such calculation;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for the twelve (12) month period preceding the month in which such Underwritten Net Cash Flow is calculated, (x) monthly recoveries actually received by Borrower under bona fide existing Leases at the Property during such twelve (12) month calculation period and (y) actual rent and revenue received by Borrower from other sources at the Property to the extent such receipts are recurring in nature and derived from ordinary course operations of the Property for such twelve month calculation period; </w:t>
      </w:r>
      <w:r>
        <w:rPr>
          <w:rFonts w:ascii="Arial" w:cs="Arial" w:eastAsia="Arial" w:hAnsi="Arial"/>
          <w:sz w:val="16"/>
          <w:szCs w:val="16"/>
          <w:i w:val="1"/>
          <w:iCs w:val="1"/>
          <w:color w:val="auto"/>
        </w:rPr>
        <w:t>over</w:t>
      </w:r>
      <w:r>
        <w:rPr>
          <w:rFonts w:ascii="Arial" w:cs="Arial" w:eastAsia="Arial" w:hAnsi="Arial"/>
          <w:sz w:val="16"/>
          <w:szCs w:val="16"/>
          <w:color w:val="auto"/>
        </w:rPr>
        <w:t xml:space="preserve"> (b) for the twelve (12) month period preceding the month in which such Underwritten Net Cash Flow is calculated, Operating Expenses over such twelve months, in each case adjusted to reflect Lender’s determination of: (i) a vacancy factor equal to the greatest of (A) the market vacancy rate (as determined by Lender in its reasonable discretion) for similar properties in the commercial business district or market area in which the Property is located, (B) the actual vacancy rate at the Property, and (C) 5% of the rentable area of the Property; (ii) a reduction of above market rents at the Property to market rents as determined by Lender; (iii) subtraction of (A) an imputed capital improvement requirement amount equal to $0.07 per rentable square foot at the Property per annum (regardless of whether a reserve therefor is required hereunder or the amount of such reserve), and (B) an imputed tenant improvement and leasing commission requirement amount equal to $0.21 per rentable square foot at the Property per annum (regardless of whether a reserve therefor is required hereunder or the amount of such reserve); (iv) an adjustment so that property management fees are equal to the greater of three percent (3.0%) of Rents and the property management fees actually paid under the Management Agreement; (v) exclusion of (X) amounts representing non-recurring items and (Y) amounts received from (1) Tenants not currently in occupancy and paying full, unabated rent (provided that (x) for the avoidance of doubt, a Tenant that is not operating in its applicable premises at the Property in the ordinary course shall not be deemed to be “in occupancy” for purposes of this this clause (1), and (y) notwithstanding the foregoing, so long as neither the PUREgraphite Tenant Operation Commencement Date nor the PUREgraphite Tenant Outside Operation Commencement Date has occurred, no exclusion pursuant to this clause (1) shall be made with respect to PUREgraphite Tenant so long as the UWNCF PUREgraphite Rental Inclusion Conditions are satisfied), (2) Tenants affiliated with Borrower or Guarantor (other than PUREgraphite Tenant pursuant to the PUREgraphite Lease), (3) Tenants in default or in bankruptcy, (4) Tenants under month-to-month Leases, (5) Tenants under Leases where the term is set to expire in the next two (2) succeeding calendar quarters or (6) Tenants under Leases where the Tenant thereunder has a renewal option and has failed to exercise such renewal option within the time period set forth in the Lease or has given notice of intent to vacate (the foregoing clauses (1) through (6) shall be referred to herein, individually and/or collectively (as the context shall require), as “</w:t>
      </w:r>
      <w:r>
        <w:rPr>
          <w:rFonts w:ascii="Arial" w:cs="Arial" w:eastAsia="Arial" w:hAnsi="Arial"/>
          <w:sz w:val="16"/>
          <w:szCs w:val="16"/>
          <w:b w:val="1"/>
          <w:bCs w:val="1"/>
          <w:i w:val="1"/>
          <w:iCs w:val="1"/>
          <w:color w:val="auto"/>
        </w:rPr>
        <w:t>Tenant Adjustment Event(s)</w:t>
      </w:r>
      <w:r>
        <w:rPr>
          <w:rFonts w:ascii="Arial" w:cs="Arial" w:eastAsia="Arial" w:hAnsi="Arial"/>
          <w:sz w:val="16"/>
          <w:szCs w:val="16"/>
          <w:color w:val="auto"/>
        </w:rPr>
        <w:t>”); (vi) Taxes and Insurance Premiums payable for the twelve (12) month period succeeding such calculation (or imputed Insurance Premiums to the extent an Acceptable Blanket Policy is in effect with respect to the Policies required hereunder); and (vii) such other adjustments deemed necessary by Lender based upon Lender’s reasonable underwriting criteria and Lender’s reasonable determination of Rating Agency underwriting and evaluation criteria. Lender’s calculation of Underwritten Net Cash Flow shall be final absent manifest error.</w:t>
      </w: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5" w:name="page306"/>
    <w:bookmarkEnd w:id="305"/>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UWNCF PUREgraphite Rental Inclusion Conditions</w:t>
      </w:r>
      <w:r>
        <w:rPr>
          <w:rFonts w:ascii="Arial" w:cs="Arial" w:eastAsia="Arial" w:hAnsi="Arial"/>
          <w:sz w:val="17"/>
          <w:szCs w:val="17"/>
          <w:color w:val="auto"/>
        </w:rPr>
        <w:t>” shall mean that each of the following conditions are satisfied as of the applicable date of determination, as determined by Lender in its sole discretion: (i) neither the PUREgraphite Tenant Operation Commencement Date nor the PUREgraphite Tenant Outside Operation Commencement Date shall have occurred, (ii) each of the PUREgraphite Lease and the PUREgraphite Guaranty shall be in full force and effect without default thereunder by either party thereto, (iii) none of Borrower, Guarantor, PUREgraphite Tenant and/or PUREgraphite Guarantor shall be insolvent or a debtor in any bankruptcy or insolvency proceeding, (iv) PUREgraphite Tenant shall be paying full, unabated rent pursuant to the PUREgraphite Lease, and (v) no Event of Default shall have occurred and be continuing.</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Yield Maintenance Amount</w:t>
      </w:r>
      <w:r>
        <w:rPr>
          <w:rFonts w:ascii="Arial" w:cs="Arial" w:eastAsia="Arial" w:hAnsi="Arial"/>
          <w:sz w:val="18"/>
          <w:szCs w:val="18"/>
          <w:color w:val="auto"/>
        </w:rPr>
        <w:t>” shall mean the present value, as of the Repayment Date, of the remaining scheduled payments of principal and interest from the Repayment Date through the Stated Maturity Date (including any balloon payment) determined by discounting such payments at the Discount Rate, less the amount of principal being prepaid on the Repayment Date.</w:t>
      </w:r>
    </w:p>
    <w:p>
      <w:pPr>
        <w:spacing w:after="0" w:line="180"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u w:val="single" w:color="auto"/>
          <w:color w:val="auto"/>
        </w:rPr>
        <w:t>Index of Other Definitions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following terms are defined in the sections or Loan Documents as indicated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Acceptable Blanket Policy</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5.1.1(c)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Accounts</w:t>
      </w:r>
      <w:r>
        <w:rPr>
          <w:rFonts w:ascii="Arial" w:cs="Arial" w:eastAsia="Arial" w:hAnsi="Arial"/>
          <w:sz w:val="18"/>
          <w:szCs w:val="18"/>
          <w:color w:val="auto"/>
        </w:rPr>
        <w:t>” - 6.1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 Schedule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Actual OpEx</w:t>
      </w:r>
      <w:r>
        <w:rPr>
          <w:rFonts w:ascii="Arial" w:cs="Arial" w:eastAsia="Arial" w:hAnsi="Arial"/>
          <w:sz w:val="18"/>
          <w:szCs w:val="18"/>
          <w:color w:val="auto"/>
        </w:rPr>
        <w:t>” – 4.9.8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Affected Underground Utilities</w:t>
      </w:r>
      <w:r>
        <w:rPr>
          <w:rFonts w:ascii="Arial" w:cs="Arial" w:eastAsia="Arial" w:hAnsi="Arial"/>
          <w:sz w:val="18"/>
          <w:szCs w:val="18"/>
          <w:color w:val="auto"/>
        </w:rPr>
        <w:t>” - 3.1.11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 Introductory Paragraph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Obligation</w:t>
      </w:r>
      <w:r>
        <w:rPr>
          <w:rFonts w:ascii="Arial" w:cs="Arial" w:eastAsia="Arial" w:hAnsi="Arial"/>
          <w:sz w:val="18"/>
          <w:szCs w:val="18"/>
          <w:color w:val="auto"/>
        </w:rPr>
        <w:t>” - 4.33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Annual Budget</w:t>
      </w:r>
      <w:r>
        <w:rPr>
          <w:rFonts w:ascii="Arial" w:cs="Arial" w:eastAsia="Arial" w:hAnsi="Arial"/>
          <w:sz w:val="18"/>
          <w:szCs w:val="18"/>
          <w:color w:val="auto"/>
        </w:rPr>
        <w:t>” - 4.9.5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Extraordinary Operating Expense</w:t>
      </w:r>
      <w:r>
        <w:rPr>
          <w:rFonts w:ascii="Arial" w:cs="Arial" w:eastAsia="Arial" w:hAnsi="Arial"/>
          <w:sz w:val="18"/>
          <w:szCs w:val="18"/>
          <w:color w:val="auto"/>
        </w:rPr>
        <w:t>” - 4.9.6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Monthly BI Expenses</w:t>
      </w:r>
      <w:r>
        <w:rPr>
          <w:rFonts w:ascii="Arial" w:cs="Arial" w:eastAsia="Arial" w:hAnsi="Arial"/>
          <w:sz w:val="18"/>
          <w:szCs w:val="18"/>
          <w:color w:val="auto"/>
        </w:rPr>
        <w:t>” - 5.4(f)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Cash</w:t>
      </w:r>
      <w:r>
        <w:rPr>
          <w:rFonts w:ascii="Arial" w:cs="Arial" w:eastAsia="Arial" w:hAnsi="Arial"/>
          <w:sz w:val="18"/>
          <w:szCs w:val="18"/>
          <w:color w:val="auto"/>
        </w:rPr>
        <w:t>” - 6.16.1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- 10.26</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Legislation</w:t>
      </w:r>
      <w:r>
        <w:rPr>
          <w:rFonts w:ascii="Arial" w:cs="Arial" w:eastAsia="Arial" w:hAnsi="Arial"/>
          <w:sz w:val="18"/>
          <w:szCs w:val="18"/>
          <w:color w:val="auto"/>
        </w:rPr>
        <w:t>” - 10.26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 Introductory Paragraph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Borrower’s Recourse Liabilities</w:t>
      </w:r>
      <w:r>
        <w:rPr>
          <w:rFonts w:ascii="Arial" w:cs="Arial" w:eastAsia="Arial" w:hAnsi="Arial"/>
          <w:sz w:val="18"/>
          <w:szCs w:val="18"/>
          <w:color w:val="auto"/>
        </w:rPr>
        <w:t>” - 10.1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Broker</w:t>
      </w:r>
      <w:r>
        <w:rPr>
          <w:rFonts w:ascii="Arial" w:cs="Arial" w:eastAsia="Arial" w:hAnsi="Arial"/>
          <w:sz w:val="18"/>
          <w:szCs w:val="18"/>
          <w:color w:val="auto"/>
        </w:rPr>
        <w:t>” - 10.19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Expenditure Account</w:t>
      </w:r>
      <w:r>
        <w:rPr>
          <w:rFonts w:ascii="Arial" w:cs="Arial" w:eastAsia="Arial" w:hAnsi="Arial"/>
          <w:sz w:val="18"/>
          <w:szCs w:val="18"/>
          <w:color w:val="auto"/>
        </w:rPr>
        <w:t>” - 6.5.1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Expenditure Funds</w:t>
      </w:r>
      <w:r>
        <w:rPr>
          <w:rFonts w:ascii="Arial" w:cs="Arial" w:eastAsia="Arial" w:hAnsi="Arial"/>
          <w:sz w:val="18"/>
          <w:szCs w:val="18"/>
          <w:color w:val="auto"/>
        </w:rPr>
        <w:t>” - 6.5.1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Collateral Account</w:t>
      </w:r>
      <w:r>
        <w:rPr>
          <w:rFonts w:ascii="Arial" w:cs="Arial" w:eastAsia="Arial" w:hAnsi="Arial"/>
          <w:sz w:val="18"/>
          <w:szCs w:val="18"/>
          <w:color w:val="auto"/>
        </w:rPr>
        <w:t>” - 6.12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Collateral Funds</w:t>
      </w:r>
      <w:r>
        <w:rPr>
          <w:rFonts w:ascii="Arial" w:cs="Arial" w:eastAsia="Arial" w:hAnsi="Arial"/>
          <w:sz w:val="18"/>
          <w:szCs w:val="18"/>
          <w:color w:val="auto"/>
        </w:rPr>
        <w:t>” - 6.12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Management Accounts</w:t>
      </w:r>
      <w:r>
        <w:rPr>
          <w:rFonts w:ascii="Arial" w:cs="Arial" w:eastAsia="Arial" w:hAnsi="Arial"/>
          <w:sz w:val="18"/>
          <w:szCs w:val="18"/>
          <w:color w:val="auto"/>
        </w:rPr>
        <w:t>” - 6.17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w:t>
      </w:r>
      <w:r>
        <w:rPr>
          <w:rFonts w:ascii="Arial" w:cs="Arial" w:eastAsia="Arial" w:hAnsi="Arial"/>
          <w:sz w:val="18"/>
          <w:szCs w:val="18"/>
          <w:color w:val="auto"/>
        </w:rPr>
        <w:t>” - 5.2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 and Condemnation Account</w:t>
      </w:r>
      <w:r>
        <w:rPr>
          <w:rFonts w:ascii="Arial" w:cs="Arial" w:eastAsia="Arial" w:hAnsi="Arial"/>
          <w:sz w:val="18"/>
          <w:szCs w:val="18"/>
          <w:color w:val="auto"/>
        </w:rPr>
        <w:t>” - 6.11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 and Condemnation Funds</w:t>
      </w:r>
      <w:r>
        <w:rPr>
          <w:rFonts w:ascii="Arial" w:cs="Arial" w:eastAsia="Arial" w:hAnsi="Arial"/>
          <w:sz w:val="18"/>
          <w:szCs w:val="18"/>
          <w:color w:val="auto"/>
        </w:rPr>
        <w:t>” - 6.11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 Consultant</w:t>
      </w:r>
      <w:r>
        <w:rPr>
          <w:rFonts w:ascii="Arial" w:cs="Arial" w:eastAsia="Arial" w:hAnsi="Arial"/>
          <w:sz w:val="18"/>
          <w:szCs w:val="18"/>
          <w:color w:val="auto"/>
        </w:rPr>
        <w:t>” - 5.4(b)(iii)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 Retainage</w:t>
      </w:r>
      <w:r>
        <w:rPr>
          <w:rFonts w:ascii="Arial" w:cs="Arial" w:eastAsia="Arial" w:hAnsi="Arial"/>
          <w:sz w:val="18"/>
          <w:szCs w:val="18"/>
          <w:color w:val="auto"/>
        </w:rPr>
        <w:t>” - 5.4(b)(iv)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 Schedule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Clearing Account</w:t>
      </w:r>
      <w:r>
        <w:rPr>
          <w:rFonts w:ascii="Arial" w:cs="Arial" w:eastAsia="Arial" w:hAnsi="Arial"/>
          <w:sz w:val="18"/>
          <w:szCs w:val="18"/>
          <w:color w:val="auto"/>
        </w:rPr>
        <w:t>” - 6.1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Clearing Bank</w:t>
      </w:r>
      <w:r>
        <w:rPr>
          <w:rFonts w:ascii="Arial" w:cs="Arial" w:eastAsia="Arial" w:hAnsi="Arial"/>
          <w:sz w:val="18"/>
          <w:szCs w:val="18"/>
          <w:color w:val="auto"/>
        </w:rPr>
        <w:t>” - 6.1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 Schedule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Condemnation Proceeds</w:t>
      </w:r>
      <w:r>
        <w:rPr>
          <w:rFonts w:ascii="Arial" w:cs="Arial" w:eastAsia="Arial" w:hAnsi="Arial"/>
          <w:sz w:val="18"/>
          <w:szCs w:val="18"/>
          <w:color w:val="auto"/>
        </w:rPr>
        <w:t>” - 5.4(b)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Disclosure Information</w:t>
      </w:r>
      <w:r>
        <w:rPr>
          <w:rFonts w:ascii="Arial" w:cs="Arial" w:eastAsia="Arial" w:hAnsi="Arial"/>
          <w:sz w:val="18"/>
          <w:szCs w:val="18"/>
          <w:color w:val="auto"/>
        </w:rPr>
        <w:t>” - 9.2(b)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 Service Account</w:t>
      </w:r>
      <w:r>
        <w:rPr>
          <w:rFonts w:ascii="Arial" w:cs="Arial" w:eastAsia="Arial" w:hAnsi="Arial"/>
          <w:sz w:val="16"/>
          <w:szCs w:val="16"/>
          <w:color w:val="auto"/>
        </w:rPr>
        <w:t>” - Cash Management Agreement “</w:t>
      </w:r>
      <w:r>
        <w:rPr>
          <w:rFonts w:ascii="Arial" w:cs="Arial" w:eastAsia="Arial" w:hAnsi="Arial"/>
          <w:sz w:val="16"/>
          <w:szCs w:val="16"/>
          <w:i w:val="1"/>
          <w:iCs w:val="1"/>
          <w:color w:val="auto"/>
        </w:rPr>
        <w:t>Defeasance Collateral</w:t>
      </w:r>
      <w:r>
        <w:rPr>
          <w:rFonts w:ascii="Arial" w:cs="Arial" w:eastAsia="Arial" w:hAnsi="Arial"/>
          <w:sz w:val="16"/>
          <w:szCs w:val="16"/>
          <w:color w:val="auto"/>
        </w:rPr>
        <w:t>” - 2.4.2(a)(iii)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Defeasance Lockout Expiration Date</w:t>
      </w:r>
      <w:r>
        <w:rPr>
          <w:rFonts w:ascii="Arial" w:cs="Arial" w:eastAsia="Arial" w:hAnsi="Arial"/>
          <w:sz w:val="18"/>
          <w:szCs w:val="18"/>
          <w:color w:val="auto"/>
        </w:rPr>
        <w:t>” - 2.4.2(a)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Defeasance Security Agreement</w:t>
      </w:r>
      <w:r>
        <w:rPr>
          <w:rFonts w:ascii="Arial" w:cs="Arial" w:eastAsia="Arial" w:hAnsi="Arial"/>
          <w:sz w:val="18"/>
          <w:szCs w:val="18"/>
          <w:color w:val="auto"/>
        </w:rPr>
        <w:t>” - 2.4.2(a)(iii)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Document</w:t>
      </w:r>
      <w:r>
        <w:rPr>
          <w:rFonts w:ascii="Arial" w:cs="Arial" w:eastAsia="Arial" w:hAnsi="Arial"/>
          <w:sz w:val="18"/>
          <w:szCs w:val="18"/>
          <w:color w:val="auto"/>
        </w:rPr>
        <w:t>” - 9.2(a)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Reserve Account</w:t>
      </w:r>
      <w:r>
        <w:rPr>
          <w:rFonts w:ascii="Arial" w:cs="Arial" w:eastAsia="Arial" w:hAnsi="Arial"/>
          <w:sz w:val="18"/>
          <w:szCs w:val="18"/>
          <w:color w:val="auto"/>
        </w:rPr>
        <w:t>” - 6.8.1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Reserve Funds</w:t>
      </w:r>
      <w:r>
        <w:rPr>
          <w:rFonts w:ascii="Arial" w:cs="Arial" w:eastAsia="Arial" w:hAnsi="Arial"/>
          <w:sz w:val="18"/>
          <w:szCs w:val="18"/>
          <w:color w:val="auto"/>
        </w:rPr>
        <w:t>” - 6.8.1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Easements</w:t>
      </w:r>
      <w:r>
        <w:rPr>
          <w:rFonts w:ascii="Arial" w:cs="Arial" w:eastAsia="Arial" w:hAnsi="Arial"/>
          <w:sz w:val="18"/>
          <w:szCs w:val="18"/>
          <w:color w:val="auto"/>
        </w:rPr>
        <w:t>” - 3.1.11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- 10.26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Member Country</w:t>
      </w:r>
      <w:r>
        <w:rPr>
          <w:rFonts w:ascii="Arial" w:cs="Arial" w:eastAsia="Arial" w:hAnsi="Arial"/>
          <w:sz w:val="18"/>
          <w:szCs w:val="18"/>
          <w:color w:val="auto"/>
        </w:rPr>
        <w:t>” - 10.26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- 10.26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Election</w:t>
      </w:r>
      <w:r>
        <w:rPr>
          <w:rFonts w:ascii="Arial" w:cs="Arial" w:eastAsia="Arial" w:hAnsi="Arial"/>
          <w:sz w:val="18"/>
          <w:szCs w:val="18"/>
          <w:color w:val="auto"/>
        </w:rPr>
        <w:t>” - 4.35(f)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Embargoed Person</w:t>
      </w:r>
      <w:r>
        <w:rPr>
          <w:rFonts w:ascii="Arial" w:cs="Arial" w:eastAsia="Arial" w:hAnsi="Arial"/>
          <w:sz w:val="18"/>
          <w:szCs w:val="18"/>
          <w:color w:val="auto"/>
        </w:rPr>
        <w:t>” - 4.32(c)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Equipment</w:t>
      </w:r>
      <w:r>
        <w:rPr>
          <w:rFonts w:ascii="Arial" w:cs="Arial" w:eastAsia="Arial" w:hAnsi="Arial"/>
          <w:sz w:val="18"/>
          <w:szCs w:val="18"/>
          <w:color w:val="auto"/>
        </w:rPr>
        <w:t>” - Mortgage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- 4.31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- 10.26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- 8.1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- 9.2(a)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 Filing</w:t>
      </w:r>
      <w:r>
        <w:rPr>
          <w:rFonts w:ascii="Arial" w:cs="Arial" w:eastAsia="Arial" w:hAnsi="Arial"/>
          <w:sz w:val="18"/>
          <w:szCs w:val="18"/>
          <w:color w:val="auto"/>
        </w:rPr>
        <w:t>” - 9.1(d)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Order 13224</w:t>
      </w:r>
      <w:r>
        <w:rPr>
          <w:rFonts w:ascii="Arial" w:cs="Arial" w:eastAsia="Arial" w:hAnsi="Arial"/>
          <w:sz w:val="18"/>
          <w:szCs w:val="18"/>
          <w:color w:val="auto"/>
        </w:rPr>
        <w:t>” - 4.32(b)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Extraordinary Operating Expense</w:t>
      </w:r>
      <w:r>
        <w:rPr>
          <w:rFonts w:ascii="Arial" w:cs="Arial" w:eastAsia="Arial" w:hAnsi="Arial"/>
          <w:sz w:val="18"/>
          <w:szCs w:val="18"/>
          <w:color w:val="auto"/>
        </w:rPr>
        <w:t>” - 4.9.6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Flood Insurance Acts</w:t>
      </w:r>
      <w:r>
        <w:rPr>
          <w:rFonts w:ascii="Arial" w:cs="Arial" w:eastAsia="Arial" w:hAnsi="Arial"/>
          <w:sz w:val="18"/>
          <w:szCs w:val="18"/>
          <w:color w:val="auto"/>
        </w:rPr>
        <w:t>” - 5.1.1(a)(i)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Lists</w:t>
      </w:r>
      <w:r>
        <w:rPr>
          <w:rFonts w:ascii="Arial" w:cs="Arial" w:eastAsia="Arial" w:hAnsi="Arial"/>
          <w:sz w:val="18"/>
          <w:szCs w:val="18"/>
          <w:color w:val="auto"/>
        </w:rPr>
        <w:t>” - 4.32(b)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Improvements</w:t>
      </w:r>
      <w:r>
        <w:rPr>
          <w:rFonts w:ascii="Arial" w:cs="Arial" w:eastAsia="Arial" w:hAnsi="Arial"/>
          <w:sz w:val="18"/>
          <w:szCs w:val="18"/>
          <w:color w:val="auto"/>
        </w:rPr>
        <w:t>” - Mortgage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Increased Costs</w:t>
      </w:r>
      <w:r>
        <w:rPr>
          <w:rFonts w:ascii="Arial" w:cs="Arial" w:eastAsia="Arial" w:hAnsi="Arial"/>
          <w:sz w:val="18"/>
          <w:szCs w:val="18"/>
          <w:color w:val="auto"/>
        </w:rPr>
        <w:t>” - 10.24.1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Liabilities</w:t>
      </w:r>
      <w:r>
        <w:rPr>
          <w:rFonts w:ascii="Arial" w:cs="Arial" w:eastAsia="Arial" w:hAnsi="Arial"/>
          <w:sz w:val="18"/>
          <w:szCs w:val="18"/>
          <w:color w:val="auto"/>
        </w:rPr>
        <w:t>” - 4.30</w:t>
      </w:r>
    </w:p>
    <w:p>
      <w:pPr>
        <w:spacing w:after="0" w:line="200" w:lineRule="exact"/>
        <w:rPr>
          <w:sz w:val="20"/>
          <w:szCs w:val="20"/>
          <w:color w:val="auto"/>
        </w:rPr>
      </w:pP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 Schedule 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Manager</w:t>
      </w:r>
      <w:r>
        <w:rPr>
          <w:rFonts w:ascii="Arial" w:cs="Arial" w:eastAsia="Arial" w:hAnsi="Arial"/>
          <w:sz w:val="18"/>
          <w:szCs w:val="18"/>
          <w:color w:val="auto"/>
        </w:rPr>
        <w:t>” - Schedule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Interest Period</w:t>
      </w:r>
      <w:r>
        <w:rPr>
          <w:rFonts w:ascii="Arial" w:cs="Arial" w:eastAsia="Arial" w:hAnsi="Arial"/>
          <w:sz w:val="18"/>
          <w:szCs w:val="18"/>
          <w:color w:val="auto"/>
        </w:rPr>
        <w:t>” - 2.3.1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Account</w:t>
      </w:r>
      <w:r>
        <w:rPr>
          <w:rFonts w:ascii="Arial" w:cs="Arial" w:eastAsia="Arial" w:hAnsi="Arial"/>
          <w:sz w:val="18"/>
          <w:szCs w:val="18"/>
          <w:color w:val="auto"/>
        </w:rPr>
        <w:t>” - 6.4.1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Deductible Liabilities</w:t>
      </w:r>
      <w:r>
        <w:rPr>
          <w:rFonts w:ascii="Arial" w:cs="Arial" w:eastAsia="Arial" w:hAnsi="Arial"/>
          <w:sz w:val="18"/>
          <w:szCs w:val="18"/>
          <w:color w:val="auto"/>
        </w:rPr>
        <w:t>” - 10.1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Funds</w:t>
      </w:r>
      <w:r>
        <w:rPr>
          <w:rFonts w:ascii="Arial" w:cs="Arial" w:eastAsia="Arial" w:hAnsi="Arial"/>
          <w:sz w:val="18"/>
          <w:szCs w:val="18"/>
          <w:color w:val="auto"/>
        </w:rPr>
        <w:t>” - 6.4.1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Premiums</w:t>
      </w:r>
      <w:r>
        <w:rPr>
          <w:rFonts w:ascii="Arial" w:cs="Arial" w:eastAsia="Arial" w:hAnsi="Arial"/>
          <w:sz w:val="18"/>
          <w:szCs w:val="18"/>
          <w:color w:val="auto"/>
        </w:rPr>
        <w:t>” - 5.1.1(b)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Proceeds</w:t>
      </w:r>
      <w:r>
        <w:rPr>
          <w:rFonts w:ascii="Arial" w:cs="Arial" w:eastAsia="Arial" w:hAnsi="Arial"/>
          <w:sz w:val="18"/>
          <w:szCs w:val="18"/>
          <w:color w:val="auto"/>
        </w:rPr>
        <w:t>” - 5.4(b)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w:t>
      </w:r>
      <w:r>
        <w:rPr>
          <w:rFonts w:ascii="Arial" w:cs="Arial" w:eastAsia="Arial" w:hAnsi="Arial"/>
          <w:sz w:val="18"/>
          <w:szCs w:val="18"/>
          <w:color w:val="auto"/>
        </w:rPr>
        <w:t>” - 3.1.33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Period</w:t>
      </w:r>
      <w:r>
        <w:rPr>
          <w:rFonts w:ascii="Arial" w:cs="Arial" w:eastAsia="Arial" w:hAnsi="Arial"/>
          <w:sz w:val="18"/>
          <w:szCs w:val="18"/>
          <w:color w:val="auto"/>
        </w:rPr>
        <w:t>” - 2.3.2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 Sweep Account</w:t>
      </w:r>
      <w:r>
        <w:rPr>
          <w:rFonts w:ascii="Arial" w:cs="Arial" w:eastAsia="Arial" w:hAnsi="Arial"/>
          <w:sz w:val="18"/>
          <w:szCs w:val="18"/>
          <w:color w:val="auto"/>
        </w:rPr>
        <w:t>” - 6.13.1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 Sweep Funds</w:t>
      </w:r>
      <w:r>
        <w:rPr>
          <w:rFonts w:ascii="Arial" w:cs="Arial" w:eastAsia="Arial" w:hAnsi="Arial"/>
          <w:sz w:val="18"/>
          <w:szCs w:val="18"/>
          <w:color w:val="auto"/>
        </w:rPr>
        <w:t>” - 6.13.1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 Termination Payments</w:t>
      </w:r>
      <w:r>
        <w:rPr>
          <w:rFonts w:ascii="Arial" w:cs="Arial" w:eastAsia="Arial" w:hAnsi="Arial"/>
          <w:sz w:val="18"/>
          <w:szCs w:val="18"/>
          <w:color w:val="auto"/>
        </w:rPr>
        <w:t>” - 6.6.1(b)(i)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w:t>
      </w:r>
      <w:r>
        <w:rPr>
          <w:rFonts w:ascii="Arial" w:cs="Arial" w:eastAsia="Arial" w:hAnsi="Arial"/>
          <w:sz w:val="18"/>
          <w:szCs w:val="18"/>
          <w:color w:val="auto"/>
        </w:rPr>
        <w:t>” - Introductory Paragraph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Group</w:t>
      </w:r>
      <w:r>
        <w:rPr>
          <w:rFonts w:ascii="Arial" w:cs="Arial" w:eastAsia="Arial" w:hAnsi="Arial"/>
          <w:sz w:val="18"/>
          <w:szCs w:val="18"/>
          <w:color w:val="auto"/>
        </w:rPr>
        <w:t>” - 9.2(b)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- 9.2(b)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Licenses</w:t>
      </w:r>
      <w:r>
        <w:rPr>
          <w:rFonts w:ascii="Arial" w:cs="Arial" w:eastAsia="Arial" w:hAnsi="Arial"/>
          <w:sz w:val="18"/>
          <w:szCs w:val="18"/>
          <w:color w:val="auto"/>
        </w:rPr>
        <w:t>” - 3.1.9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 Amount</w:t>
      </w:r>
      <w:r>
        <w:rPr>
          <w:rFonts w:ascii="Arial" w:cs="Arial" w:eastAsia="Arial" w:hAnsi="Arial"/>
          <w:sz w:val="18"/>
          <w:szCs w:val="18"/>
          <w:color w:val="auto"/>
        </w:rPr>
        <w:t>” - 2.4.5(b)</w:t>
      </w:r>
    </w:p>
    <w:p>
      <w:pPr>
        <w:spacing w:after="0" w:line="9" w:lineRule="exact"/>
        <w:rPr>
          <w:sz w:val="20"/>
          <w:szCs w:val="20"/>
          <w:color w:val="auto"/>
        </w:rPr>
      </w:pPr>
    </w:p>
    <w:p>
      <w:pPr>
        <w:ind w:right="1259"/>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 Cap</w:t>
      </w:r>
      <w:r>
        <w:rPr>
          <w:rFonts w:ascii="Arial" w:cs="Arial" w:eastAsia="Arial" w:hAnsi="Arial"/>
          <w:sz w:val="18"/>
          <w:szCs w:val="18"/>
          <w:color w:val="auto"/>
        </w:rPr>
        <w:t>” - 1.1 (Definition of “Monthly Operating Expense Budgeted Amount”) “</w:t>
      </w:r>
      <w:r>
        <w:rPr>
          <w:rFonts w:ascii="Arial" w:cs="Arial" w:eastAsia="Arial" w:hAnsi="Arial"/>
          <w:sz w:val="18"/>
          <w:szCs w:val="18"/>
          <w:i w:val="1"/>
          <w:iCs w:val="1"/>
          <w:color w:val="auto"/>
        </w:rPr>
        <w:t>Measuring Period</w:t>
      </w:r>
      <w:r>
        <w:rPr>
          <w:rFonts w:ascii="Arial" w:cs="Arial" w:eastAsia="Arial" w:hAnsi="Arial"/>
          <w:sz w:val="18"/>
          <w:szCs w:val="18"/>
          <w:color w:val="auto"/>
        </w:rPr>
        <w:t>” - 6.7.2 “</w:t>
      </w:r>
      <w:r>
        <w:rPr>
          <w:rFonts w:ascii="Arial" w:cs="Arial" w:eastAsia="Arial" w:hAnsi="Arial"/>
          <w:sz w:val="18"/>
          <w:szCs w:val="18"/>
          <w:i w:val="1"/>
          <w:iCs w:val="1"/>
          <w:color w:val="auto"/>
        </w:rPr>
        <w:t>Monthly OpEx Certification</w:t>
      </w:r>
      <w:r>
        <w:rPr>
          <w:rFonts w:ascii="Arial" w:cs="Arial" w:eastAsia="Arial" w:hAnsi="Arial"/>
          <w:sz w:val="18"/>
          <w:szCs w:val="18"/>
          <w:color w:val="auto"/>
        </w:rPr>
        <w:t>” - 6.7.2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Nationally Recognized Service Company</w:t>
      </w:r>
      <w:r>
        <w:rPr>
          <w:rFonts w:ascii="Arial" w:cs="Arial" w:eastAsia="Arial" w:hAnsi="Arial"/>
          <w:sz w:val="18"/>
          <w:szCs w:val="18"/>
          <w:color w:val="auto"/>
        </w:rPr>
        <w:t>” - Schedule V “</w:t>
      </w:r>
      <w:r>
        <w:rPr>
          <w:rFonts w:ascii="Arial" w:cs="Arial" w:eastAsia="Arial" w:hAnsi="Arial"/>
          <w:sz w:val="18"/>
          <w:szCs w:val="18"/>
          <w:i w:val="1"/>
          <w:iCs w:val="1"/>
          <w:color w:val="auto"/>
        </w:rPr>
        <w:t>Net Proceeds</w:t>
      </w:r>
      <w:r>
        <w:rPr>
          <w:rFonts w:ascii="Arial" w:cs="Arial" w:eastAsia="Arial" w:hAnsi="Arial"/>
          <w:sz w:val="18"/>
          <w:szCs w:val="18"/>
          <w:color w:val="auto"/>
        </w:rPr>
        <w:t>” - 5.4(b)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 Deficiency</w:t>
      </w:r>
      <w:r>
        <w:rPr>
          <w:rFonts w:ascii="Arial" w:cs="Arial" w:eastAsia="Arial" w:hAnsi="Arial"/>
          <w:sz w:val="18"/>
          <w:szCs w:val="18"/>
          <w:color w:val="auto"/>
        </w:rPr>
        <w:t>” - 5.4(b)(vi)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Mezzanine Loan</w:t>
      </w:r>
      <w:r>
        <w:rPr>
          <w:rFonts w:ascii="Arial" w:cs="Arial" w:eastAsia="Arial" w:hAnsi="Arial"/>
          <w:sz w:val="18"/>
          <w:szCs w:val="18"/>
          <w:color w:val="auto"/>
        </w:rPr>
        <w:t>” - 9.3.2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Mezzanine Loan Borrower</w:t>
      </w:r>
      <w:r>
        <w:rPr>
          <w:rFonts w:ascii="Arial" w:cs="Arial" w:eastAsia="Arial" w:hAnsi="Arial"/>
          <w:sz w:val="18"/>
          <w:szCs w:val="18"/>
          <w:color w:val="auto"/>
        </w:rPr>
        <w:t>” - 9.3.2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- 2.1.3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w:t>
      </w:r>
      <w:r>
        <w:rPr>
          <w:rFonts w:ascii="Arial" w:cs="Arial" w:eastAsia="Arial" w:hAnsi="Arial"/>
          <w:sz w:val="18"/>
          <w:szCs w:val="18"/>
          <w:color w:val="auto"/>
        </w:rPr>
        <w:t>” - 10.6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- 4.32(b)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OpEx Overpayment Amount</w:t>
      </w:r>
      <w:r>
        <w:rPr>
          <w:rFonts w:ascii="Arial" w:cs="Arial" w:eastAsia="Arial" w:hAnsi="Arial"/>
          <w:sz w:val="18"/>
          <w:szCs w:val="18"/>
          <w:color w:val="auto"/>
        </w:rPr>
        <w:t>” – 4.9.8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- 10.24.3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Patriot Act Offense</w:t>
      </w:r>
      <w:r>
        <w:rPr>
          <w:rFonts w:ascii="Arial" w:cs="Arial" w:eastAsia="Arial" w:hAnsi="Arial"/>
          <w:sz w:val="18"/>
          <w:szCs w:val="18"/>
          <w:color w:val="auto"/>
        </w:rPr>
        <w:t>” - 4.32(b)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- 4.21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 Cash Management Agreement “</w:t>
      </w:r>
      <w:r>
        <w:rPr>
          <w:rFonts w:ascii="Arial" w:cs="Arial" w:eastAsia="Arial" w:hAnsi="Arial"/>
          <w:sz w:val="18"/>
          <w:szCs w:val="18"/>
          <w:i w:val="1"/>
          <w:iCs w:val="1"/>
          <w:color w:val="auto"/>
        </w:rPr>
        <w:t>Permitted Transfer</w:t>
      </w:r>
      <w:r>
        <w:rPr>
          <w:rFonts w:ascii="Arial" w:cs="Arial" w:eastAsia="Arial" w:hAnsi="Arial"/>
          <w:sz w:val="18"/>
          <w:szCs w:val="18"/>
          <w:color w:val="auto"/>
        </w:rPr>
        <w:t>” - 7.2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PILOT Clawback Liabilities</w:t>
      </w:r>
      <w:r>
        <w:rPr>
          <w:rFonts w:ascii="Arial" w:cs="Arial" w:eastAsia="Arial" w:hAnsi="Arial"/>
          <w:sz w:val="18"/>
          <w:szCs w:val="18"/>
          <w:color w:val="auto"/>
        </w:rPr>
        <w:t>” - 10.1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PML</w:t>
      </w:r>
      <w:r>
        <w:rPr>
          <w:rFonts w:ascii="Arial" w:cs="Arial" w:eastAsia="Arial" w:hAnsi="Arial"/>
          <w:sz w:val="18"/>
          <w:szCs w:val="18"/>
          <w:color w:val="auto"/>
        </w:rPr>
        <w:t>” - 5.1.1(a)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Policies</w:t>
      </w:r>
      <w:r>
        <w:rPr>
          <w:rFonts w:ascii="Arial" w:cs="Arial" w:eastAsia="Arial" w:hAnsi="Arial"/>
          <w:sz w:val="18"/>
          <w:szCs w:val="18"/>
          <w:color w:val="auto"/>
        </w:rPr>
        <w:t>” - 5.1.1(b)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Proscribed Person</w:t>
      </w:r>
      <w:r>
        <w:rPr>
          <w:rFonts w:ascii="Arial" w:cs="Arial" w:eastAsia="Arial" w:hAnsi="Arial"/>
          <w:sz w:val="18"/>
          <w:szCs w:val="18"/>
          <w:color w:val="auto"/>
        </w:rPr>
        <w:t>” - 4.32(b)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Carrier</w:t>
      </w:r>
      <w:r>
        <w:rPr>
          <w:rFonts w:ascii="Arial" w:cs="Arial" w:eastAsia="Arial" w:hAnsi="Arial"/>
          <w:sz w:val="18"/>
          <w:szCs w:val="18"/>
          <w:color w:val="auto"/>
        </w:rPr>
        <w:t>” - 5.1.1(i)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Radius</w:t>
      </w:r>
      <w:r>
        <w:rPr>
          <w:rFonts w:ascii="Arial" w:cs="Arial" w:eastAsia="Arial" w:hAnsi="Arial"/>
          <w:sz w:val="18"/>
          <w:szCs w:val="18"/>
          <w:color w:val="auto"/>
        </w:rPr>
        <w:t>” - 5.1.1(c)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Estate Taxes</w:t>
      </w:r>
      <w:r>
        <w:rPr>
          <w:rFonts w:ascii="Arial" w:cs="Arial" w:eastAsia="Arial" w:hAnsi="Arial"/>
          <w:sz w:val="18"/>
          <w:szCs w:val="18"/>
          <w:color w:val="auto"/>
        </w:rPr>
        <w:t>” - 1.1 (Definition of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 Date</w:t>
      </w:r>
      <w:r>
        <w:rPr>
          <w:rFonts w:ascii="Arial" w:cs="Arial" w:eastAsia="Arial" w:hAnsi="Arial"/>
          <w:sz w:val="18"/>
          <w:szCs w:val="18"/>
          <w:color w:val="auto"/>
        </w:rPr>
        <w:t>” - 2.4.2(a)(i)</w:t>
      </w:r>
    </w:p>
    <w:p>
      <w:pPr>
        <w:spacing w:after="0" w:line="9" w:lineRule="exact"/>
        <w:rPr>
          <w:sz w:val="20"/>
          <w:szCs w:val="20"/>
          <w:color w:val="auto"/>
        </w:rPr>
      </w:pPr>
    </w:p>
    <w:p>
      <w:pPr>
        <w:ind w:right="425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Rent Abatement Amount</w:t>
      </w:r>
      <w:r>
        <w:rPr>
          <w:rFonts w:ascii="Arial" w:cs="Arial" w:eastAsia="Arial" w:hAnsi="Arial"/>
          <w:sz w:val="18"/>
          <w:szCs w:val="18"/>
          <w:color w:val="auto"/>
        </w:rPr>
        <w:t>” - 1.1 (</w:t>
      </w:r>
      <w:r>
        <w:rPr>
          <w:rFonts w:ascii="Arial" w:cs="Arial" w:eastAsia="Arial" w:hAnsi="Arial"/>
          <w:sz w:val="18"/>
          <w:szCs w:val="18"/>
          <w:i w:val="1"/>
          <w:iCs w:val="1"/>
          <w:color w:val="auto"/>
        </w:rPr>
        <w:t>Definition of Occupancy Conditions</w:t>
      </w:r>
      <w:r>
        <w:rPr>
          <w:rFonts w:ascii="Arial" w:cs="Arial" w:eastAsia="Arial" w:hAnsi="Arial"/>
          <w:sz w:val="18"/>
          <w:szCs w:val="18"/>
          <w:color w:val="auto"/>
        </w:rPr>
        <w:t>) “</w:t>
      </w:r>
      <w:r>
        <w:rPr>
          <w:rFonts w:ascii="Arial" w:cs="Arial" w:eastAsia="Arial" w:hAnsi="Arial"/>
          <w:sz w:val="18"/>
          <w:szCs w:val="18"/>
          <w:i w:val="1"/>
          <w:iCs w:val="1"/>
          <w:color w:val="auto"/>
        </w:rPr>
        <w:t>Required Excess Flood Coverage Policy</w:t>
      </w:r>
      <w:r>
        <w:rPr>
          <w:rFonts w:ascii="Arial" w:cs="Arial" w:eastAsia="Arial" w:hAnsi="Arial"/>
          <w:sz w:val="18"/>
          <w:szCs w:val="18"/>
          <w:color w:val="auto"/>
        </w:rPr>
        <w:t>” - 5.1.1(j) “</w:t>
      </w:r>
      <w:r>
        <w:rPr>
          <w:rFonts w:ascii="Arial" w:cs="Arial" w:eastAsia="Arial" w:hAnsi="Arial"/>
          <w:sz w:val="18"/>
          <w:szCs w:val="18"/>
          <w:i w:val="1"/>
          <w:iCs w:val="1"/>
          <w:color w:val="auto"/>
        </w:rPr>
        <w:t>Required Records</w:t>
      </w:r>
      <w:r>
        <w:rPr>
          <w:rFonts w:ascii="Arial" w:cs="Arial" w:eastAsia="Arial" w:hAnsi="Arial"/>
          <w:sz w:val="18"/>
          <w:szCs w:val="18"/>
          <w:color w:val="auto"/>
        </w:rPr>
        <w:t>” - 4.9.7</w:t>
      </w:r>
    </w:p>
    <w:p>
      <w:pPr>
        <w:spacing w:after="0" w:line="3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Repairs</w:t>
      </w:r>
      <w:r>
        <w:rPr>
          <w:rFonts w:ascii="Arial" w:cs="Arial" w:eastAsia="Arial" w:hAnsi="Arial"/>
          <w:sz w:val="18"/>
          <w:szCs w:val="18"/>
          <w:color w:val="auto"/>
        </w:rPr>
        <w:t>” - 4.37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Review Waiver</w:t>
      </w:r>
      <w:r>
        <w:rPr>
          <w:rFonts w:ascii="Arial" w:cs="Arial" w:eastAsia="Arial" w:hAnsi="Arial"/>
          <w:sz w:val="18"/>
          <w:szCs w:val="18"/>
          <w:color w:val="auto"/>
        </w:rPr>
        <w:t>” - 10.3(b)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Rollover Account</w:t>
      </w:r>
      <w:r>
        <w:rPr>
          <w:rFonts w:ascii="Arial" w:cs="Arial" w:eastAsia="Arial" w:hAnsi="Arial"/>
          <w:sz w:val="18"/>
          <w:szCs w:val="18"/>
          <w:color w:val="auto"/>
        </w:rPr>
        <w:t>” - 6.6.1(a)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Rollover Funds</w:t>
      </w:r>
      <w:r>
        <w:rPr>
          <w:rFonts w:ascii="Arial" w:cs="Arial" w:eastAsia="Arial" w:hAnsi="Arial"/>
          <w:sz w:val="18"/>
          <w:szCs w:val="18"/>
          <w:color w:val="auto"/>
        </w:rPr>
        <w:t>” - 6.6.1(a)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 Capital Expenditure Account</w:t>
      </w:r>
      <w:r>
        <w:rPr>
          <w:rFonts w:ascii="Arial" w:cs="Arial" w:eastAsia="Arial" w:hAnsi="Arial"/>
          <w:sz w:val="18"/>
          <w:szCs w:val="18"/>
          <w:color w:val="auto"/>
        </w:rPr>
        <w:t>” - 6.7.1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 Capital Expenditure Funds</w:t>
      </w:r>
      <w:r>
        <w:rPr>
          <w:rFonts w:ascii="Arial" w:cs="Arial" w:eastAsia="Arial" w:hAnsi="Arial"/>
          <w:sz w:val="18"/>
          <w:szCs w:val="18"/>
          <w:color w:val="auto"/>
        </w:rPr>
        <w:t>” - 6.7.1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Secondary Market Transaction</w:t>
      </w:r>
      <w:r>
        <w:rPr>
          <w:rFonts w:ascii="Arial" w:cs="Arial" w:eastAsia="Arial" w:hAnsi="Arial"/>
          <w:sz w:val="18"/>
          <w:szCs w:val="18"/>
          <w:color w:val="auto"/>
        </w:rPr>
        <w:t>” - 9.1(a)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w:t>
      </w:r>
      <w:r>
        <w:rPr>
          <w:rFonts w:ascii="Arial" w:cs="Arial" w:eastAsia="Arial" w:hAnsi="Arial"/>
          <w:sz w:val="18"/>
          <w:szCs w:val="18"/>
          <w:color w:val="auto"/>
        </w:rPr>
        <w:t>” - 9.1(a)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- 9.2(a)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Securitization</w:t>
      </w:r>
      <w:r>
        <w:rPr>
          <w:rFonts w:ascii="Arial" w:cs="Arial" w:eastAsia="Arial" w:hAnsi="Arial"/>
          <w:sz w:val="18"/>
          <w:szCs w:val="18"/>
          <w:color w:val="auto"/>
        </w:rPr>
        <w:t>” - 9.1(a)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w:t>
      </w:r>
      <w:r>
        <w:rPr>
          <w:rFonts w:ascii="Arial" w:cs="Arial" w:eastAsia="Arial" w:hAnsi="Arial"/>
          <w:sz w:val="18"/>
          <w:szCs w:val="18"/>
          <w:color w:val="auto"/>
        </w:rPr>
        <w:t>” - 5.1.1(a)(i)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Servicer</w:t>
      </w:r>
      <w:r>
        <w:rPr>
          <w:rFonts w:ascii="Arial" w:cs="Arial" w:eastAsia="Arial" w:hAnsi="Arial"/>
          <w:sz w:val="18"/>
          <w:szCs w:val="18"/>
          <w:color w:val="auto"/>
        </w:rPr>
        <w:t>” - 10.21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Servicing Agreement</w:t>
      </w:r>
      <w:r>
        <w:rPr>
          <w:rFonts w:ascii="Arial" w:cs="Arial" w:eastAsia="Arial" w:hAnsi="Arial"/>
          <w:sz w:val="18"/>
          <w:szCs w:val="18"/>
          <w:color w:val="auto"/>
        </w:rPr>
        <w:t>” - 10.21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SFHA</w:t>
      </w:r>
      <w:r>
        <w:rPr>
          <w:rFonts w:ascii="Arial" w:cs="Arial" w:eastAsia="Arial" w:hAnsi="Arial"/>
          <w:sz w:val="18"/>
          <w:szCs w:val="18"/>
          <w:color w:val="auto"/>
        </w:rPr>
        <w:t>” - 5.1.1(a)(i)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Sole Member</w:t>
      </w:r>
      <w:r>
        <w:rPr>
          <w:rFonts w:ascii="Arial" w:cs="Arial" w:eastAsia="Arial" w:hAnsi="Arial"/>
          <w:sz w:val="18"/>
          <w:szCs w:val="18"/>
          <w:color w:val="auto"/>
        </w:rPr>
        <w:t>” - Schedule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Member</w:t>
      </w:r>
      <w:r>
        <w:rPr>
          <w:rFonts w:ascii="Arial" w:cs="Arial" w:eastAsia="Arial" w:hAnsi="Arial"/>
          <w:sz w:val="18"/>
          <w:szCs w:val="18"/>
          <w:color w:val="auto"/>
        </w:rPr>
        <w:t>” - Schedule 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Purpose Bankruptcy Remote Entity</w:t>
      </w:r>
      <w:r>
        <w:rPr>
          <w:rFonts w:ascii="Arial" w:cs="Arial" w:eastAsia="Arial" w:hAnsi="Arial"/>
          <w:sz w:val="18"/>
          <w:szCs w:val="18"/>
          <w:color w:val="auto"/>
        </w:rPr>
        <w:t>” - Schedule V “</w:t>
      </w:r>
      <w:r>
        <w:rPr>
          <w:rFonts w:ascii="Arial" w:cs="Arial" w:eastAsia="Arial" w:hAnsi="Arial"/>
          <w:sz w:val="18"/>
          <w:szCs w:val="18"/>
          <w:i w:val="1"/>
          <w:iCs w:val="1"/>
          <w:color w:val="auto"/>
        </w:rPr>
        <w:t>Springing Recourse Event</w:t>
      </w:r>
      <w:r>
        <w:rPr>
          <w:rFonts w:ascii="Arial" w:cs="Arial" w:eastAsia="Arial" w:hAnsi="Arial"/>
          <w:sz w:val="18"/>
          <w:szCs w:val="18"/>
          <w:color w:val="auto"/>
        </w:rPr>
        <w:t>” - 10.1 “</w:t>
      </w:r>
      <w:r>
        <w:rPr>
          <w:rFonts w:ascii="Arial" w:cs="Arial" w:eastAsia="Arial" w:hAnsi="Arial"/>
          <w:sz w:val="18"/>
          <w:szCs w:val="18"/>
          <w:i w:val="1"/>
          <w:iCs w:val="1"/>
          <w:color w:val="auto"/>
        </w:rPr>
        <w:t>Successor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Borrower</w:t>
      </w:r>
      <w:r>
        <w:rPr>
          <w:rFonts w:ascii="Arial" w:cs="Arial" w:eastAsia="Arial" w:hAnsi="Arial"/>
          <w:sz w:val="18"/>
          <w:szCs w:val="18"/>
          <w:color w:val="auto"/>
        </w:rPr>
        <w:t>” - 2.4.2(b)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Account</w:t>
      </w:r>
      <w:r>
        <w:rPr>
          <w:rFonts w:ascii="Arial" w:cs="Arial" w:eastAsia="Arial" w:hAnsi="Arial"/>
          <w:sz w:val="18"/>
          <w:szCs w:val="18"/>
          <w:color w:val="auto"/>
        </w:rPr>
        <w:t>” - 6.3.1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Funds</w:t>
      </w:r>
      <w:r>
        <w:rPr>
          <w:rFonts w:ascii="Arial" w:cs="Arial" w:eastAsia="Arial" w:hAnsi="Arial"/>
          <w:sz w:val="18"/>
          <w:szCs w:val="18"/>
          <w:color w:val="auto"/>
        </w:rPr>
        <w:t>” - 6.3.1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Tenant Adjustment Event(s)</w:t>
      </w:r>
      <w:r>
        <w:rPr>
          <w:rFonts w:ascii="Arial" w:cs="Arial" w:eastAsia="Arial" w:hAnsi="Arial"/>
          <w:sz w:val="18"/>
          <w:szCs w:val="18"/>
          <w:color w:val="auto"/>
        </w:rPr>
        <w:t>” - 1.1 (</w:t>
      </w:r>
      <w:r>
        <w:rPr>
          <w:rFonts w:ascii="Arial" w:cs="Arial" w:eastAsia="Arial" w:hAnsi="Arial"/>
          <w:sz w:val="18"/>
          <w:szCs w:val="18"/>
          <w:i w:val="1"/>
          <w:iCs w:val="1"/>
          <w:color w:val="auto"/>
        </w:rPr>
        <w:t>Definition of Underwritten Net Cash Flow</w:t>
      </w:r>
      <w:r>
        <w:rPr>
          <w:rFonts w:ascii="Arial" w:cs="Arial" w:eastAsia="Arial" w:hAnsi="Arial"/>
          <w:sz w:val="18"/>
          <w:szCs w:val="18"/>
          <w:color w:val="auto"/>
        </w:rPr>
        <w:t>) “</w:t>
      </w:r>
      <w:r>
        <w:rPr>
          <w:rFonts w:ascii="Arial" w:cs="Arial" w:eastAsia="Arial" w:hAnsi="Arial"/>
          <w:sz w:val="18"/>
          <w:szCs w:val="18"/>
          <w:i w:val="1"/>
          <w:iCs w:val="1"/>
          <w:color w:val="auto"/>
        </w:rPr>
        <w:t>Transfer</w:t>
      </w:r>
      <w:r>
        <w:rPr>
          <w:rFonts w:ascii="Arial" w:cs="Arial" w:eastAsia="Arial" w:hAnsi="Arial"/>
          <w:sz w:val="18"/>
          <w:szCs w:val="18"/>
          <w:color w:val="auto"/>
        </w:rPr>
        <w:t>” - 4.2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and Assumption</w:t>
      </w:r>
      <w:r>
        <w:rPr>
          <w:rFonts w:ascii="Arial" w:cs="Arial" w:eastAsia="Arial" w:hAnsi="Arial"/>
          <w:sz w:val="18"/>
          <w:szCs w:val="18"/>
          <w:color w:val="auto"/>
        </w:rPr>
        <w:t>” - 7.1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Transferee Borrower</w:t>
      </w:r>
      <w:r>
        <w:rPr>
          <w:rFonts w:ascii="Arial" w:cs="Arial" w:eastAsia="Arial" w:hAnsi="Arial"/>
          <w:sz w:val="18"/>
          <w:szCs w:val="18"/>
          <w:color w:val="auto"/>
        </w:rPr>
        <w:t>” - 7.1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Transferee Guarantor</w:t>
      </w:r>
      <w:r>
        <w:rPr>
          <w:rFonts w:ascii="Arial" w:cs="Arial" w:eastAsia="Arial" w:hAnsi="Arial"/>
          <w:sz w:val="18"/>
          <w:szCs w:val="18"/>
          <w:color w:val="auto"/>
        </w:rPr>
        <w:t>” - 7.1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Underwriter Group</w:t>
      </w:r>
      <w:r>
        <w:rPr>
          <w:rFonts w:ascii="Arial" w:cs="Arial" w:eastAsia="Arial" w:hAnsi="Arial"/>
          <w:sz w:val="18"/>
          <w:szCs w:val="18"/>
          <w:color w:val="auto"/>
        </w:rPr>
        <w:t>” - 9.2(b)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Unpaid TILC Obligation Amount</w:t>
      </w:r>
      <w:r>
        <w:rPr>
          <w:rFonts w:ascii="Arial" w:cs="Arial" w:eastAsia="Arial" w:hAnsi="Arial"/>
          <w:sz w:val="18"/>
          <w:szCs w:val="18"/>
          <w:color w:val="auto"/>
        </w:rPr>
        <w:t>” - 1.1 (</w:t>
      </w:r>
      <w:r>
        <w:rPr>
          <w:rFonts w:ascii="Arial" w:cs="Arial" w:eastAsia="Arial" w:hAnsi="Arial"/>
          <w:sz w:val="18"/>
          <w:szCs w:val="18"/>
          <w:i w:val="1"/>
          <w:iCs w:val="1"/>
          <w:color w:val="auto"/>
        </w:rPr>
        <w:t>Definition of Occupancy Conditions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Updated Information</w:t>
      </w:r>
      <w:r>
        <w:rPr>
          <w:rFonts w:ascii="Arial" w:cs="Arial" w:eastAsia="Arial" w:hAnsi="Arial"/>
          <w:sz w:val="18"/>
          <w:szCs w:val="18"/>
          <w:color w:val="auto"/>
        </w:rPr>
        <w:t>” - 9.1(b)(i)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Write-Down and Conversion Powers</w:t>
      </w:r>
      <w:r>
        <w:rPr>
          <w:rFonts w:ascii="Arial" w:cs="Arial" w:eastAsia="Arial" w:hAnsi="Arial"/>
          <w:sz w:val="18"/>
          <w:szCs w:val="18"/>
          <w:color w:val="auto"/>
        </w:rPr>
        <w:t>” - 10.26</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b w:val="1"/>
          <w:bCs w:val="1"/>
          <w:u w:val="single" w:color="auto"/>
          <w:color w:val="auto"/>
        </w:rPr>
        <w:t>Principles of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to sections and schedules are to sections and schedules in or to this Agreement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specified. Unless otherwise specified, the words “hereof,” “herein” and “hereunder” and words of similar import when used in this Agreement or any other Loan Document shall refer to this Agreement or such other Loan Document as a whole and not to any particular provision hereof or thereof. When used in this Agreement or any other Loan Document, the word “including” shall mean “including but not limited to”. Unless otherwise specified, all meanings attributed to defined terms herein shall be equally applicable to both the singular and plural forms of the terms so defined.</w:t>
      </w: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LOAN</w:t>
      </w:r>
    </w:p>
    <w:p>
      <w:pPr>
        <w:spacing w:after="0" w:line="22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u w:val="single" w:color="auto"/>
          <w:color w:val="auto"/>
        </w:rPr>
        <w:t>The Loan</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Agreement to Lend and Borrow</w:t>
      </w:r>
      <w:r>
        <w:rPr>
          <w:rFonts w:ascii="Arial" w:cs="Arial" w:eastAsia="Arial" w:hAnsi="Arial"/>
          <w:sz w:val="18"/>
          <w:szCs w:val="18"/>
          <w:color w:val="auto"/>
        </w:rPr>
        <w:t>. Subject to and upon the terms and conditions set forth herein, Lender shall make the Loan to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Borrower shall accept the Loan from Lender on the Closing Date.</w:t>
      </w:r>
    </w:p>
    <w:p>
      <w:pPr>
        <w:spacing w:after="0" w:line="16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Single Disbursement to Borrower</w:t>
      </w:r>
      <w:r>
        <w:rPr>
          <w:rFonts w:ascii="Arial" w:cs="Arial" w:eastAsia="Arial" w:hAnsi="Arial"/>
          <w:sz w:val="18"/>
          <w:szCs w:val="18"/>
          <w:color w:val="auto"/>
        </w:rPr>
        <w:t>. Borrower shall receive only one borrowing hereunder in respect of the Loan and any amount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borrowed and repaid hereunder in respect of the Loan may not be reborrowed.</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u w:val="single" w:color="auto"/>
          <w:color w:val="auto"/>
        </w:rPr>
        <w:t>The Note</w:t>
      </w:r>
      <w:r>
        <w:rPr>
          <w:rFonts w:ascii="Arial" w:cs="Arial" w:eastAsia="Arial" w:hAnsi="Arial"/>
          <w:sz w:val="18"/>
          <w:szCs w:val="18"/>
          <w:color w:val="auto"/>
        </w:rPr>
        <w:t>. The Loan shall be evidenced by that certain Promissory Note of even date herewith, in the stated principal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Thirty Million One Hundred Thousand and No/100 Dollars ($30,100,000.00) executed by Borrower and payable to the order of Lender in evidence of the Loan (as the same may hereafter be amended, supplemented, restated, increased, extended or consolidated from time to time, the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and shall be repaid in accordance with the terms of this Agreement, the Note and the other Loan Documents.</w:t>
      </w:r>
    </w:p>
    <w:p>
      <w:pPr>
        <w:spacing w:after="0" w:line="18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b w:val="1"/>
          <w:bCs w:val="1"/>
          <w:u w:val="single" w:color="auto"/>
          <w:color w:val="auto"/>
        </w:rPr>
        <w:t>Use of Proceeds</w:t>
      </w:r>
      <w:r>
        <w:rPr>
          <w:rFonts w:ascii="Arial" w:cs="Arial" w:eastAsia="Arial" w:hAnsi="Arial"/>
          <w:sz w:val="18"/>
          <w:szCs w:val="18"/>
          <w:color w:val="auto"/>
        </w:rPr>
        <w:t>. Borrower shall use proceeds of the Loan to (i) acquire the Property and/or pay and discharge any existing loans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relating to the Property, (ii) pay all past-due Taxes, Insurance Premiums and Other Charges, if any, in respect of the Property, (iii) make initial deposits of the Reserve Funds, (iv) pay costs and expenses incurred in connection with the closing of the Loan, and (v) to the extent any proceeds remain after satisfying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(iv) above, for such lawful purpose as Borrower shall designate, provided such purpose does not violate the terms of any Loan Documents.</w:t>
      </w:r>
    </w:p>
    <w:p>
      <w:pPr>
        <w:spacing w:after="0" w:line="18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Interest Rate</w:t>
      </w:r>
      <w:r>
        <w:rPr>
          <w:rFonts w:ascii="Arial" w:cs="Arial" w:eastAsia="Arial" w:hAnsi="Arial"/>
          <w:sz w:val="16"/>
          <w:szCs w:val="16"/>
          <w:b w:val="1"/>
          <w:b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b w:val="1"/>
          <w:bCs w:val="1"/>
          <w:u w:val="single" w:color="auto"/>
          <w:color w:val="auto"/>
        </w:rPr>
        <w:t>Interest Rate</w:t>
      </w:r>
      <w:r>
        <w:rPr>
          <w:rFonts w:ascii="Arial" w:cs="Arial" w:eastAsia="Arial" w:hAnsi="Arial"/>
          <w:sz w:val="18"/>
          <w:szCs w:val="18"/>
          <w:color w:val="auto"/>
        </w:rPr>
        <w:t>. Interest on the Outstanding Principal Balance shall accrue throughout the Term at the Interest Rate.</w:t>
      </w:r>
    </w:p>
    <w:p>
      <w:pPr>
        <w:spacing w:after="0" w:line="225"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6"/>
          <w:szCs w:val="16"/>
          <w:b w:val="1"/>
          <w:bCs w:val="1"/>
          <w:color w:val="auto"/>
        </w:rPr>
        <w:t xml:space="preserve">2.2.2 </w:t>
      </w:r>
      <w:r>
        <w:rPr>
          <w:rFonts w:ascii="Arial" w:cs="Arial" w:eastAsia="Arial" w:hAnsi="Arial"/>
          <w:sz w:val="16"/>
          <w:szCs w:val="16"/>
          <w:b w:val="1"/>
          <w:bCs w:val="1"/>
          <w:u w:val="single" w:color="auto"/>
          <w:color w:val="auto"/>
        </w:rPr>
        <w:t>Default Rate</w:t>
      </w:r>
      <w:r>
        <w:rPr>
          <w:rFonts w:ascii="Arial" w:cs="Arial" w:eastAsia="Arial" w:hAnsi="Arial"/>
          <w:sz w:val="16"/>
          <w:szCs w:val="16"/>
          <w:color w:val="auto"/>
        </w:rPr>
        <w:t>. In the event that, and for so long as, any Event of Default shall have occurred and be continuing, the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Balance and, to the extent not prohibited by applicable law, all other portions of the Debt, shall accrue interest at the Default Rate, calculated from the date such payment was due or such Default shall have occurred without regard to any grace or cure periods contained herein. Interest at the Default Rate shall accrue and be payable and included as part of the Debt regardless of any demand, and without limiting the foregoing shall be paid immediately upon demand, which demand may be made as frequently as Lender shall elect, to the extent not prohibited by applicable law.</w:t>
      </w:r>
    </w:p>
    <w:p>
      <w:pPr>
        <w:spacing w:after="0" w:line="15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b w:val="1"/>
          <w:bCs w:val="1"/>
          <w:u w:val="single" w:color="auto"/>
          <w:color w:val="auto"/>
        </w:rPr>
        <w:t>Interest Calculation</w:t>
      </w:r>
      <w:r>
        <w:rPr>
          <w:rFonts w:ascii="Arial" w:cs="Arial" w:eastAsia="Arial" w:hAnsi="Arial"/>
          <w:sz w:val="18"/>
          <w:szCs w:val="18"/>
          <w:color w:val="auto"/>
        </w:rPr>
        <w:t>. Interest on the Outstanding Principal Balance shall be calculated by multiplying (A) the actual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days elapsed in the period for which the calculation is being made by (B) a daily rate based on a three hundred sixty (360) day year (that is, the Interest Rate expressed as an annual rate divided by 360) by (C) the Outstanding Principal Balance. The accrual period for calculating interest due on each Monthly Payment Date shall be the Interest Period immediately prior to such Monthly Payment Date.</w:t>
      </w:r>
    </w:p>
    <w:p>
      <w:pPr>
        <w:spacing w:after="0" w:line="18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b w:val="1"/>
          <w:bCs w:val="1"/>
          <w:color w:val="auto"/>
        </w:rPr>
        <w:t xml:space="preserve">2.2.4 </w:t>
      </w:r>
      <w:r>
        <w:rPr>
          <w:rFonts w:ascii="Arial" w:cs="Arial" w:eastAsia="Arial" w:hAnsi="Arial"/>
          <w:sz w:val="17"/>
          <w:szCs w:val="17"/>
          <w:b w:val="1"/>
          <w:bCs w:val="1"/>
          <w:u w:val="single" w:color="auto"/>
          <w:color w:val="auto"/>
        </w:rPr>
        <w:t>Usury Savings</w:t>
      </w:r>
      <w:r>
        <w:rPr>
          <w:rFonts w:ascii="Arial" w:cs="Arial" w:eastAsia="Arial" w:hAnsi="Arial"/>
          <w:sz w:val="17"/>
          <w:szCs w:val="17"/>
          <w:color w:val="auto"/>
        </w:rPr>
        <w:t>. This Agreement and the other Loan Documents are subject to the express condition that at no time shall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be required to pay interest on the Outstanding Principal Balance at a rate which could subject Lender to either civil or criminal liability as a result of being in excess of the Maximum Legal Rate. If by the terms of this Agreement or the other Loan Documents, Borrower is at any time required or obligated to pay interest on the Outstanding Principal Balance at a rate in excess of the Maximum Legal Rate, the Interest Rate shall be deemed to be immediately reduced to the Maximum Legal Rate and all previous payments in excess of the Maximum Legal Rate shall be deemed to have been payments in reduction of principal and not on account of the interest due hereunder. All sums paid or agreed to be paid to Lender for the use, forbearance, or detention of the sums due under the Loan, shall, to the extent permitted by applicable law, be amortized, prorated, allocated and spread throughout the full stated term of the Loan until payment in full so that the rate or amount of interest on account of the Loan does not exceed the Maximum Legal Rate from time to time in effect and applicable to the Loan for so long as the Loan is outstanding.</w:t>
      </w:r>
    </w:p>
    <w:p>
      <w:pPr>
        <w:spacing w:after="0" w:line="200" w:lineRule="exact"/>
        <w:rPr>
          <w:sz w:val="20"/>
          <w:szCs w:val="20"/>
          <w:color w:val="auto"/>
        </w:rPr>
      </w:pP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0" w:name="page311"/>
    <w:bookmarkEnd w:id="310"/>
    <w:p>
      <w:pPr>
        <w:ind w:left="660"/>
        <w:spacing w:after="0"/>
        <w:tabs>
          <w:tab w:leader="none" w:pos="170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u w:val="single" w:color="auto"/>
          <w:color w:val="auto"/>
        </w:rPr>
        <w:t>Loan Payments</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b w:val="1"/>
          <w:bCs w:val="1"/>
          <w:u w:val="single" w:color="auto"/>
          <w:color w:val="auto"/>
        </w:rPr>
        <w:t>Payments</w:t>
      </w:r>
      <w:r>
        <w:rPr>
          <w:rFonts w:ascii="Arial" w:cs="Arial" w:eastAsia="Arial" w:hAnsi="Arial"/>
          <w:sz w:val="18"/>
          <w:szCs w:val="18"/>
          <w:color w:val="auto"/>
        </w:rPr>
        <w:t>. On the date hereof, Borrower shall pay interest on the unpaid Outstanding Principal Balance from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and including August 5, 2021 (the “</w:t>
      </w:r>
      <w:r>
        <w:rPr>
          <w:rFonts w:ascii="Arial" w:cs="Arial" w:eastAsia="Arial" w:hAnsi="Arial"/>
          <w:sz w:val="18"/>
          <w:szCs w:val="18"/>
          <w:b w:val="1"/>
          <w:bCs w:val="1"/>
          <w:i w:val="1"/>
          <w:iCs w:val="1"/>
          <w:color w:val="auto"/>
        </w:rPr>
        <w:t>Initial Interest Period</w:t>
      </w:r>
      <w:r>
        <w:rPr>
          <w:rFonts w:ascii="Arial" w:cs="Arial" w:eastAsia="Arial" w:hAnsi="Arial"/>
          <w:sz w:val="18"/>
          <w:szCs w:val="18"/>
          <w:color w:val="auto"/>
        </w:rPr>
        <w:t xml:space="preserve">”). On September 6, 2021 and each Monthly Payment Date thereafter during the Term, Borrower shall make a payment of principal and interest equal to the Monthly Debt Service Payment Amount. The Monthly Debt Service Payment Amount shall be applied first to accrued and unpaid interest and the balance to the Outstanding Principal Balance. Borrower shall also pay to Lender all amounts required in respect of Reserve Funds as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hereof.</w:t>
      </w:r>
    </w:p>
    <w:p>
      <w:pPr>
        <w:spacing w:after="0" w:line="18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7"/>
          <w:szCs w:val="17"/>
          <w:b w:val="1"/>
          <w:bCs w:val="1"/>
          <w:color w:val="auto"/>
        </w:rPr>
        <w:t xml:space="preserve">2.3.2 </w:t>
      </w:r>
      <w:r>
        <w:rPr>
          <w:rFonts w:ascii="Arial" w:cs="Arial" w:eastAsia="Arial" w:hAnsi="Arial"/>
          <w:sz w:val="17"/>
          <w:szCs w:val="17"/>
          <w:b w:val="1"/>
          <w:bCs w:val="1"/>
          <w:u w:val="single" w:color="auto"/>
          <w:color w:val="auto"/>
        </w:rPr>
        <w:t>Payments Generally</w:t>
      </w:r>
      <w:r>
        <w:rPr>
          <w:rFonts w:ascii="Arial" w:cs="Arial" w:eastAsia="Arial" w:hAnsi="Arial"/>
          <w:sz w:val="17"/>
          <w:szCs w:val="17"/>
          <w:color w:val="auto"/>
        </w:rPr>
        <w:t>. After the Initial Interest Period, each interest accrual period thereafter (each, an “</w:t>
      </w:r>
      <w:r>
        <w:rPr>
          <w:rFonts w:ascii="Arial" w:cs="Arial" w:eastAsia="Arial" w:hAnsi="Arial"/>
          <w:sz w:val="17"/>
          <w:szCs w:val="17"/>
          <w:b w:val="1"/>
          <w:bCs w:val="1"/>
          <w:i w:val="1"/>
          <w:iCs w:val="1"/>
          <w:color w:val="auto"/>
        </w:rPr>
        <w:t>Interest Period</w:t>
      </w:r>
      <w:r>
        <w:rPr>
          <w:rFonts w:ascii="Arial" w:cs="Arial" w:eastAsia="Arial" w:hAnsi="Arial"/>
          <w:sz w:val="17"/>
          <w:szCs w:val="17"/>
          <w:color w:val="auto"/>
        </w:rPr>
        <w:t>”)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 on the sixth (6</w:t>
      </w:r>
      <w:r>
        <w:rPr>
          <w:rFonts w:ascii="Arial" w:cs="Arial" w:eastAsia="Arial" w:hAnsi="Arial"/>
          <w:sz w:val="28"/>
          <w:szCs w:val="28"/>
          <w:color w:val="auto"/>
          <w:vertAlign w:val="superscript"/>
        </w:rPr>
        <w:t>th</w:t>
      </w:r>
      <w:r>
        <w:rPr>
          <w:rFonts w:ascii="Arial" w:cs="Arial" w:eastAsia="Arial" w:hAnsi="Arial"/>
          <w:sz w:val="17"/>
          <w:szCs w:val="17"/>
          <w:color w:val="auto"/>
        </w:rPr>
        <w:t>) day of each calendar month during the Term and shall end on and include the fifth (5</w:t>
      </w:r>
      <w:r>
        <w:rPr>
          <w:rFonts w:ascii="Arial" w:cs="Arial" w:eastAsia="Arial" w:hAnsi="Arial"/>
          <w:sz w:val="28"/>
          <w:szCs w:val="28"/>
          <w:color w:val="auto"/>
          <w:vertAlign w:val="superscript"/>
        </w:rPr>
        <w:t>th</w:t>
      </w:r>
      <w:r>
        <w:rPr>
          <w:rFonts w:ascii="Arial" w:cs="Arial" w:eastAsia="Arial" w:hAnsi="Arial"/>
          <w:sz w:val="17"/>
          <w:szCs w:val="17"/>
          <w:color w:val="auto"/>
        </w:rPr>
        <w:t>) day of the next occurring calendar month. For purposes of making payments hereunder, but not for purposes of calculating interest accrual periods, if the day on which such payment is due is not a Business Day, then amounts due on such date shall be due on the immediately preceding Business Day. Lender shall have the right from time to time, in its sole discretion, upon not less than ten (10) days prior written notice to Borrower, to change the Monthly Payment Date to a different calendar day and, if requested by Lender, Borrower shall promptly execute an amendment to this Agreement to evidence such change; provided, however, that if Lender shall have elected to change the Monthly Payment Date as aforesaid, Lender shall have the option, but not the obligation, to adjust the Interest Period accordingly. With respect to payments of principal due on the Maturity Date, interest shall be payable at the Interest Rate, through and including the day immediately preceding such Maturity Date. All amounts due pursuant to this Agreement and the other Loan Documents shall be payable without setoff, counterclaim, defense or any other deduction whatsoever.</w:t>
      </w:r>
    </w:p>
    <w:p>
      <w:pPr>
        <w:spacing w:after="0" w:line="19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b w:val="1"/>
          <w:bCs w:val="1"/>
          <w:u w:val="single" w:color="auto"/>
          <w:color w:val="auto"/>
        </w:rPr>
        <w:t>Payment on Maturity Date</w:t>
      </w:r>
      <w:r>
        <w:rPr>
          <w:rFonts w:ascii="Arial" w:cs="Arial" w:eastAsia="Arial" w:hAnsi="Arial"/>
          <w:sz w:val="18"/>
          <w:szCs w:val="18"/>
          <w:color w:val="auto"/>
        </w:rPr>
        <w:t>. Borrower shall pay to Lender on the Maturity Date the Outstanding Principal Balance, all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and all other amounts due hereunder and under the Note, the Mortgage and the other Loan Documents.</w:t>
      </w:r>
    </w:p>
    <w:p>
      <w:pPr>
        <w:spacing w:after="0" w:line="16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2.3.4 </w:t>
      </w:r>
      <w:r>
        <w:rPr>
          <w:rFonts w:ascii="Arial" w:cs="Arial" w:eastAsia="Arial" w:hAnsi="Arial"/>
          <w:sz w:val="17"/>
          <w:szCs w:val="17"/>
          <w:b w:val="1"/>
          <w:bCs w:val="1"/>
          <w:u w:val="single" w:color="auto"/>
          <w:color w:val="auto"/>
        </w:rPr>
        <w:t>Late Payment Charge</w:t>
      </w:r>
      <w:r>
        <w:rPr>
          <w:rFonts w:ascii="Arial" w:cs="Arial" w:eastAsia="Arial" w:hAnsi="Arial"/>
          <w:sz w:val="17"/>
          <w:szCs w:val="17"/>
          <w:color w:val="auto"/>
        </w:rPr>
        <w:t>. If any principal, interest or any other sum due under the Loan Documents (other than the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Balance due and payable on the Maturity Date) is not paid by Borrower on the date on which it is due, Borrower shall pay to Lender upon demand an amount equal to the lesser of five percent (5%) of such unpaid sum or the maximum amount permitted by applicable law in order to defray the expense incurred by Lender in handling and processing such delinquent payment and to compensate Lender for the loss of the use of such delinquent payment. Any such amount shall be secured by the Mortgage and the other Loan Documents to the extent permitted by law.</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1" w:name="page312"/>
    <w:bookmarkEnd w:id="311"/>
    <w:p>
      <w:pPr>
        <w:ind w:left="1300"/>
        <w:spacing w:after="0"/>
        <w:tabs>
          <w:tab w:leader="none" w:pos="19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u w:val="single" w:color="auto"/>
          <w:color w:val="auto"/>
        </w:rPr>
        <w:t>Method and Place of Payment</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79" w:lineRule="auto"/>
        <w:tabs>
          <w:tab w:leader="none" w:pos="2038" w:val="left"/>
        </w:tabs>
        <w:numPr>
          <w:ilvl w:val="0"/>
          <w:numId w:val="330"/>
        </w:numPr>
        <w:rPr>
          <w:rFonts w:ascii="Arial" w:cs="Arial" w:eastAsia="Arial" w:hAnsi="Arial"/>
          <w:sz w:val="17"/>
          <w:szCs w:val="17"/>
          <w:color w:val="auto"/>
        </w:rPr>
      </w:pPr>
      <w:r>
        <w:rPr>
          <w:rFonts w:ascii="Arial" w:cs="Arial" w:eastAsia="Arial" w:hAnsi="Arial"/>
          <w:sz w:val="17"/>
          <w:szCs w:val="17"/>
          <w:color w:val="auto"/>
        </w:rPr>
        <w:t>Except as otherwise specifically provided herein, all payments and prepayments under this Agreement and the Note shall be made to Lender not later than 2:00 p.m., New York City time, on the date when due and shall be made in lawful money of the United States of America in immediately available funds at Lender’s office or at such other place as Lender shall from time to time designate, and any funds received by Lender after such time shall, for all purposes hereof, be deemed to have been paid on the next succeeding Business Day.</w:t>
      </w:r>
    </w:p>
    <w:p>
      <w:pPr>
        <w:spacing w:after="0" w:line="171" w:lineRule="exact"/>
        <w:rPr>
          <w:rFonts w:ascii="Arial" w:cs="Arial" w:eastAsia="Arial" w:hAnsi="Arial"/>
          <w:sz w:val="17"/>
          <w:szCs w:val="17"/>
          <w:color w:val="auto"/>
        </w:rPr>
      </w:pPr>
    </w:p>
    <w:p>
      <w:pPr>
        <w:ind w:right="20" w:firstLine="1304"/>
        <w:spacing w:after="0" w:line="277" w:lineRule="auto"/>
        <w:tabs>
          <w:tab w:leader="none" w:pos="193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Whenever any payment to be made hereunder or under any other Loan Document shall be stated to be due on a day which is not a Business Day, the due date thereof shall be the immediately preceding Business Day.</w:t>
      </w:r>
    </w:p>
    <w:p>
      <w:pPr>
        <w:spacing w:after="0" w:line="170" w:lineRule="exact"/>
        <w:rPr>
          <w:rFonts w:ascii="Arial" w:cs="Arial" w:eastAsia="Arial" w:hAnsi="Arial"/>
          <w:sz w:val="18"/>
          <w:szCs w:val="18"/>
          <w:color w:val="auto"/>
        </w:rPr>
      </w:pPr>
    </w:p>
    <w:p>
      <w:pPr>
        <w:ind w:firstLine="1304"/>
        <w:spacing w:after="0" w:line="277" w:lineRule="auto"/>
        <w:tabs>
          <w:tab w:leader="none" w:pos="209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payments required to be made by Borrower hereunder or under the Note or the other Loan Documents shall be made irrespective of, and without deduction for, any setoff, claim or counterclaim and shall be made irrespective of any defense thereto.</w:t>
      </w:r>
    </w:p>
    <w:p>
      <w:pPr>
        <w:spacing w:after="0" w:line="16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u w:val="single" w:color="auto"/>
          <w:color w:val="auto"/>
        </w:rPr>
        <w:t>Prepayments</w:t>
      </w:r>
      <w:r>
        <w:rPr>
          <w:rFonts w:ascii="Arial" w:cs="Arial" w:eastAsia="Arial" w:hAnsi="Arial"/>
          <w:sz w:val="16"/>
          <w:szCs w:val="16"/>
          <w:b w:val="1"/>
          <w:bCs w:val="1"/>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b w:val="1"/>
          <w:bCs w:val="1"/>
          <w:u w:val="single" w:color="auto"/>
          <w:color w:val="auto"/>
        </w:rPr>
        <w:t>Prepayments</w:t>
      </w:r>
      <w:r>
        <w:rPr>
          <w:rFonts w:ascii="Arial" w:cs="Arial" w:eastAsia="Arial" w:hAnsi="Arial"/>
          <w:sz w:val="18"/>
          <w:szCs w:val="18"/>
          <w:color w:val="auto"/>
        </w:rPr>
        <w:t>. Except as otherwise provided herein, Borrower shall not have the right to prepay the Loan in whole or in part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Stated Maturity Date.</w:t>
      </w:r>
    </w:p>
    <w:p>
      <w:pPr>
        <w:spacing w:after="0" w:line="16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5"/>
          <w:szCs w:val="15"/>
          <w:b w:val="1"/>
          <w:bCs w:val="1"/>
          <w:u w:val="single" w:color="auto"/>
          <w:color w:val="auto"/>
        </w:rPr>
        <w:t>Defeasance</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75" w:lineRule="auto"/>
        <w:tabs>
          <w:tab w:leader="none" w:pos="2157"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Conditions to Defeasance</w:t>
      </w:r>
      <w:r>
        <w:rPr>
          <w:rFonts w:ascii="Arial" w:cs="Arial" w:eastAsia="Arial" w:hAnsi="Arial"/>
          <w:sz w:val="17"/>
          <w:szCs w:val="17"/>
          <w:color w:val="auto"/>
        </w:rPr>
        <w:t>. Provided no Event of Default has occurred and is continuing, at any time after the date (the “</w:t>
      </w:r>
      <w:r>
        <w:rPr>
          <w:rFonts w:ascii="Arial" w:cs="Arial" w:eastAsia="Arial" w:hAnsi="Arial"/>
          <w:sz w:val="17"/>
          <w:szCs w:val="17"/>
          <w:b w:val="1"/>
          <w:bCs w:val="1"/>
          <w:i w:val="1"/>
          <w:iCs w:val="1"/>
          <w:color w:val="auto"/>
        </w:rPr>
        <w:t>Defeasance Lockout Expiration Date</w:t>
      </w:r>
      <w:r>
        <w:rPr>
          <w:rFonts w:ascii="Arial" w:cs="Arial" w:eastAsia="Arial" w:hAnsi="Arial"/>
          <w:sz w:val="17"/>
          <w:szCs w:val="17"/>
          <w:color w:val="auto"/>
        </w:rPr>
        <w:t>”) which is the earlier of: (A) two (2) years after the “startup day,” within the meaning of Section 860G(a)(9) of the Code, of the final “real estate mortgage investment conduit,” established within the meaning of Section 860D of the Code, that holds any note that evidences all or any portion of the Loan or (B) three (3) years after the date hereof, Borrower may cause the release of the Property (in whole but not in part) from the Lien of the Mortgage and the other Loan Documents upon the satisfaction of the following conditions:</w:t>
      </w:r>
    </w:p>
    <w:p>
      <w:pPr>
        <w:spacing w:after="0" w:line="176" w:lineRule="exact"/>
        <w:rPr>
          <w:rFonts w:ascii="Arial" w:cs="Arial" w:eastAsia="Arial" w:hAnsi="Arial"/>
          <w:sz w:val="17"/>
          <w:szCs w:val="17"/>
          <w:color w:val="auto"/>
        </w:rPr>
      </w:pPr>
    </w:p>
    <w:p>
      <w:pPr>
        <w:ind w:left="660" w:right="20" w:firstLine="1292"/>
        <w:spacing w:after="0" w:line="277" w:lineRule="auto"/>
        <w:tabs>
          <w:tab w:leader="none" w:pos="262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not less than sixty (60) days prior written notice shall be given to Lender specifying a date (the “</w:t>
      </w:r>
      <w:r>
        <w:rPr>
          <w:rFonts w:ascii="Arial" w:cs="Arial" w:eastAsia="Arial" w:hAnsi="Arial"/>
          <w:sz w:val="18"/>
          <w:szCs w:val="18"/>
          <w:b w:val="1"/>
          <w:bCs w:val="1"/>
          <w:i w:val="1"/>
          <w:iCs w:val="1"/>
          <w:color w:val="auto"/>
        </w:rPr>
        <w:t>Release Date</w:t>
      </w:r>
      <w:r>
        <w:rPr>
          <w:rFonts w:ascii="Arial" w:cs="Arial" w:eastAsia="Arial" w:hAnsi="Arial"/>
          <w:sz w:val="18"/>
          <w:szCs w:val="18"/>
          <w:color w:val="auto"/>
        </w:rPr>
        <w:t>”) on which the Defeasance Collateral is to be delivered, such Release Date to occur only on a Monthly Payment Date;</w:t>
      </w:r>
    </w:p>
    <w:p>
      <w:pPr>
        <w:spacing w:after="0" w:line="170" w:lineRule="exact"/>
        <w:rPr>
          <w:rFonts w:ascii="Arial" w:cs="Arial" w:eastAsia="Arial" w:hAnsi="Arial"/>
          <w:sz w:val="18"/>
          <w:szCs w:val="18"/>
          <w:color w:val="auto"/>
        </w:rPr>
      </w:pPr>
    </w:p>
    <w:p>
      <w:pPr>
        <w:jc w:val="both"/>
        <w:ind w:left="660" w:firstLine="1292"/>
        <w:spacing w:after="0" w:line="257" w:lineRule="auto"/>
        <w:tabs>
          <w:tab w:leader="none" w:pos="2585"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accrued and unpaid interest and all other sums due under the Note and under the other Loan Documents up to the Release Date, including, without limitation, all out-of-pocket costs and expenses incurred by Lender or its agents in connection with such release (including, without limitation, the reasonable fees and expenses incurred by attorneys and accountants in connection with the review of the proposed Defeasance Collateral and the preparation of the Defeasance Security Agreement and related documentation), shall be paid in full on or prior to the Release Date; and</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2" w:name="page313"/>
    <w:bookmarkEnd w:id="312"/>
    <w:p>
      <w:pPr>
        <w:ind w:left="1480" w:hanging="648"/>
        <w:spacing w:after="0"/>
        <w:tabs>
          <w:tab w:leader="none" w:pos="14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Borrower shall deliver to Lender on or prior to the Release Date:</w:t>
      </w:r>
    </w:p>
    <w:p>
      <w:pPr>
        <w:spacing w:after="0" w:line="225" w:lineRule="exact"/>
        <w:rPr>
          <w:rFonts w:ascii="Arial" w:cs="Arial" w:eastAsia="Arial" w:hAnsi="Arial"/>
          <w:sz w:val="18"/>
          <w:szCs w:val="18"/>
          <w:color w:val="auto"/>
        </w:rPr>
      </w:pPr>
    </w:p>
    <w:p>
      <w:pPr>
        <w:jc w:val="both"/>
        <w:ind w:left="180" w:firstLine="1301"/>
        <w:spacing w:after="0" w:line="270" w:lineRule="auto"/>
        <w:tabs>
          <w:tab w:leader="none" w:pos="2171" w:val="left"/>
        </w:tabs>
        <w:numPr>
          <w:ilvl w:val="1"/>
          <w:numId w:val="332"/>
        </w:numPr>
        <w:rPr>
          <w:rFonts w:ascii="Arial" w:cs="Arial" w:eastAsia="Arial" w:hAnsi="Arial"/>
          <w:sz w:val="17"/>
          <w:szCs w:val="17"/>
          <w:color w:val="auto"/>
        </w:rPr>
      </w:pPr>
      <w:r>
        <w:rPr>
          <w:rFonts w:ascii="Arial" w:cs="Arial" w:eastAsia="Arial" w:hAnsi="Arial"/>
          <w:sz w:val="17"/>
          <w:szCs w:val="17"/>
          <w:color w:val="auto"/>
        </w:rPr>
        <w:t>an amount equal to that which is sufficient to purchase U.S. Obligations that provide for payments (1) on or prior to, but as close as possible to and including, all successive scheduled Monthly Payment Dates after the Release Date through the Stated Maturity Date, and (2) in amounts equal to or greater than the Monthly Debt Service Payment Amount through and including the Stated Maturity Date together with payment in full of the Outstanding Principal Balance as of the Stated Maturity Date (the “</w:t>
      </w:r>
      <w:r>
        <w:rPr>
          <w:rFonts w:ascii="Arial" w:cs="Arial" w:eastAsia="Arial" w:hAnsi="Arial"/>
          <w:sz w:val="17"/>
          <w:szCs w:val="17"/>
          <w:b w:val="1"/>
          <w:bCs w:val="1"/>
          <w:i w:val="1"/>
          <w:iCs w:val="1"/>
          <w:color w:val="auto"/>
        </w:rPr>
        <w:t>Defeasance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Collateral</w:t>
      </w:r>
      <w:r>
        <w:rPr>
          <w:rFonts w:ascii="Arial" w:cs="Arial" w:eastAsia="Arial" w:hAnsi="Arial"/>
          <w:sz w:val="17"/>
          <w:szCs w:val="17"/>
          <w:color w:val="auto"/>
        </w:rPr>
        <w:t>”), each of which shall be duly endorsed by the holder thereof as directed by Lender or accompanied by a written instrument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transfer in form and substance wholly satisfactory to Lender (including, without limitation, such instruments as may be required by the depository institution holding such securities to effectuate book-entry transfers and pledges through the book-entry facilities of such institution) in order to create a first priority security interest therein in favor of the Lender in conformity with all applicable state and federal laws governing granting of such security interests;</w:t>
      </w:r>
    </w:p>
    <w:p>
      <w:pPr>
        <w:spacing w:after="0" w:line="180" w:lineRule="exact"/>
        <w:rPr>
          <w:rFonts w:ascii="Arial" w:cs="Arial" w:eastAsia="Arial" w:hAnsi="Arial"/>
          <w:sz w:val="17"/>
          <w:szCs w:val="17"/>
          <w:color w:val="auto"/>
        </w:rPr>
      </w:pPr>
    </w:p>
    <w:p>
      <w:pPr>
        <w:jc w:val="both"/>
        <w:ind w:left="180" w:firstLine="1301"/>
        <w:spacing w:after="0" w:line="255" w:lineRule="auto"/>
        <w:tabs>
          <w:tab w:leader="none" w:pos="215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 pledge and security agreement, in form and substance satisfactory to Lender in its sole discretion, creating a first priority security interest in favor of Lender in the Defeasance Collateral (the “</w:t>
      </w:r>
      <w:r>
        <w:rPr>
          <w:rFonts w:ascii="Arial" w:cs="Arial" w:eastAsia="Arial" w:hAnsi="Arial"/>
          <w:sz w:val="18"/>
          <w:szCs w:val="18"/>
          <w:b w:val="1"/>
          <w:bCs w:val="1"/>
          <w:i w:val="1"/>
          <w:iCs w:val="1"/>
          <w:color w:val="auto"/>
        </w:rPr>
        <w:t>Defeasance Security Agreement</w:t>
      </w:r>
      <w:r>
        <w:rPr>
          <w:rFonts w:ascii="Arial" w:cs="Arial" w:eastAsia="Arial" w:hAnsi="Arial"/>
          <w:sz w:val="18"/>
          <w:szCs w:val="18"/>
          <w:color w:val="auto"/>
        </w:rPr>
        <w:t>”), which shall provide, among other things, that any payments generated by the Defeasance Collateral shall be paid directly to Lender and applied by Lender in satisfaction of all amounts then due and payable hereunder and any excess received by Lender from the Defeasance Collateral over the amounts payable by Borrower hereunder or under the Note shall be refunded to Borrower promptly after each Monthly Payment Date;</w:t>
      </w:r>
    </w:p>
    <w:p>
      <w:pPr>
        <w:spacing w:after="0" w:line="192" w:lineRule="exact"/>
        <w:rPr>
          <w:rFonts w:ascii="Arial" w:cs="Arial" w:eastAsia="Arial" w:hAnsi="Arial"/>
          <w:sz w:val="18"/>
          <w:szCs w:val="18"/>
          <w:color w:val="auto"/>
        </w:rPr>
      </w:pPr>
    </w:p>
    <w:p>
      <w:pPr>
        <w:ind w:left="2340" w:hanging="859"/>
        <w:spacing w:after="0"/>
        <w:tabs>
          <w:tab w:leader="none" w:pos="234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 xml:space="preserve">a certificate of Borrower certifying that all of the requirements set forth in this </w:t>
      </w:r>
      <w:r>
        <w:rPr>
          <w:rFonts w:ascii="Arial" w:cs="Arial" w:eastAsia="Arial" w:hAnsi="Arial"/>
          <w:sz w:val="17"/>
          <w:szCs w:val="17"/>
          <w:u w:val="single" w:color="auto"/>
          <w:color w:val="auto"/>
        </w:rPr>
        <w:t>Section 2.4.2</w:t>
      </w:r>
      <w:r>
        <w:rPr>
          <w:rFonts w:ascii="Arial" w:cs="Arial" w:eastAsia="Arial" w:hAnsi="Arial"/>
          <w:sz w:val="17"/>
          <w:szCs w:val="17"/>
          <w:color w:val="auto"/>
        </w:rPr>
        <w:t xml:space="preserve"> have been</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satisfied;</w:t>
      </w:r>
    </w:p>
    <w:p>
      <w:pPr>
        <w:spacing w:after="0" w:line="210" w:lineRule="exact"/>
        <w:rPr>
          <w:rFonts w:ascii="Arial" w:cs="Arial" w:eastAsia="Arial" w:hAnsi="Arial"/>
          <w:sz w:val="17"/>
          <w:szCs w:val="17"/>
          <w:color w:val="auto"/>
        </w:rPr>
      </w:pPr>
    </w:p>
    <w:p>
      <w:pPr>
        <w:jc w:val="both"/>
        <w:ind w:left="180" w:firstLine="1301"/>
        <w:spacing w:after="0" w:line="257" w:lineRule="auto"/>
        <w:tabs>
          <w:tab w:leader="none" w:pos="2086"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an opinion of counsel for Borrower in form and substance and delivered by counsel satisfactory to Lender in its reasonable discretion stating, among other things, that (1) Lender has a perfected first priority security interest in the Defeasance Collateral and that the Defeasance Security Agreement is enforceable against Borrower in accordance with its terms; and (2) that any REMIC Trust formed pursuant to a Securitization will not fail to maintain its status as a “real estate mortgage investment conduit” within the meaning of Section 860D of the Code as a result of such defeasance;</w:t>
      </w:r>
    </w:p>
    <w:p>
      <w:pPr>
        <w:spacing w:after="0" w:line="187" w:lineRule="exact"/>
        <w:rPr>
          <w:rFonts w:ascii="Arial" w:cs="Arial" w:eastAsia="Arial" w:hAnsi="Arial"/>
          <w:sz w:val="18"/>
          <w:szCs w:val="18"/>
          <w:color w:val="auto"/>
        </w:rPr>
      </w:pPr>
    </w:p>
    <w:p>
      <w:pPr>
        <w:ind w:left="180" w:firstLine="1301"/>
        <w:spacing w:after="0" w:line="277" w:lineRule="auto"/>
        <w:tabs>
          <w:tab w:leader="none" w:pos="217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at Lender’s request, a Rating Agency Confirmation from each applicable Rating Agency or each such Rating Agency as is required by Lender;</w:t>
      </w:r>
    </w:p>
    <w:p>
      <w:pPr>
        <w:spacing w:after="0" w:line="170" w:lineRule="exact"/>
        <w:rPr>
          <w:rFonts w:ascii="Arial" w:cs="Arial" w:eastAsia="Arial" w:hAnsi="Arial"/>
          <w:sz w:val="18"/>
          <w:szCs w:val="18"/>
          <w:color w:val="auto"/>
        </w:rPr>
      </w:pPr>
    </w:p>
    <w:p>
      <w:pPr>
        <w:ind w:left="180" w:firstLine="1301"/>
        <w:spacing w:after="0" w:line="277" w:lineRule="auto"/>
        <w:tabs>
          <w:tab w:leader="none" w:pos="2135"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a certificate from a firm of independent public accountants reasonably acceptable to Lender certifying that the Defeasance Collateral is sufficient to satisfy the provisions of </w:t>
      </w:r>
      <w:r>
        <w:rPr>
          <w:rFonts w:ascii="Arial" w:cs="Arial" w:eastAsia="Arial" w:hAnsi="Arial"/>
          <w:sz w:val="18"/>
          <w:szCs w:val="18"/>
          <w:u w:val="single" w:color="auto"/>
          <w:color w:val="auto"/>
        </w:rPr>
        <w:t>Section 2.4.2(a)(iii)(A)</w:t>
      </w:r>
      <w:r>
        <w:rPr>
          <w:rFonts w:ascii="Arial" w:cs="Arial" w:eastAsia="Arial" w:hAnsi="Arial"/>
          <w:sz w:val="18"/>
          <w:szCs w:val="18"/>
          <w:color w:val="auto"/>
        </w:rPr>
        <w:t xml:space="preserve"> above;</w:t>
      </w:r>
    </w:p>
    <w:p>
      <w:pPr>
        <w:spacing w:after="0" w:line="37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13" w:name="page314"/>
    <w:bookmarkEnd w:id="313"/>
    <w:p>
      <w:pPr>
        <w:ind w:left="3260" w:hanging="659"/>
        <w:spacing w:after="0"/>
        <w:tabs>
          <w:tab w:leader="none" w:pos="32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such other certificates, documents or instruments as Lender may reasonably require; and</w:t>
      </w:r>
    </w:p>
    <w:p>
      <w:pPr>
        <w:spacing w:after="0" w:line="225" w:lineRule="exact"/>
        <w:rPr>
          <w:rFonts w:ascii="Arial" w:cs="Arial" w:eastAsia="Arial" w:hAnsi="Arial"/>
          <w:sz w:val="18"/>
          <w:szCs w:val="18"/>
          <w:color w:val="auto"/>
        </w:rPr>
      </w:pPr>
    </w:p>
    <w:p>
      <w:pPr>
        <w:jc w:val="both"/>
        <w:ind w:left="1300" w:firstLine="1301"/>
        <w:spacing w:after="0" w:line="263" w:lineRule="auto"/>
        <w:tabs>
          <w:tab w:leader="none" w:pos="3462"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in connection with the conditions set forth above in this </w:t>
      </w:r>
      <w:r>
        <w:rPr>
          <w:rFonts w:ascii="Arial" w:cs="Arial" w:eastAsia="Arial" w:hAnsi="Arial"/>
          <w:sz w:val="18"/>
          <w:szCs w:val="18"/>
          <w:u w:val="single" w:color="auto"/>
          <w:color w:val="auto"/>
        </w:rPr>
        <w:t>Section 2.4.2(a)(iii)</w:t>
      </w:r>
      <w:r>
        <w:rPr>
          <w:rFonts w:ascii="Arial" w:cs="Arial" w:eastAsia="Arial" w:hAnsi="Arial"/>
          <w:sz w:val="18"/>
          <w:szCs w:val="18"/>
          <w:color w:val="auto"/>
        </w:rPr>
        <w:t xml:space="preserve">, Borrower hereby appoints Lender as its agent and attorney in fact for the purpose of using the amounts delivered pursuant to </w:t>
      </w:r>
      <w:r>
        <w:rPr>
          <w:rFonts w:ascii="Arial" w:cs="Arial" w:eastAsia="Arial" w:hAnsi="Arial"/>
          <w:sz w:val="18"/>
          <w:szCs w:val="18"/>
          <w:u w:val="single" w:color="auto"/>
          <w:color w:val="auto"/>
        </w:rPr>
        <w:t>Section 2.4.2(a)(iii)(A)</w:t>
      </w:r>
      <w:r>
        <w:rPr>
          <w:rFonts w:ascii="Arial" w:cs="Arial" w:eastAsia="Arial" w:hAnsi="Arial"/>
          <w:sz w:val="18"/>
          <w:szCs w:val="18"/>
          <w:color w:val="auto"/>
        </w:rPr>
        <w:t xml:space="preserve"> above to purchase the Defeasance Collateral.</w:t>
      </w:r>
    </w:p>
    <w:p>
      <w:pPr>
        <w:spacing w:after="0" w:line="183" w:lineRule="exact"/>
        <w:rPr>
          <w:rFonts w:ascii="Arial" w:cs="Arial" w:eastAsia="Arial" w:hAnsi="Arial"/>
          <w:sz w:val="18"/>
          <w:szCs w:val="18"/>
          <w:color w:val="auto"/>
        </w:rPr>
      </w:pPr>
    </w:p>
    <w:p>
      <w:pPr>
        <w:jc w:val="both"/>
        <w:ind w:firstLine="1304"/>
        <w:spacing w:after="0" w:line="285" w:lineRule="auto"/>
        <w:tabs>
          <w:tab w:leader="none" w:pos="1951"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Successor Borrower</w:t>
      </w:r>
      <w:r>
        <w:rPr>
          <w:rFonts w:ascii="Arial" w:cs="Arial" w:eastAsia="Arial" w:hAnsi="Arial"/>
          <w:sz w:val="16"/>
          <w:szCs w:val="16"/>
          <w:color w:val="auto"/>
        </w:rPr>
        <w:t xml:space="preserve">. Upon the defeasance of the Loan under this </w:t>
      </w:r>
      <w:r>
        <w:rPr>
          <w:rFonts w:ascii="Arial" w:cs="Arial" w:eastAsia="Arial" w:hAnsi="Arial"/>
          <w:sz w:val="16"/>
          <w:szCs w:val="16"/>
          <w:u w:val="single" w:color="auto"/>
          <w:color w:val="auto"/>
        </w:rPr>
        <w:t>Section 2.4.2</w:t>
      </w:r>
      <w:r>
        <w:rPr>
          <w:rFonts w:ascii="Arial" w:cs="Arial" w:eastAsia="Arial" w:hAnsi="Arial"/>
          <w:sz w:val="16"/>
          <w:szCs w:val="16"/>
          <w:color w:val="auto"/>
        </w:rPr>
        <w:t>, Borrower may, or at the option of Lender shall, assign all of its Obligations, together with the pledged Defeasance Collateral, to a successor entity designated by Lender in its sole discretion (in each case, the “</w:t>
      </w:r>
      <w:r>
        <w:rPr>
          <w:rFonts w:ascii="Arial" w:cs="Arial" w:eastAsia="Arial" w:hAnsi="Arial"/>
          <w:sz w:val="16"/>
          <w:szCs w:val="16"/>
          <w:b w:val="1"/>
          <w:bCs w:val="1"/>
          <w:i w:val="1"/>
          <w:iCs w:val="1"/>
          <w:color w:val="auto"/>
        </w:rPr>
        <w:t>Successor Borrower</w:t>
      </w:r>
      <w:r>
        <w:rPr>
          <w:rFonts w:ascii="Arial" w:cs="Arial" w:eastAsia="Arial" w:hAnsi="Arial"/>
          <w:sz w:val="16"/>
          <w:szCs w:val="16"/>
          <w:color w:val="auto"/>
        </w:rPr>
        <w:t>”). Lender shall have the right to establish or designate the Successor Borrower and to purchase, or cause to be purchased, the Defeasance Collateral, which rights may be exercised in Lender’s sole discretion and shall be retained by the Lender named herein notwithstanding the transfer or securitization of the Loan. Such successor entity shall execute an assumption agreement in form and substance satisfactory to Lender in its sole discretion pursuant to which it shall assume Borrower’s Obligations and the Defeasance Security Agreement. As conditions to such assignment and assumption, Borrower shall (i) deliver to Lender an opinion of counsel in form and substance and delivered by counsel satisfactory to Lender in its reasonable discretion stating, among other things, that such assumption agreement is enforceable against Borrower and such successor entity in accordance with its terms and that the Note, the Defeasance Security Agreement and the other Loan Documents, as so assumed, are enforceable against such successor entity in accordance with their respective terms, and (ii) pay all costs and expenses incurred by Lender or its agents in connection with such assignment and assumption (including, without limitation, the review of the proposed transferee and the preparation of the assumption agreement and related documentation). Additionally, Borrower shall pay all costs and expenses incurred by Successor Borrower, including attorneys’ fees and expenses, incurred in connection therewith. In connection with a transfer of the Defeasance Collateral to the Successor Borrower, if requested by Lender, Borrower shall, as a condition to such defeasance, deliver or cause to be delivered a non-consolidation opinion in form and substance, and from counsel, satisfactory to the Rating Agencies and reasonably satisfactory to Lender. Upon such assumption, Borrower shall be relieved of its Obligations hereunder, under the other Loan Documents and under the Defeasance Security Agreement other than those Obligations which are specifically intended to survive the termination, satisfaction or assignment of this Agreement or the exercise of Lender’s rights and remedies hereunder.</w:t>
      </w:r>
    </w:p>
    <w:p>
      <w:pPr>
        <w:spacing w:after="0" w:line="173" w:lineRule="exact"/>
        <w:rPr>
          <w:rFonts w:ascii="Arial" w:cs="Arial" w:eastAsia="Arial" w:hAnsi="Arial"/>
          <w:sz w:val="16"/>
          <w:szCs w:val="16"/>
          <w:color w:val="auto"/>
        </w:rPr>
      </w:pPr>
    </w:p>
    <w:p>
      <w:pPr>
        <w:jc w:val="both"/>
        <w:ind w:firstLine="1304"/>
        <w:spacing w:after="0" w:line="255" w:lineRule="auto"/>
        <w:tabs>
          <w:tab w:leader="none" w:pos="1954"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Appointment as Attorney in Fact</w:t>
      </w:r>
      <w:r>
        <w:rPr>
          <w:rFonts w:ascii="Arial" w:cs="Arial" w:eastAsia="Arial" w:hAnsi="Arial"/>
          <w:sz w:val="18"/>
          <w:szCs w:val="18"/>
          <w:color w:val="auto"/>
        </w:rPr>
        <w:t xml:space="preserve">. Upon the defeasance of the Loan in accordance with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2.4.2</w:t>
      </w:r>
      <w:r>
        <w:rPr>
          <w:rFonts w:ascii="Arial" w:cs="Arial" w:eastAsia="Arial" w:hAnsi="Arial"/>
          <w:sz w:val="18"/>
          <w:szCs w:val="18"/>
          <w:color w:val="auto"/>
        </w:rPr>
        <w:t xml:space="preserve">, Borrower shall have no further right to prepay the Note pursuant to the other provisions of this </w:t>
      </w:r>
      <w:r>
        <w:rPr>
          <w:rFonts w:ascii="Arial" w:cs="Arial" w:eastAsia="Arial" w:hAnsi="Arial"/>
          <w:sz w:val="18"/>
          <w:szCs w:val="18"/>
          <w:u w:val="single" w:color="auto"/>
          <w:color w:val="auto"/>
        </w:rPr>
        <w:t>Section 2.4.2</w:t>
      </w:r>
      <w:r>
        <w:rPr>
          <w:rFonts w:ascii="Arial" w:cs="Arial" w:eastAsia="Arial" w:hAnsi="Arial"/>
          <w:sz w:val="18"/>
          <w:szCs w:val="18"/>
          <w:color w:val="auto"/>
        </w:rPr>
        <w:t xml:space="preserve"> or otherwise, except pursuant to </w:t>
      </w:r>
      <w:r>
        <w:rPr>
          <w:rFonts w:ascii="Arial" w:cs="Arial" w:eastAsia="Arial" w:hAnsi="Arial"/>
          <w:sz w:val="18"/>
          <w:szCs w:val="18"/>
          <w:u w:val="single" w:color="auto"/>
          <w:color w:val="auto"/>
        </w:rPr>
        <w:t>Section 2.4.3</w:t>
      </w:r>
      <w:r>
        <w:rPr>
          <w:rFonts w:ascii="Arial" w:cs="Arial" w:eastAsia="Arial" w:hAnsi="Arial"/>
          <w:sz w:val="18"/>
          <w:szCs w:val="18"/>
          <w:color w:val="auto"/>
        </w:rPr>
        <w:t xml:space="preserve"> below. In connection with the conditions set forth in this </w:t>
      </w:r>
      <w:r>
        <w:rPr>
          <w:rFonts w:ascii="Arial" w:cs="Arial" w:eastAsia="Arial" w:hAnsi="Arial"/>
          <w:sz w:val="18"/>
          <w:szCs w:val="18"/>
          <w:u w:val="single" w:color="auto"/>
          <w:color w:val="auto"/>
        </w:rPr>
        <w:t>Section 2.4.2</w:t>
      </w:r>
      <w:r>
        <w:rPr>
          <w:rFonts w:ascii="Arial" w:cs="Arial" w:eastAsia="Arial" w:hAnsi="Arial"/>
          <w:sz w:val="18"/>
          <w:szCs w:val="18"/>
          <w:color w:val="auto"/>
        </w:rPr>
        <w:t xml:space="preserve">, Borrower hereby appoints Lender as its agent and attorney-in-fact for the purpose of purchasing the Defeasance Collateral with funds provided by Borrower. Borrower shall pay any and all expenses incurred in the purchase of the Defeasance Collateral and any revenue, documentary stamp or intangible taxes or any other tax or charge due in connection with the transfer of the Note or otherwise required to accomplish the agreements of this </w:t>
      </w:r>
      <w:r>
        <w:rPr>
          <w:rFonts w:ascii="Arial" w:cs="Arial" w:eastAsia="Arial" w:hAnsi="Arial"/>
          <w:sz w:val="18"/>
          <w:szCs w:val="18"/>
          <w:u w:val="single" w:color="auto"/>
          <w:color w:val="auto"/>
        </w:rPr>
        <w:t>Section 2.4.2.</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4" w:name="page315"/>
    <w:bookmarkEnd w:id="314"/>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2.4.3 </w:t>
      </w:r>
      <w:r>
        <w:rPr>
          <w:rFonts w:ascii="Arial" w:cs="Arial" w:eastAsia="Arial" w:hAnsi="Arial"/>
          <w:sz w:val="17"/>
          <w:szCs w:val="17"/>
          <w:b w:val="1"/>
          <w:bCs w:val="1"/>
          <w:u w:val="single" w:color="auto"/>
          <w:color w:val="auto"/>
        </w:rPr>
        <w:t>Open Prepayment</w:t>
      </w:r>
      <w:r>
        <w:rPr>
          <w:rFonts w:ascii="Arial" w:cs="Arial" w:eastAsia="Arial" w:hAnsi="Arial"/>
          <w:sz w:val="17"/>
          <w:szCs w:val="17"/>
          <w:color w:val="auto"/>
        </w:rPr>
        <w:t>. Notwithstanding anything to the contrary contained herein, and provided that Borrower shall deliver to</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 Prepayment Notice, Borrower may prepay the entire principal balance of the Note and any other amounts outstanding under the Note, this Agreement, or any of the other Loan Documents, without payment of the Prepayment Fee or any other prepayment premium, penalty or fee, on any Business Day on or after the Open Prepayment Date. If such prepayment is not made on a Monthly Payment Date, Borrower shall also pay interest that would have accrued on the principal balance of the Note to, but not including, the next Monthly Payment Date.</w:t>
      </w:r>
    </w:p>
    <w:p>
      <w:pPr>
        <w:spacing w:after="0" w:line="168"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b w:val="1"/>
          <w:bCs w:val="1"/>
          <w:color w:val="auto"/>
        </w:rPr>
        <w:t xml:space="preserve">2.4.4 </w:t>
      </w:r>
      <w:r>
        <w:rPr>
          <w:rFonts w:ascii="Arial" w:cs="Arial" w:eastAsia="Arial" w:hAnsi="Arial"/>
          <w:sz w:val="17"/>
          <w:szCs w:val="17"/>
          <w:b w:val="1"/>
          <w:bCs w:val="1"/>
          <w:u w:val="single" w:color="auto"/>
          <w:color w:val="auto"/>
        </w:rPr>
        <w:t>Mandatory Prepayments</w:t>
      </w:r>
      <w:r>
        <w:rPr>
          <w:rFonts w:ascii="Arial" w:cs="Arial" w:eastAsia="Arial" w:hAnsi="Arial"/>
          <w:sz w:val="17"/>
          <w:szCs w:val="17"/>
          <w:color w:val="auto"/>
        </w:rPr>
        <w:t>. If Lender is not obligated to make Net Proceeds available to Borrower for Restoration, on the next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occurring Monthly Payment Date following the date on which (a) Lender actually receives any Net Proceeds, and (b) Lender has determined that such Net Proceeds shall be applied against the Debt, Borrower shall prepay, or authorize Lender to apply Net Proceeds as a prepayment of, the Debt in an amount equal to one hundred percent (100%) of such Net Proceeds. Except during an Event of Default, such Net Proceeds shall be applied by Lender as follows in the following order of priority: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all amounts (other than principal and interest) then due and payable under the Loan Documents, including any costs and expenses of Lender in connection with such prepayment); </w:t>
      </w:r>
      <w:r>
        <w:rPr>
          <w:rFonts w:ascii="Arial" w:cs="Arial" w:eastAsia="Arial" w:hAnsi="Arial"/>
          <w:sz w:val="17"/>
          <w:szCs w:val="17"/>
          <w:i w:val="1"/>
          <w:iCs w:val="1"/>
          <w:color w:val="auto"/>
        </w:rPr>
        <w:t>Second</w:t>
      </w:r>
      <w:r>
        <w:rPr>
          <w:rFonts w:ascii="Arial" w:cs="Arial" w:eastAsia="Arial" w:hAnsi="Arial"/>
          <w:sz w:val="17"/>
          <w:szCs w:val="17"/>
          <w:color w:val="auto"/>
        </w:rPr>
        <w:t xml:space="preserve">; accrued and unpaid interest at the Interest Rate; and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principal. Notwithstanding anything herein to the contrary, so long as no Event of Default is continuing, no Prepayment Fee or any other prepayment premium, penalty or fee shall be due in connection with any prepayment made pursuant to this </w:t>
      </w:r>
      <w:r>
        <w:rPr>
          <w:rFonts w:ascii="Arial" w:cs="Arial" w:eastAsia="Arial" w:hAnsi="Arial"/>
          <w:sz w:val="17"/>
          <w:szCs w:val="17"/>
          <w:u w:val="single" w:color="auto"/>
          <w:color w:val="auto"/>
        </w:rPr>
        <w:t>Section 2.4.4</w:t>
      </w:r>
      <w:r>
        <w:rPr>
          <w:rFonts w:ascii="Arial" w:cs="Arial" w:eastAsia="Arial" w:hAnsi="Arial"/>
          <w:sz w:val="17"/>
          <w:szCs w:val="17"/>
          <w:color w:val="auto"/>
        </w:rPr>
        <w:t xml:space="preserve">. Any partial principal prepayment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2.4.4</w:t>
      </w:r>
      <w:r>
        <w:rPr>
          <w:rFonts w:ascii="Arial" w:cs="Arial" w:eastAsia="Arial" w:hAnsi="Arial"/>
          <w:sz w:val="17"/>
          <w:szCs w:val="17"/>
          <w:color w:val="auto"/>
        </w:rPr>
        <w:t xml:space="preserve"> shall be applied to the last payments of principal due under the Loan.</w:t>
      </w:r>
    </w:p>
    <w:p>
      <w:pPr>
        <w:spacing w:after="0" w:line="17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u w:val="single" w:color="auto"/>
          <w:color w:val="auto"/>
        </w:rPr>
        <w:t>Prepayments After Default</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72" w:lineRule="auto"/>
        <w:tabs>
          <w:tab w:leader="none" w:pos="1905"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If, during the continuance of an Event of Default or from and after an acceleration of the Obligations pursuant to the terms of this Agreement, by operation of law or otherwise, payment of all or any part of the Debt is tendered by or on behalf of Borrower or Guarantor and accepted by Lender or is otherwise recovered by Lender (including through application of any Reserve Funds), such tender or recovery shall be deemed to be a voluntary prepayment by Borrower in violation of the prohibition against prepayment set forth in </w:t>
      </w:r>
      <w:r>
        <w:rPr>
          <w:rFonts w:ascii="Arial" w:cs="Arial" w:eastAsia="Arial" w:hAnsi="Arial"/>
          <w:sz w:val="17"/>
          <w:szCs w:val="17"/>
          <w:u w:val="single" w:color="auto"/>
          <w:color w:val="auto"/>
        </w:rPr>
        <w:t>Section 2.4.1</w:t>
      </w:r>
      <w:r>
        <w:rPr>
          <w:rFonts w:ascii="Arial" w:cs="Arial" w:eastAsia="Arial" w:hAnsi="Arial"/>
          <w:sz w:val="17"/>
          <w:szCs w:val="17"/>
          <w:color w:val="auto"/>
        </w:rPr>
        <w:t xml:space="preserve"> hereof, and the Debt shall include, all of: (i) all accrued interest at the Default Rate and, if such tender and acceptance is not made on a Monthly Payment Date, interest that would have accrued on the Debt to, but not including, the next Monthly Payment Date, (ii) an amount equal to the Prepayment Fee, and (iii) in the event the payment occurs on or prior to the Defeasance Lockout Expiration Date, the Liquidated Damages Amount.</w:t>
      </w:r>
    </w:p>
    <w:p>
      <w:pPr>
        <w:spacing w:after="0" w:line="177" w:lineRule="exact"/>
        <w:rPr>
          <w:rFonts w:ascii="Arial" w:cs="Arial" w:eastAsia="Arial" w:hAnsi="Arial"/>
          <w:sz w:val="17"/>
          <w:szCs w:val="17"/>
          <w:color w:val="auto"/>
        </w:rPr>
      </w:pPr>
    </w:p>
    <w:p>
      <w:pPr>
        <w:jc w:val="both"/>
        <w:ind w:firstLine="1304"/>
        <w:spacing w:after="0" w:line="257" w:lineRule="auto"/>
        <w:tabs>
          <w:tab w:leader="none" w:pos="191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DURING THE CONTINUANCE OF AN EVENT OF DEFAULT, ALL OR ANY PART OF THE LOAN IS REPAID ON OR PRIOR TO THE DEFEASANCE LOCKOUT EXPIRATION DATE, THEN BORROWER SHALL PAY TO LENDER, AS LIQUIDATED DAMAGES AND NOT AS A PENALTY, AND IN ADDITION TO ANY AND ALL OTHER SUMS AND FEES PAYABLE UNDER THIS AGREEMENT AND THE OTHER LOAN DOCUMENTS, AN AMOUNT EQUAL TO TEN PERCENT (10%) OF THE PRINCIPAL AMOUNT BEING REPAID (THE “</w:t>
      </w:r>
      <w:r>
        <w:rPr>
          <w:rFonts w:ascii="Arial" w:cs="Arial" w:eastAsia="Arial" w:hAnsi="Arial"/>
          <w:sz w:val="18"/>
          <w:szCs w:val="18"/>
          <w:b w:val="1"/>
          <w:bCs w:val="1"/>
          <w:i w:val="1"/>
          <w:iCs w:val="1"/>
          <w:color w:val="auto"/>
        </w:rPr>
        <w:t>LIQUIDATED DAMAGES AMOUNT</w:t>
      </w:r>
      <w:r>
        <w:rPr>
          <w:rFonts w:ascii="Arial" w:cs="Arial" w:eastAsia="Arial" w:hAnsi="Arial"/>
          <w:sz w:val="18"/>
          <w:szCs w:val="18"/>
          <w:color w:val="auto"/>
        </w:rPr>
        <w:t>”).</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5" w:name="page316"/>
    <w:bookmarkEnd w:id="315"/>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u w:val="single" w:color="auto"/>
          <w:color w:val="auto"/>
        </w:rPr>
        <w:t>Release of Property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2.5.1 </w:t>
      </w:r>
      <w:r>
        <w:rPr>
          <w:rFonts w:ascii="Arial" w:cs="Arial" w:eastAsia="Arial" w:hAnsi="Arial"/>
          <w:sz w:val="17"/>
          <w:szCs w:val="17"/>
          <w:b w:val="1"/>
          <w:bCs w:val="1"/>
          <w:u w:val="single" w:color="auto"/>
          <w:color w:val="auto"/>
        </w:rPr>
        <w:t>Release Upon Defeasance</w:t>
      </w:r>
      <w:r>
        <w:rPr>
          <w:rFonts w:ascii="Arial" w:cs="Arial" w:eastAsia="Arial" w:hAnsi="Arial"/>
          <w:sz w:val="17"/>
          <w:szCs w:val="17"/>
          <w:color w:val="auto"/>
        </w:rPr>
        <w:t>. If Borrower has elected to defease the Note and the requirements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2.4.2</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satisfied,</w:t>
      </w:r>
      <w:r>
        <w:rPr>
          <w:rFonts w:ascii="Arial" w:cs="Arial" w:eastAsia="Arial" w:hAnsi="Arial"/>
          <w:sz w:val="17"/>
          <w:szCs w:val="17"/>
          <w:b w:val="1"/>
          <w:bCs w:val="1"/>
          <w:color w:val="auto"/>
        </w:rPr>
        <w:t xml:space="preserve"> </w:t>
      </w:r>
      <w:r>
        <w:rPr>
          <w:rFonts w:ascii="Arial" w:cs="Arial" w:eastAsia="Arial" w:hAnsi="Arial"/>
          <w:sz w:val="17"/>
          <w:szCs w:val="17"/>
          <w:color w:val="auto"/>
        </w:rPr>
        <w:t>the Property shall be released from the Lien of the Mortgage and the other Loan Documents, and the Defeasance Collateral pledged pursuant to the Defeasance Security Agreement shall constitute the only collateral which shall secure the Note and all other Obligations. In connection with the release of the Lien, Borrower shall submit to Lender, not less than thirty (30) days prior to the Release Date (or such shorter time as is acceptable to Lender in its reasonable discretion), a release of Lien (and related Loan Documents) for execution by Lender. Such release shall be in a form appropriate in the jurisdiction in which the Property is located and contain standard provisions protecting the rights of the releasing lender. In addition, Borrower shall provide all other documentation Lender reasonably requires to be delivered by Borrower in connection with such release, together with an Officer’s Certificate certifying that such documentation (i) is in compliance with all Legal Requirements, and (ii) will effect such release in accordance with the terms of this Agreement. Borrower shall pay all costs, taxes and expenses associated with the release of the Lien of the Mortgage, including Lender’s reasonable attorneys’ fees. Borrower, pursuant to the Defeasance Security Agreement, shall authorize and direct that the payments received from Defeasance Collateral be made directly to Lender and applied to satisfy the Obligations, including payment in full of the Outstanding Principal Balance as of the Stated Maturity Date.</w:t>
      </w:r>
    </w:p>
    <w:p>
      <w:pPr>
        <w:spacing w:after="0" w:line="17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2.5.2 </w:t>
      </w:r>
      <w:r>
        <w:rPr>
          <w:rFonts w:ascii="Arial" w:cs="Arial" w:eastAsia="Arial" w:hAnsi="Arial"/>
          <w:sz w:val="16"/>
          <w:szCs w:val="16"/>
          <w:b w:val="1"/>
          <w:bCs w:val="1"/>
          <w:u w:val="single" w:color="auto"/>
          <w:color w:val="auto"/>
        </w:rPr>
        <w:t>Release on Payment in Full</w:t>
      </w:r>
      <w:r>
        <w:rPr>
          <w:rFonts w:ascii="Arial" w:cs="Arial" w:eastAsia="Arial" w:hAnsi="Arial"/>
          <w:sz w:val="16"/>
          <w:szCs w:val="16"/>
          <w:color w:val="auto"/>
        </w:rPr>
        <w:t>. Lender shall, upon the written request and at the expense of Borrower, upon payment in full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Debt in accordance with the terms and provisions of the Loan Documents, release the Lien of the Mortgage and cause the trustee under the Mortgage to reconvey the Property to Borrower; provided, that, in no event shall such Lien (or any other security for the Loan) be released, if, at the time of such purported repayment in full of the Debt, there exists any known matter (including, without limitation, any pending Lien or litigation) that is (or would be, absent such purported release or termination) reasonably likely to result in a claim by Lender (as such term is used in </w:t>
      </w:r>
      <w:r>
        <w:rPr>
          <w:rFonts w:ascii="Arial" w:cs="Arial" w:eastAsia="Arial" w:hAnsi="Arial"/>
          <w:sz w:val="16"/>
          <w:szCs w:val="16"/>
          <w:u w:val="single" w:color="auto"/>
          <w:color w:val="auto"/>
        </w:rPr>
        <w:t>Section 4.30</w:t>
      </w:r>
      <w:r>
        <w:rPr>
          <w:rFonts w:ascii="Arial" w:cs="Arial" w:eastAsia="Arial" w:hAnsi="Arial"/>
          <w:sz w:val="16"/>
          <w:szCs w:val="16"/>
          <w:color w:val="auto"/>
        </w:rPr>
        <w:t xml:space="preserve"> hereof) for reimbursement and/or indemnification pursuant to the provisions of this Agreement and the other Loan Documents, until Lender has determined such reimbursement or indemnification obligation have been satisfied in full. In connection with the release of the Lien, Borrower shall submit to Lender, not less than thirty (30) days prior to the Repayment Date (or such shorter time as is acceptable to Lender in its sole discretion), a release of Lien (and related Loan Documents) for execution by Lender. Such release shall be in a form appropriate in the jurisdiction in which the Property is located and contain standard provisions protecting the rights of the releasing lender. In addition, Borrower shall provide all other documentation Lender reasonably requires to be delivered by Borrower in connection with such release, together with an Officer’s Certificate certifying that such documentation (i) is in compliance with all Legal Requirements, and (ii) will effect such release in accordance with the terms of this Agreement. Borrower shall pay all costs, taxes and expenses associated with the release of the Lien of the Mortgage, including Lender’s reasonable attorneys’ fees.</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25" w:lineRule="exact"/>
        <w:rPr>
          <w:sz w:val="20"/>
          <w:szCs w:val="20"/>
          <w:color w:val="auto"/>
        </w:rPr>
      </w:pPr>
    </w:p>
    <w:p>
      <w:pPr>
        <w:jc w:val="both"/>
        <w:ind w:firstLine="783"/>
        <w:spacing w:after="0" w:line="282"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Borrower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represents and warrants that, except to the extent (if any) disclosed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IV</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reference to a specific subsection of this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u w:val="single" w:color="auto"/>
          <w:color w:val="auto"/>
        </w:rPr>
        <w:t>Organization; Special Purpose</w:t>
      </w:r>
      <w:r>
        <w:rPr>
          <w:rFonts w:ascii="Arial" w:cs="Arial" w:eastAsia="Arial" w:hAnsi="Arial"/>
          <w:sz w:val="18"/>
          <w:szCs w:val="18"/>
          <w:color w:val="auto"/>
        </w:rPr>
        <w:t>. Borrower is duly organized, validly existing and in good standing with full power and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to own its assets and conduct its business, and is duly qualified and in good standing in the jurisdiction in which the Property is located and in all jurisdictions in which the ownership or lease of its property or the conduct of its business requires such qualification, and Borrower has taken all necessary action to authorize the execution, delivery and performance of this Agreement and the other Loan Documents by it, and has the power and authority to execute, deliver and perform under this Agreement, the other Loan Documents and all the transactions contemplated hereby. Borrower is a Special Purpose Bankruptcy Remote Entity.</w:t>
      </w:r>
    </w:p>
    <w:p>
      <w:pPr>
        <w:spacing w:after="0" w:line="187"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6"/>
          <w:szCs w:val="16"/>
          <w:b w:val="1"/>
          <w:bCs w:val="1"/>
          <w:color w:val="auto"/>
        </w:rPr>
        <w:t xml:space="preserve">3.1.2 </w:t>
      </w:r>
      <w:r>
        <w:rPr>
          <w:rFonts w:ascii="Arial" w:cs="Arial" w:eastAsia="Arial" w:hAnsi="Arial"/>
          <w:sz w:val="16"/>
          <w:szCs w:val="16"/>
          <w:b w:val="1"/>
          <w:bCs w:val="1"/>
          <w:u w:val="single" w:color="auto"/>
          <w:color w:val="auto"/>
        </w:rPr>
        <w:t>Proceedings; Enforceability</w:t>
      </w:r>
      <w:r>
        <w:rPr>
          <w:rFonts w:ascii="Arial" w:cs="Arial" w:eastAsia="Arial" w:hAnsi="Arial"/>
          <w:sz w:val="16"/>
          <w:szCs w:val="16"/>
          <w:color w:val="auto"/>
        </w:rPr>
        <w:t>. This Agreement and the other Loan Documents have been duly authorized, executed and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by Borrower and constitute a legal, valid and binding obligation of Borrower, enforceable against Borrower in accordance with their respective terms, except as such enforcement may be limited by bankruptcy, insolvency, reorganization, moratorium or other similar laws affecting the enforcement of creditors’ rights generally, and by general principles of equity (regardless of whether such enforceability is considered in a proceeding in equity or at law). The Loan Documents are not subject to any right of rescission, set-off, counterclaim or defense by Borrower or Guarantor including the defense of usury, nor would the operation of any of the terms of the Loan Documents, or the exercise of any right thereunder, render the Loan Documents unenforceable, and none of Borrower or Guarantor have asserted any right of rescission, set-off, counterclaim or defense with respect thereto.</w:t>
      </w:r>
    </w:p>
    <w:p>
      <w:pPr>
        <w:spacing w:after="0" w:line="16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3.1.3 </w:t>
      </w:r>
      <w:r>
        <w:rPr>
          <w:rFonts w:ascii="Arial" w:cs="Arial" w:eastAsia="Arial" w:hAnsi="Arial"/>
          <w:sz w:val="17"/>
          <w:szCs w:val="17"/>
          <w:b w:val="1"/>
          <w:bCs w:val="1"/>
          <w:u w:val="single" w:color="auto"/>
          <w:color w:val="auto"/>
        </w:rPr>
        <w:t>No Conflicts</w:t>
      </w:r>
      <w:r>
        <w:rPr>
          <w:rFonts w:ascii="Arial" w:cs="Arial" w:eastAsia="Arial" w:hAnsi="Arial"/>
          <w:sz w:val="17"/>
          <w:szCs w:val="17"/>
          <w:color w:val="auto"/>
        </w:rPr>
        <w:t>. The execution and delivery of this Agreement and the other Loan Documents by Borrower and the performance of</w:t>
      </w:r>
      <w:r>
        <w:rPr>
          <w:rFonts w:ascii="Arial" w:cs="Arial" w:eastAsia="Arial" w:hAnsi="Arial"/>
          <w:sz w:val="17"/>
          <w:szCs w:val="17"/>
          <w:b w:val="1"/>
          <w:bCs w:val="1"/>
          <w:color w:val="auto"/>
        </w:rPr>
        <w:t xml:space="preserve"> </w:t>
      </w:r>
      <w:r>
        <w:rPr>
          <w:rFonts w:ascii="Arial" w:cs="Arial" w:eastAsia="Arial" w:hAnsi="Arial"/>
          <w:sz w:val="17"/>
          <w:szCs w:val="17"/>
          <w:color w:val="auto"/>
        </w:rPr>
        <w:t>its Obligations hereunder and thereunder will not conflict with any provision of any law or regulation to which Borrower is subject, or conflict with, result in a breach of, or constitute a default under, any of the terms, conditions or provisions of any of Borrower’s organizational documents or any agreement or instrument to which Borrower is a party or by which it is bound, or any order or decree applicable to Borrower, or result in the creation or imposition of any Lien on any of Borrower’s assets or property (other than pursuant to the Loan Documents).</w:t>
      </w:r>
    </w:p>
    <w:p>
      <w:pPr>
        <w:spacing w:after="0" w:line="168"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3.1.4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There is no action, suit, proceeding or investigation pending or, to the best of Borrower’s knowledge,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Borrower, Guarantor, the Manager or the Property in any court or by or before any other Governmental Authority which, if adversely determined, would be reasonably likely to materially and adversely affect the condition (financial or otherwise) or business of Borrower (including the ability of Borrower to carry out the transactions contemplated by this Agreement), Guarantor, Manager or the condition or ownership of the Property.</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7" w:name="page318"/>
    <w:bookmarkEnd w:id="317"/>
    <w:p>
      <w:pPr>
        <w:jc w:val="both"/>
        <w:ind w:firstLine="1296"/>
        <w:spacing w:after="0" w:line="292" w:lineRule="auto"/>
        <w:rPr>
          <w:sz w:val="20"/>
          <w:szCs w:val="20"/>
          <w:color w:val="auto"/>
        </w:rPr>
      </w:pPr>
      <w:r>
        <w:rPr>
          <w:rFonts w:ascii="Arial" w:cs="Arial" w:eastAsia="Arial" w:hAnsi="Arial"/>
          <w:sz w:val="16"/>
          <w:szCs w:val="16"/>
          <w:b w:val="1"/>
          <w:bCs w:val="1"/>
          <w:color w:val="auto"/>
        </w:rPr>
        <w:t xml:space="preserve">3.1.5 </w:t>
      </w:r>
      <w:r>
        <w:rPr>
          <w:rFonts w:ascii="Arial" w:cs="Arial" w:eastAsia="Arial" w:hAnsi="Arial"/>
          <w:sz w:val="16"/>
          <w:szCs w:val="16"/>
          <w:b w:val="1"/>
          <w:bCs w:val="1"/>
          <w:u w:val="single" w:color="auto"/>
          <w:color w:val="auto"/>
        </w:rPr>
        <w:t>Agreements</w:t>
      </w:r>
      <w:r>
        <w:rPr>
          <w:rFonts w:ascii="Arial" w:cs="Arial" w:eastAsia="Arial" w:hAnsi="Arial"/>
          <w:sz w:val="16"/>
          <w:szCs w:val="16"/>
          <w:color w:val="auto"/>
        </w:rPr>
        <w:t>. Borrower is not a party to any agreement or instrument or subject to any restriction which would be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likely to materially and adversely affect Borrower or the Property, or Borrower’s business, properties or assets, operations or condition, financial or otherwise. Borrower is not in default with respect to any order or decree of any court or any order, regulation or demand of any Governmental Authority, which default would be reasonably likely to have consequences that would materially and adversely affect the condition (financial or other) or operations of Borrower or its properties or would be reasonably likely to have consequences that would adversely affect its performance hereunder. Borrower is not in default in any material respect in the performance, observance or fulfillment of any of the obligations, covenants or conditions contained in any Permitted Encumbrance or any other agreement or instrument to which it is a party or by which it or the Property is bound.</w:t>
      </w:r>
    </w:p>
    <w:p>
      <w:pPr>
        <w:spacing w:after="0" w:line="16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3.1.6 </w:t>
      </w:r>
      <w:r>
        <w:rPr>
          <w:rFonts w:ascii="Arial" w:cs="Arial" w:eastAsia="Arial" w:hAnsi="Arial"/>
          <w:sz w:val="18"/>
          <w:szCs w:val="18"/>
          <w:b w:val="1"/>
          <w:bCs w:val="1"/>
          <w:u w:val="single" w:color="auto"/>
          <w:color w:val="auto"/>
        </w:rPr>
        <w:t>Consents</w:t>
      </w:r>
      <w:r>
        <w:rPr>
          <w:rFonts w:ascii="Arial" w:cs="Arial" w:eastAsia="Arial" w:hAnsi="Arial"/>
          <w:sz w:val="18"/>
          <w:szCs w:val="18"/>
          <w:color w:val="auto"/>
        </w:rPr>
        <w:t>. No consent, approval, authorization or order of any court or Governmental Authority is required for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and performance by Borrower of, or compliance by Borrower with, this Agreement or the other Loan Documents or the consummation of the transactions contemplated hereby, other than those which have been obtained by Borrower.</w:t>
      </w:r>
    </w:p>
    <w:p>
      <w:pPr>
        <w:spacing w:after="0" w:line="17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u w:val="single" w:color="auto"/>
          <w:color w:val="auto"/>
        </w:rPr>
        <w:t>Property; Title</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69" w:lineRule="auto"/>
        <w:tabs>
          <w:tab w:leader="none" w:pos="1881" w:val="left"/>
        </w:tabs>
        <w:numPr>
          <w:ilvl w:val="0"/>
          <w:numId w:val="336"/>
        </w:numPr>
        <w:rPr>
          <w:rFonts w:ascii="Arial" w:cs="Arial" w:eastAsia="Arial" w:hAnsi="Arial"/>
          <w:sz w:val="17"/>
          <w:szCs w:val="17"/>
          <w:color w:val="auto"/>
        </w:rPr>
      </w:pPr>
      <w:r>
        <w:rPr>
          <w:rFonts w:ascii="Arial" w:cs="Arial" w:eastAsia="Arial" w:hAnsi="Arial"/>
          <w:sz w:val="17"/>
          <w:szCs w:val="17"/>
          <w:color w:val="auto"/>
        </w:rPr>
        <w:t>Borrower has good, marketable and insurable leasehold title to the real property comprising part of the Property and good title to the balance of the Property owned by it, free and clear of all Liens whatsoever except the Permitted Encumbrances. The Mortgage, when properly recorded in the appropriate records, together with any Uniform Commercial Code financing statements required to be filed in connection therewith, will create (i) a valid, first priority, perfected Lien on Borrower’s interest in the Property, subject only to Permitted Encumbrances, and (ii) perfected security interests in and to, and perfected collateral assignments of, all personalty (including the Leases), all in accordance with the terms thereof, in each case subject only to the Permitted Encumbrances. There are no mechanics’, materialman’s or other similar Liens or claims which have been filed for work, labor or materials affecting the Property which are or may be Liens prior to, or equal or coordinate with, the Lien of the Mortgage. None of the Permitted Encumbrances, individually or in the aggregate, (a) materially interfere with the benefits of the security intended to be provided by the Mortgage and this Agreement, (b) materially and adversely affect the value of the Property, (c) impair the use or operations of the Property (as currently used), or (d) impair Borrower’s ability to pay its Obligations in a timely manner.</w:t>
      </w:r>
    </w:p>
    <w:p>
      <w:pPr>
        <w:spacing w:after="0" w:line="185" w:lineRule="exact"/>
        <w:rPr>
          <w:rFonts w:ascii="Arial" w:cs="Arial" w:eastAsia="Arial" w:hAnsi="Arial"/>
          <w:sz w:val="17"/>
          <w:szCs w:val="17"/>
          <w:color w:val="auto"/>
        </w:rPr>
      </w:pPr>
    </w:p>
    <w:p>
      <w:pPr>
        <w:jc w:val="both"/>
        <w:ind w:firstLine="1304"/>
        <w:spacing w:after="0" w:line="293" w:lineRule="auto"/>
        <w:tabs>
          <w:tab w:leader="none" w:pos="2046"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All transfer taxes, deed stamps, intangible taxes or other amounts in the nature of transfer taxes required to be paid under applicable Legal Requirements in connection with the transfer of the Property to Borrower have been paid or are being paid simultaneously herewith. All mortgage, mortgage recording, stamp, intangible or other similar tax required to be paid under applicable Legal Requirements in connection with the execution, delivery, recordation, filing, registration, perfection or enforcement of any of the Loan Documents, including the Mortgage, have been paid or are being paid simultaneously herewith. All taxes and governmental assessments due and owing in respect of the Property have been paid, or an escrow of funds in an amount sufficient to cover such payments has been established hereunder or are insured against by the Title Insurance Policy.</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8" w:name="page319"/>
    <w:bookmarkEnd w:id="318"/>
    <w:p>
      <w:pPr>
        <w:ind w:right="380" w:firstLine="1304"/>
        <w:spacing w:after="0" w:line="277" w:lineRule="auto"/>
        <w:tabs>
          <w:tab w:leader="none" w:pos="185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Property is comprised of one (1) or more parcels which constitute separate tax lots and do not constitute a portion of any other tax lot not a part of the Property.</w:t>
      </w:r>
    </w:p>
    <w:p>
      <w:pPr>
        <w:spacing w:after="0" w:line="170" w:lineRule="exact"/>
        <w:rPr>
          <w:rFonts w:ascii="Arial" w:cs="Arial" w:eastAsia="Arial" w:hAnsi="Arial"/>
          <w:sz w:val="18"/>
          <w:szCs w:val="18"/>
          <w:color w:val="auto"/>
        </w:rPr>
      </w:pPr>
    </w:p>
    <w:p>
      <w:pPr>
        <w:ind w:firstLine="1304"/>
        <w:spacing w:after="0" w:line="277" w:lineRule="auto"/>
        <w:tabs>
          <w:tab w:leader="none" w:pos="186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 Condemnation or other proceeding has been commenced or, to Borrower’s best knowledge, is contemplated with respect to all or any portion of the Property or for the relocation of roadways providing access to the Property.</w:t>
      </w:r>
    </w:p>
    <w:p>
      <w:pPr>
        <w:spacing w:after="0" w:line="170" w:lineRule="exact"/>
        <w:rPr>
          <w:rFonts w:ascii="Arial" w:cs="Arial" w:eastAsia="Arial" w:hAnsi="Arial"/>
          <w:sz w:val="18"/>
          <w:szCs w:val="18"/>
          <w:color w:val="auto"/>
        </w:rPr>
      </w:pPr>
    </w:p>
    <w:p>
      <w:pPr>
        <w:ind w:firstLine="1304"/>
        <w:spacing w:after="0" w:line="342" w:lineRule="auto"/>
        <w:tabs>
          <w:tab w:leader="none" w:pos="204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To Borrower’s best knowledge, there are no pending or proposed special or other assessments for public improvements or otherwise affecting the Property, nor are there any contemplated improvements to the Property that may result in such special or other assessments.</w:t>
      </w:r>
    </w:p>
    <w:p>
      <w:pPr>
        <w:spacing w:after="0" w:line="12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b w:val="1"/>
          <w:bCs w:val="1"/>
          <w:color w:val="auto"/>
        </w:rPr>
        <w:t xml:space="preserve">3.1.8 </w:t>
      </w:r>
      <w:r>
        <w:rPr>
          <w:rFonts w:ascii="Arial" w:cs="Arial" w:eastAsia="Arial" w:hAnsi="Arial"/>
          <w:sz w:val="17"/>
          <w:szCs w:val="17"/>
          <w:b w:val="1"/>
          <w:bCs w:val="1"/>
          <w:u w:val="single" w:color="auto"/>
          <w:color w:val="auto"/>
        </w:rPr>
        <w:t>ERISA; No Plan Assets</w:t>
      </w:r>
      <w:r>
        <w:rPr>
          <w:rFonts w:ascii="Arial" w:cs="Arial" w:eastAsia="Arial" w:hAnsi="Arial"/>
          <w:sz w:val="17"/>
          <w:szCs w:val="17"/>
          <w:color w:val="auto"/>
        </w:rPr>
        <w:t>. As of the date hereof and throughout the Term (i) Borrower, Guarantor and the ERISA Affiliates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sponsor, are not obligated to contribute to, and are not themselves an “employee benefit plan,” as defined in Section 3(3) of ERISA or Section 4975 of the Code, (ii) none of the assets of Borrower or Guarantor constitutes or will constitute “plan assets” of one or more such plans within the meaning of 29 C.F.R. Section 2510.3-101 as modified in operation by Section 3(42) of ERISA, (iii) Borrower and Guarantor are not and will not be a “governmental plan” within the meaning of Section 3(32) of ERISA, and (iv) transactions by or with Borrower or Guarantor are not and will not be subject to state statutes regulating investment of, and fiduciary obligations with respect to, governmental plans. As of the date hereof, neither Borrower, nor any ERISA Affiliate maintains, sponsors or contributes to or has any obligations with respect to a “defined benefit plan” (within the meaning of Section 3(35) of ERISA) or a “multiemployer pension plan” (within the meaning of Section 3(37)(A) of ERISA). Borrower has not engaged in any transaction in connection with which it could be subject to either a material civil penalty assessed pursuant to the provisions of Section 502 of ERISA or a material tax imposed under the provisions of Section 4975 of the Code.</w:t>
      </w:r>
    </w:p>
    <w:p>
      <w:pPr>
        <w:spacing w:after="0" w:line="17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b w:val="1"/>
          <w:bCs w:val="1"/>
          <w:color w:val="auto"/>
        </w:rPr>
        <w:t xml:space="preserve">3.1.9 </w:t>
      </w:r>
      <w:r>
        <w:rPr>
          <w:rFonts w:ascii="Arial" w:cs="Arial" w:eastAsia="Arial" w:hAnsi="Arial"/>
          <w:sz w:val="17"/>
          <w:szCs w:val="17"/>
          <w:b w:val="1"/>
          <w:bCs w:val="1"/>
          <w:u w:val="single" w:color="auto"/>
          <w:color w:val="auto"/>
        </w:rPr>
        <w:t>Compliance</w:t>
      </w:r>
      <w:r>
        <w:rPr>
          <w:rFonts w:ascii="Arial" w:cs="Arial" w:eastAsia="Arial" w:hAnsi="Arial"/>
          <w:sz w:val="17"/>
          <w:szCs w:val="17"/>
          <w:color w:val="auto"/>
        </w:rPr>
        <w:t>. Borrower and the Property (including, but not limited to the Improvements) and the use thereof comply in all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respects with all applicable Legal Requirements, including parking, building and zoning and land use laws, ordinances, regulations and codes of any Governmental Authority. Borrower is not in default or violation of any order, writ, injunction, decree or demand of any Governmental Authority, the violation of which would be reasonably likely to materially adversely affect the condition (financial or otherwise) or business of Borrower. Borrower has not committed any act which may give any Governmental Authority the right to cause Borrower to forfeit the Property or any part thereof or any monies paid in performance of Borrower’s Obligations under any of the Loan Documents. The Property is used exclusively for industrial and other appurtenant and related uses. In the event that all or any part of the Improvements are destroyed or damaged, said Improvements can be legally reconstructed to their condition prior to such damage or destruction, and thereafter exist for the same use without violating any zoning or other ordinances applicable thereto and without the necessity of obtaining any variances or special permits. No legal proceedings are pending or, to the knowledge of Borrower, threatened with respect to the zoning of the Property. Neither the zoning nor any other right to construct, use or operate the Property is in any way dependent upon or related to any property other than the Property. All certifications, permits, licenses and approvals, including without limitation, certificates of completion and occupancy permits required of Borrower for the legal use, occupancy and operation of the Property for its current use (collectively, the “</w:t>
      </w:r>
      <w:r>
        <w:rPr>
          <w:rFonts w:ascii="Arial" w:cs="Arial" w:eastAsia="Arial" w:hAnsi="Arial"/>
          <w:sz w:val="17"/>
          <w:szCs w:val="17"/>
          <w:b w:val="1"/>
          <w:bCs w:val="1"/>
          <w:i w:val="1"/>
          <w:iCs w:val="1"/>
          <w:color w:val="auto"/>
        </w:rPr>
        <w:t>Licenses</w:t>
      </w:r>
      <w:r>
        <w:rPr>
          <w:rFonts w:ascii="Arial" w:cs="Arial" w:eastAsia="Arial" w:hAnsi="Arial"/>
          <w:sz w:val="17"/>
          <w:szCs w:val="17"/>
          <w:color w:val="auto"/>
        </w:rPr>
        <w:t>”), have been obtained and are in full force and effect. The use being made of the Property is in conformity with the certificate of occupancy issued for the Property and all other restrictions, covenants and conditions affecting the Property. Without limitation of the foregoing, the Property currently contains 31 total parking spaces, and there is sufficient unused and/or vacant space at the Property to stripe an additional 136 parking spaces (such that the Property would have 167 total parking spaces).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9" w:name="page320"/>
    <w:bookmarkEnd w:id="319"/>
    <w:p>
      <w:pPr>
        <w:jc w:val="both"/>
        <w:ind w:firstLine="1296"/>
        <w:spacing w:after="0" w:line="254" w:lineRule="auto"/>
        <w:rPr>
          <w:sz w:val="20"/>
          <w:szCs w:val="20"/>
          <w:color w:val="auto"/>
        </w:rPr>
      </w:pPr>
      <w:r>
        <w:rPr>
          <w:rFonts w:ascii="Arial" w:cs="Arial" w:eastAsia="Arial" w:hAnsi="Arial"/>
          <w:sz w:val="18"/>
          <w:szCs w:val="18"/>
          <w:b w:val="1"/>
          <w:bCs w:val="1"/>
          <w:color w:val="auto"/>
        </w:rPr>
        <w:t xml:space="preserve">3.1.10 </w:t>
      </w:r>
      <w:r>
        <w:rPr>
          <w:rFonts w:ascii="Arial" w:cs="Arial" w:eastAsia="Arial" w:hAnsi="Arial"/>
          <w:sz w:val="18"/>
          <w:szCs w:val="18"/>
          <w:b w:val="1"/>
          <w:bCs w:val="1"/>
          <w:u w:val="single" w:color="auto"/>
          <w:color w:val="auto"/>
        </w:rPr>
        <w:t>Financial Information</w:t>
      </w:r>
      <w:r>
        <w:rPr>
          <w:rFonts w:ascii="Arial" w:cs="Arial" w:eastAsia="Arial" w:hAnsi="Arial"/>
          <w:sz w:val="18"/>
          <w:szCs w:val="18"/>
          <w:color w:val="auto"/>
        </w:rPr>
        <w:t>. All financial data, including the statements of cash flow and income and operating expense,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delivered to Lender in connection with the Loan (i) are true, complete and correct in all material respects, (ii) accurately represent the financial condition of the Property as of the date of such reports, and (iii) have been prepared in accordance with the Acceptable Accounting Method throughout the periods covered, except as disclosed therein. Borrower does not have any contingent liabilities, liabilities for taxes, unusual forward or long-term commitments or unrealized or anticipated losses from any unfavorable commitments that are known to Borrower and reasonably likely to have a materially adverse effect on the Property or the operation thereof, except as referred to or reflected in said financial statements. Since the date of the financial statements, there has been no material adverse change in the financial condition, operations or business of Borrower or the Property from that set forth in said financial statements.</w:t>
      </w:r>
    </w:p>
    <w:p>
      <w:pPr>
        <w:spacing w:after="0" w:line="192"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b w:val="1"/>
          <w:bCs w:val="1"/>
          <w:color w:val="auto"/>
        </w:rPr>
        <w:t xml:space="preserve">3.1.11 </w:t>
      </w:r>
      <w:r>
        <w:rPr>
          <w:rFonts w:ascii="Arial" w:cs="Arial" w:eastAsia="Arial" w:hAnsi="Arial"/>
          <w:sz w:val="16"/>
          <w:szCs w:val="16"/>
          <w:b w:val="1"/>
          <w:bCs w:val="1"/>
          <w:u w:val="single" w:color="auto"/>
          <w:color w:val="auto"/>
        </w:rPr>
        <w:t>Easements; Utilities and Public Access</w:t>
      </w:r>
      <w:r>
        <w:rPr>
          <w:rFonts w:ascii="Arial" w:cs="Arial" w:eastAsia="Arial" w:hAnsi="Arial"/>
          <w:sz w:val="16"/>
          <w:szCs w:val="16"/>
          <w:color w:val="auto"/>
        </w:rPr>
        <w:t>. All easements, cross easements, licenses, air rights and rights-of-way or other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interests (collectively, “</w:t>
      </w:r>
      <w:r>
        <w:rPr>
          <w:rFonts w:ascii="Arial" w:cs="Arial" w:eastAsia="Arial" w:hAnsi="Arial"/>
          <w:sz w:val="16"/>
          <w:szCs w:val="16"/>
          <w:b w:val="1"/>
          <w:bCs w:val="1"/>
          <w:i w:val="1"/>
          <w:iCs w:val="1"/>
          <w:color w:val="auto"/>
        </w:rPr>
        <w:t>Easements</w:t>
      </w:r>
      <w:r>
        <w:rPr>
          <w:rFonts w:ascii="Arial" w:cs="Arial" w:eastAsia="Arial" w:hAnsi="Arial"/>
          <w:sz w:val="16"/>
          <w:szCs w:val="16"/>
          <w:color w:val="auto"/>
        </w:rPr>
        <w:t>”), if any, necessary for the full utilization of the Improvements for the Borrower’s and/or any Tenant’s intended purposes have been obtained, are described in the Title Insurance Policy and are in full force and effect without default thereunder. The Property has rights of access to public ways and is served by water, sewer, sanitary sewer and storm drain facilities adequate to service the Property for the Borrower’s and/or any Tenant’s intended uses. All public utilities necessary or convenient to the full use and enjoyment of the Property for the Borrower’s and/or any Tenant’s intended uses are located in the public right-of-way abutting the Property or pass through private property and are subject to a valid irrevocable easement to which the Property has uninhibited access rights, and all such utilities are connected so as to serve the Property without passing over other property absent a valid irrevocable easement, except that the Property currently receives services with respect to certain electric, fire water, sewer (sanitary and storm) and internet utility facilities located underneath certain neighboring private property for which there are no recorded written easements (the “</w:t>
      </w:r>
      <w:r>
        <w:rPr>
          <w:rFonts w:ascii="Arial" w:cs="Arial" w:eastAsia="Arial" w:hAnsi="Arial"/>
          <w:sz w:val="16"/>
          <w:szCs w:val="16"/>
          <w:b w:val="1"/>
          <w:bCs w:val="1"/>
          <w:i w:val="1"/>
          <w:iCs w:val="1"/>
          <w:color w:val="auto"/>
        </w:rPr>
        <w:t>Affected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Underground Utilities</w:t>
      </w:r>
      <w:r>
        <w:rPr>
          <w:rFonts w:ascii="Arial" w:cs="Arial" w:eastAsia="Arial" w:hAnsi="Arial"/>
          <w:sz w:val="16"/>
          <w:szCs w:val="16"/>
          <w:color w:val="auto"/>
        </w:rPr>
        <w:t>”). To Borrower’s knowledge, (i) no Person has objected to the location and/or use of the Affected Underground Utilities, (ii)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Underground Utilities with respect to fire water service have been in service for more than sixty (60) years, (iii) the Affected Underground Utilities with respect to electricity service have been in service for more than ten (10) years, (iv) the Affected Underground Utilities with respect to sewer service pipelines have been in service for more than one hundred (100) years, and (v) if the Affected Underground Utilities were curtailed and/or no longer accessible and/or otherwise available, then (A) alternative access to the relevant public utilities necessary or convenient to the full use and enjoyment of the Property for the Borrower’s and/or any Tenant’s intended uses would be available via one or more public rights-of-way abutting the Property or pass through private property and be subject to a valid irrevocable easement to which the Property has uninhibited access rights and (B) Borrower estimates that implementing such alternative access would reasonably be anticipated to cost approximately $2,000,000.00 and would not reasonably be anticipated to take longer than six (6) months. Affected Underground Utilities All roads necessary for the use of the Property for its current purpose have been completed and either (x) are private roads to which the Property has uninhibited access via an irrevocable easement or irrevocable right of way, in each case, permitting ingress and egress to and from a public road dedicated to public use and accepted by all Governmental Authorities or (y) have been dedicated to public use and accepted by all Governmental Authorities.</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0" w:name="page321"/>
    <w:bookmarkEnd w:id="320"/>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3.1.12 </w:t>
      </w:r>
      <w:r>
        <w:rPr>
          <w:rFonts w:ascii="Arial" w:cs="Arial" w:eastAsia="Arial" w:hAnsi="Arial"/>
          <w:sz w:val="18"/>
          <w:szCs w:val="18"/>
          <w:b w:val="1"/>
          <w:bCs w:val="1"/>
          <w:u w:val="single" w:color="auto"/>
          <w:color w:val="auto"/>
        </w:rPr>
        <w:t>Assignment of Leases</w:t>
      </w:r>
      <w:r>
        <w:rPr>
          <w:rFonts w:ascii="Arial" w:cs="Arial" w:eastAsia="Arial" w:hAnsi="Arial"/>
          <w:sz w:val="18"/>
          <w:szCs w:val="18"/>
          <w:color w:val="auto"/>
        </w:rPr>
        <w:t>. The Assignment of Leases creates a valid assignment of, or a valid security interest in, certain rights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Leases, subject only to a license granted to Borrower to exercise certain rights and to perform certain obligations of the lessor under the Leases, including the right to operate the Property. No Person other than Lender has any interest in or assignment of the Leases or any portion of the Rents due and payable or to become due and payable thereunder.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3.1.13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Borrower has obtained and has delivered to Lender original or complete certified copies of all of the Policies,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premiums prepaid thereunder, reflecting the insurance coverages, amounts and other requirements set forth in this Agreement. No claims have been made under any of the Policies, and no Person, including Borrower, has done, by act or omission, anything which would impair the coverage of any of the Policies.</w:t>
      </w:r>
    </w:p>
    <w:p>
      <w:pPr>
        <w:spacing w:after="0" w:line="18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3.1.14 </w:t>
      </w:r>
      <w:r>
        <w:rPr>
          <w:rFonts w:ascii="Arial" w:cs="Arial" w:eastAsia="Arial" w:hAnsi="Arial"/>
          <w:sz w:val="18"/>
          <w:szCs w:val="18"/>
          <w:b w:val="1"/>
          <w:bCs w:val="1"/>
          <w:u w:val="single" w:color="auto"/>
          <w:color w:val="auto"/>
        </w:rPr>
        <w:t>Flood Zone</w:t>
      </w:r>
      <w:r>
        <w:rPr>
          <w:rFonts w:ascii="Arial" w:cs="Arial" w:eastAsia="Arial" w:hAnsi="Arial"/>
          <w:sz w:val="18"/>
          <w:szCs w:val="18"/>
          <w:color w:val="auto"/>
        </w:rPr>
        <w:t>. None of the Improvements on the Property are located in an area identified by the Federal Emergency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Agency as a special flood hazard area, or, if so located the flood insurance required pursuant to </w:t>
      </w:r>
      <w:r>
        <w:rPr>
          <w:rFonts w:ascii="Arial" w:cs="Arial" w:eastAsia="Arial" w:hAnsi="Arial"/>
          <w:sz w:val="18"/>
          <w:szCs w:val="18"/>
          <w:u w:val="single" w:color="auto"/>
          <w:color w:val="auto"/>
        </w:rPr>
        <w:t>Section 5.1.1(a)</w:t>
      </w:r>
      <w:r>
        <w:rPr>
          <w:rFonts w:ascii="Arial" w:cs="Arial" w:eastAsia="Arial" w:hAnsi="Arial"/>
          <w:sz w:val="18"/>
          <w:szCs w:val="18"/>
          <w:color w:val="auto"/>
        </w:rPr>
        <w:t xml:space="preserve"> hereof is in full force and effect with respect to the Property.</w:t>
      </w:r>
    </w:p>
    <w:p>
      <w:pPr>
        <w:spacing w:after="0" w:line="17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 xml:space="preserve">3.1.15 </w:t>
      </w:r>
      <w:r>
        <w:rPr>
          <w:rFonts w:ascii="Arial" w:cs="Arial" w:eastAsia="Arial" w:hAnsi="Arial"/>
          <w:sz w:val="18"/>
          <w:szCs w:val="18"/>
          <w:b w:val="1"/>
          <w:bCs w:val="1"/>
          <w:u w:val="single" w:color="auto"/>
          <w:color w:val="auto"/>
        </w:rPr>
        <w:t>Physical Condition</w:t>
      </w:r>
      <w:r>
        <w:rPr>
          <w:rFonts w:ascii="Arial" w:cs="Arial" w:eastAsia="Arial" w:hAnsi="Arial"/>
          <w:sz w:val="18"/>
          <w:szCs w:val="18"/>
          <w:color w:val="auto"/>
        </w:rPr>
        <w:t>. Except as may be expressly set forth in the Physical Conditions Report, the Property, including all buildings,</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parking facilities, sidewalks, storm drainage systems, roofs, plumbing systems, HVAC systems, fire protection systems, electrical systems, equipment, elevators, exterior sidings and doors, landscaping, irrigation systems and all structural components, are in good condition, order and repair in all material respects; there exists no structural or other material defects or damages in the Property, whether latent or otherwise, and Borrower has not received notice from any insurance company or bonding company of any defects or inadequacies in the Property, or any part thereof, which would adversely affect the insurability of the same or cause the imposition of extraordinary premiums or charges thereon or any termination or threatened termination of any policy of insurance or bond.</w:t>
      </w:r>
    </w:p>
    <w:p>
      <w:pPr>
        <w:spacing w:after="0" w:line="18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3.1.16 </w:t>
      </w:r>
      <w:r>
        <w:rPr>
          <w:rFonts w:ascii="Arial" w:cs="Arial" w:eastAsia="Arial" w:hAnsi="Arial"/>
          <w:sz w:val="18"/>
          <w:szCs w:val="18"/>
          <w:b w:val="1"/>
          <w:bCs w:val="1"/>
          <w:u w:val="single" w:color="auto"/>
          <w:color w:val="auto"/>
        </w:rPr>
        <w:t>Boundaries</w:t>
      </w:r>
      <w:r>
        <w:rPr>
          <w:rFonts w:ascii="Arial" w:cs="Arial" w:eastAsia="Arial" w:hAnsi="Arial"/>
          <w:sz w:val="18"/>
          <w:szCs w:val="18"/>
          <w:color w:val="auto"/>
        </w:rPr>
        <w:t>. All of the Improvements which were included in determining the appraised value of the Property lie wholly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boundaries and building restriction lines of the Property, and no improvements on adjoining properties encroach upon the Property, and no easements or other encumbrances affecting the Property encroach upon any of the Improvements, so as to affect the value or marketability of the Property, except those which are set forth on the Survey and insured against by the Title Insurance Policy.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1" w:name="page322"/>
    <w:bookmarkEnd w:id="321"/>
    <w:p>
      <w:pPr>
        <w:jc w:val="both"/>
        <w:ind w:firstLine="1296"/>
        <w:spacing w:after="0" w:line="283" w:lineRule="auto"/>
        <w:rPr>
          <w:sz w:val="20"/>
          <w:szCs w:val="20"/>
          <w:color w:val="auto"/>
        </w:rPr>
      </w:pPr>
      <w:r>
        <w:rPr>
          <w:rFonts w:ascii="Arial" w:cs="Arial" w:eastAsia="Arial" w:hAnsi="Arial"/>
          <w:sz w:val="16"/>
          <w:szCs w:val="16"/>
          <w:b w:val="1"/>
          <w:bCs w:val="1"/>
          <w:color w:val="auto"/>
        </w:rPr>
        <w:t xml:space="preserve">3.1.17 </w:t>
      </w:r>
      <w:r>
        <w:rPr>
          <w:rFonts w:ascii="Arial" w:cs="Arial" w:eastAsia="Arial" w:hAnsi="Arial"/>
          <w:sz w:val="16"/>
          <w:szCs w:val="16"/>
          <w:b w:val="1"/>
          <w:bCs w:val="1"/>
          <w:u w:val="single" w:color="auto"/>
          <w:color w:val="auto"/>
        </w:rPr>
        <w:t>Leases</w:t>
      </w:r>
      <w:r>
        <w:rPr>
          <w:rFonts w:ascii="Arial" w:cs="Arial" w:eastAsia="Arial" w:hAnsi="Arial"/>
          <w:sz w:val="16"/>
          <w:szCs w:val="16"/>
          <w:color w:val="auto"/>
        </w:rPr>
        <w:t>. The rent roll attached hereto as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I</w:t>
      </w:r>
      <w:r>
        <w:rPr>
          <w:rFonts w:ascii="Arial" w:cs="Arial" w:eastAsia="Arial" w:hAnsi="Arial"/>
          <w:sz w:val="16"/>
          <w:szCs w:val="16"/>
          <w:b w:val="1"/>
          <w:bCs w:val="1"/>
          <w:color w:val="auto"/>
        </w:rPr>
        <w:t xml:space="preserve"> </w:t>
      </w:r>
      <w:r>
        <w:rPr>
          <w:rFonts w:ascii="Arial" w:cs="Arial" w:eastAsia="Arial" w:hAnsi="Arial"/>
          <w:sz w:val="16"/>
          <w:szCs w:val="16"/>
          <w:color w:val="auto"/>
        </w:rPr>
        <w:t>is true, complete and correct and reflects the terms of any lease modifications,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waivers or deferrals agreed to by Borrower, and the Property is not subject to any Leases other than the Leases described in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 xml:space="preserve">. Borrower is the owner and lessor of landlord’s interest in the Leases. No Person has any possessory interest in the Property or right to occupy the same except under and pursuant to the provisions of the Leases. Except as set forth on the rent roll attached hereto as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 (i) the Leases are in full force and effect and there are no defaults thereunder by either party beyond any applicable notice or cure period, and there are no conditions that, with the passage of time or the giving of notice, or both, would constitute defaults thereunder, (ii) the copies of the Leases delivered to Lender are true and complete, and there are no oral agreements with respect thereto, (iii) no Rent (excluding security deposits) has been paid more than one (1) month in advance of its due date, (iv) all work to be performed by Borrower under each Lease has been performed as required and has been accepted by the applicable Tenant, (v) any payments, free rent, partial rent, rebate of rent or other payments, credits, allowances or abatements required to be given by Borrower to any Tenant has already been received by such Tenant, (vi) the Tenants under the Leases have accepted possession of and are in actual occupancy of all of their respective demised Property and have commenced the payment of full, unabated rent under the Leases, (vii) Borrower has delivered to Lender a true, correct and complete list of all security deposits made by Tenants at the Property which have not been applied (including accrued interest thereon), all of which are held by Borrower in accordance with the terms of the applicable Lease and applicable Legal Requirements, (viii) each Tenant under a Lease and any guarantor of such Tenant’s obligations is free from bankruptcy or reorganization proceedings, (ix) no Tenant under any Lease (or any sublease) is an Affiliate of Borrower, except PUREgraphite Tenant pursuant to the PUREgraphite Lease, (x) the Tenants under the Leases are open for business (other than PUREgraphite Tenant) and paying full, unabated rent and no Tenant has requested to discontinue its business at its premises or has gone dark (or has noticed Borrower of its intent to go dark) in all or a material portion of its leased premises, (xi) there are no brokerage fees or commissions due and payable in connection with the leasing of space at the Property, and no such fees or commissions will become due and payable in the future in connection with the Leases, including by reason of any extension of such Lease or expansion of the space leased thereunder, (xii) no Tenant has assigned its Lease or sublet all or any portion of the premises demised thereby, no such Tenant holds its leased premises under assignment or sublease, nor does anyone except such Tenant and its employees occupy such leased premises, (xiii) no Tenant has informed Borrower or otherwise given notice (whether written or oral) that it intends to (or will seek to) “go dark”, vacate, cease to occupy or cease to conduct business in the ordinary course at its leased premises or any portion thereof, pursuant to any force majeure clause contained in its Lease or otherwise as a result of any pandemic, including, without limitation, the COVID-19 pandemic, (xiv) no Tenant has directly or indirectly (A) asserted any defense against the payment of any rent or other amounts under its Lease or the performance of any other obligations under its Lease, (B) sought or given notice (whether written or oral) that it intends to seek any relief or other concessions with respect to the payment of any rent or other amounts under its Lease or the performance of any other obligations under its Lease or (C) made any other request for or otherwise given notice (whether written or oral) that it intends to seek any amendment, deferral, forbearance, waiver or other modification of any term or provision of its Lease, in any case, pursuant to any force majeure clause contained in its Lease or otherwise as a result of any pandemic, including, without limitation, the COVID-19 pandemic and (xv) Borrower is not currently in discussions or negotiations (directly or indirectly) with any Tenant with respect to, and no Tenant has requested in writing, any material amendment or modification of the Lease (including, without limitation, any reduction, deferral or waiver in the rent or the term thereof or in any other amounts due thereunder). No Tenant under any Lease has a right or option pursuant to such Lease or otherwise to purchase all or any part of the leased premises or the building of which the leased premises are a part. There has been no prior sale, transfer or assignment, hypothecation or pledge of any Lease or of the Rents received therein which is still in effect. All contingencies under the PUREgraphite Lease to the effectiveness thereof have been satisfied.</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2" w:name="page323"/>
    <w:bookmarkEnd w:id="322"/>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3.1.18 </w:t>
      </w:r>
      <w:r>
        <w:rPr>
          <w:rFonts w:ascii="Arial" w:cs="Arial" w:eastAsia="Arial" w:hAnsi="Arial"/>
          <w:sz w:val="18"/>
          <w:szCs w:val="18"/>
          <w:b w:val="1"/>
          <w:bCs w:val="1"/>
          <w:u w:val="single" w:color="auto"/>
          <w:color w:val="auto"/>
        </w:rPr>
        <w:t>Tax Filings</w:t>
      </w:r>
      <w:r>
        <w:rPr>
          <w:rFonts w:ascii="Arial" w:cs="Arial" w:eastAsia="Arial" w:hAnsi="Arial"/>
          <w:sz w:val="18"/>
          <w:szCs w:val="18"/>
          <w:color w:val="auto"/>
        </w:rPr>
        <w:t>. To the extent required, Borrower has filed (or has obtained effective extensions for filing) all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district and local tax returns required to be filed and has paid or made adequate provision for the payment of all federal, state, commonwealth, district and local taxes, charges and assessments payable by Borrower. Borrower’s tax returns (if any) properly reflect the income and taxes of Borrower for the periods covered thereby, subject only to reasonable adjustments required by the Internal Revenue Service or other applicable tax authority upon audit.</w:t>
      </w:r>
    </w:p>
    <w:p>
      <w:pPr>
        <w:spacing w:after="0" w:line="183"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b w:val="1"/>
          <w:bCs w:val="1"/>
          <w:color w:val="auto"/>
        </w:rPr>
        <w:t xml:space="preserve">3.1.19 </w:t>
      </w:r>
      <w:r>
        <w:rPr>
          <w:rFonts w:ascii="Arial" w:cs="Arial" w:eastAsia="Arial" w:hAnsi="Arial"/>
          <w:sz w:val="17"/>
          <w:szCs w:val="17"/>
          <w:b w:val="1"/>
          <w:bCs w:val="1"/>
          <w:u w:val="single" w:color="auto"/>
          <w:color w:val="auto"/>
        </w:rPr>
        <w:t>No Fraudulent Transfer</w:t>
      </w:r>
      <w:r>
        <w:rPr>
          <w:rFonts w:ascii="Arial" w:cs="Arial" w:eastAsia="Arial" w:hAnsi="Arial"/>
          <w:sz w:val="17"/>
          <w:szCs w:val="17"/>
          <w:color w:val="auto"/>
        </w:rPr>
        <w:t>. Borrower (i) has not entered into the transaction or any Loan Document with the actual intent to hinder,</w:t>
      </w:r>
      <w:r>
        <w:rPr>
          <w:rFonts w:ascii="Arial" w:cs="Arial" w:eastAsia="Arial" w:hAnsi="Arial"/>
          <w:sz w:val="17"/>
          <w:szCs w:val="17"/>
          <w:b w:val="1"/>
          <w:bCs w:val="1"/>
          <w:color w:val="auto"/>
        </w:rPr>
        <w:t xml:space="preserve"> </w:t>
      </w:r>
      <w:r>
        <w:rPr>
          <w:rFonts w:ascii="Arial" w:cs="Arial" w:eastAsia="Arial" w:hAnsi="Arial"/>
          <w:sz w:val="17"/>
          <w:szCs w:val="17"/>
          <w:color w:val="auto"/>
        </w:rPr>
        <w:t>delay, or defraud any creditor, and (ii) received reasonably equivalent value in exchange for its Obligations under the Loan Documents. Giving effect to the Loan, the fair saleable value of Borrower’s assets exceeds and will, immediately following the making of the Loan, exceed Borrower’s total liabilities, including subordinated, unliquidated, disputed and contingent liabilities. The fair saleable value of Borrower’s assets is, and immediately following the making of the Loan, will be, greater than Borrower’s probable liabilities, including the maximum amount of its contingent liabilities on its debts as such debts become absolute and matured. Borrower’s assets do not and, immediately following the making of the Loan will not, constitute unreasonably small capital to carry out its business as conducted or as proposed to be conducted. Borrower does not intend to, and does not believe that it will, incur Indebtedness and liabilities (including contingent liabilities and other commitments) beyond its ability to pay such Indebtedness and liabilities as they mature (taking into account the timing and amounts of cash to be received by Borrower and the amounts to be payable on or in respect of the obligations of Borrower). No petition in bankruptcy has been filed against Borrower or any constituent Person of Borrower, and neither Borrower nor any constituent Person of Borrower has ever made an assignment for the benefit of creditors or taken advantage of any insolvency act for the benefit of debtors. Neither Borrower nor any of its constituent Persons are contemplating either the filing of a petition by it under any state or federal bankruptcy or insolvency laws or the liquidation of all or a major portion of Borrower’s assets or properties, and Borrower has no knowledge of any Person contemplating the filing of any such petition against it or such constituent Persons.</w:t>
      </w:r>
    </w:p>
    <w:p>
      <w:pPr>
        <w:spacing w:after="0" w:line="18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3.1.20 </w:t>
      </w:r>
      <w:r>
        <w:rPr>
          <w:rFonts w:ascii="Arial" w:cs="Arial" w:eastAsia="Arial" w:hAnsi="Arial"/>
          <w:sz w:val="18"/>
          <w:szCs w:val="18"/>
          <w:b w:val="1"/>
          <w:bCs w:val="1"/>
          <w:u w:val="single" w:color="auto"/>
          <w:color w:val="auto"/>
        </w:rPr>
        <w:t>Federal Reserve Regulations</w:t>
      </w:r>
      <w:r>
        <w:rPr>
          <w:rFonts w:ascii="Arial" w:cs="Arial" w:eastAsia="Arial" w:hAnsi="Arial"/>
          <w:sz w:val="18"/>
          <w:szCs w:val="18"/>
          <w:color w:val="auto"/>
        </w:rPr>
        <w:t>. No part of the proceeds of the Loan will be used for the purpose of purchasing or acquiring any</w:t>
      </w:r>
      <w:r>
        <w:rPr>
          <w:rFonts w:ascii="Arial" w:cs="Arial" w:eastAsia="Arial" w:hAnsi="Arial"/>
          <w:sz w:val="18"/>
          <w:szCs w:val="18"/>
          <w:b w:val="1"/>
          <w:bCs w:val="1"/>
          <w:color w:val="auto"/>
        </w:rPr>
        <w:t xml:space="preserve"> </w:t>
      </w:r>
      <w:r>
        <w:rPr>
          <w:rFonts w:ascii="Arial" w:cs="Arial" w:eastAsia="Arial" w:hAnsi="Arial"/>
          <w:sz w:val="18"/>
          <w:szCs w:val="18"/>
          <w:color w:val="auto"/>
        </w:rPr>
        <w:t>“margin stock” within the meaning of Regulation U of the Board of Governors of the Federal Reserve System or for any other purpose which would be inconsistent with such Regulation U or any other Regulations of such Board of Governors, or for any purposes prohibited by Legal Requirements or by the terms and conditions of this Agreement or the other Loan Documents.</w:t>
      </w:r>
    </w:p>
    <w:p>
      <w:pPr>
        <w:spacing w:after="0" w:line="18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3.1.21 </w:t>
      </w:r>
      <w:r>
        <w:rPr>
          <w:rFonts w:ascii="Arial" w:cs="Arial" w:eastAsia="Arial" w:hAnsi="Arial"/>
          <w:sz w:val="18"/>
          <w:szCs w:val="18"/>
          <w:b w:val="1"/>
          <w:bCs w:val="1"/>
          <w:u w:val="single" w:color="auto"/>
          <w:color w:val="auto"/>
        </w:rPr>
        <w:t>Organizational Chart</w:t>
      </w:r>
      <w:r>
        <w:rPr>
          <w:rFonts w:ascii="Arial" w:cs="Arial" w:eastAsia="Arial" w:hAnsi="Arial"/>
          <w:sz w:val="18"/>
          <w:szCs w:val="18"/>
          <w:color w:val="auto"/>
        </w:rPr>
        <w:t>. The organizational chart attached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III</w:t>
      </w:r>
      <w:r>
        <w:rPr>
          <w:rFonts w:ascii="Arial" w:cs="Arial" w:eastAsia="Arial" w:hAnsi="Arial"/>
          <w:sz w:val="18"/>
          <w:szCs w:val="18"/>
          <w:color w:val="auto"/>
        </w:rPr>
        <w:t>, relating to Borrower and certain Affiliates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is true, complete and correct on and as of the date hereof. No Person, other than those Persons shown on </w:t>
      </w:r>
      <w:r>
        <w:rPr>
          <w:rFonts w:ascii="Arial" w:cs="Arial" w:eastAsia="Arial" w:hAnsi="Arial"/>
          <w:sz w:val="18"/>
          <w:szCs w:val="18"/>
          <w:b w:val="1"/>
          <w:bCs w:val="1"/>
          <w:u w:val="single" w:color="auto"/>
          <w:color w:val="auto"/>
        </w:rPr>
        <w:t>Schedule III,</w:t>
      </w:r>
      <w:r>
        <w:rPr>
          <w:rFonts w:ascii="Arial" w:cs="Arial" w:eastAsia="Arial" w:hAnsi="Arial"/>
          <w:sz w:val="18"/>
          <w:szCs w:val="18"/>
          <w:color w:val="auto"/>
        </w:rPr>
        <w:t xml:space="preserve"> has any ownership interest in, or right of Control, directly or indirectly, in Borrower.</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3" w:name="page324"/>
    <w:bookmarkEnd w:id="323"/>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3.1.22 </w:t>
      </w:r>
      <w:r>
        <w:rPr>
          <w:rFonts w:ascii="Arial" w:cs="Arial" w:eastAsia="Arial" w:hAnsi="Arial"/>
          <w:sz w:val="18"/>
          <w:szCs w:val="18"/>
          <w:b w:val="1"/>
          <w:bCs w:val="1"/>
          <w:u w:val="single" w:color="auto"/>
          <w:color w:val="auto"/>
        </w:rPr>
        <w:t>Organizational Status</w:t>
      </w:r>
      <w:r>
        <w:rPr>
          <w:rFonts w:ascii="Arial" w:cs="Arial" w:eastAsia="Arial" w:hAnsi="Arial"/>
          <w:sz w:val="18"/>
          <w:szCs w:val="18"/>
          <w:color w:val="auto"/>
        </w:rPr>
        <w:t>. Borrower’s exact legal name is: Novonix 1029, LLC. Borrower is a single member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jurisdiction in which Borrower is organized is: Delaware. Borrower’s Tax I.D. number is 87-1441384</w:t>
      </w:r>
      <w:r>
        <w:rPr>
          <w:rFonts w:ascii="Arial" w:cs="Arial" w:eastAsia="Arial" w:hAnsi="Arial"/>
          <w:sz w:val="18"/>
          <w:szCs w:val="18"/>
          <w:b w:val="1"/>
          <w:bCs w:val="1"/>
          <w:color w:val="auto"/>
        </w:rPr>
        <w:t>,</w:t>
      </w:r>
      <w:r>
        <w:rPr>
          <w:rFonts w:ascii="Arial" w:cs="Arial" w:eastAsia="Arial" w:hAnsi="Arial"/>
          <w:sz w:val="18"/>
          <w:szCs w:val="18"/>
          <w:color w:val="auto"/>
        </w:rPr>
        <w:t xml:space="preserve"> and Borrower’s Delaware Organizational I.D. number is 5979961.</w:t>
      </w:r>
    </w:p>
    <w:p>
      <w:pPr>
        <w:spacing w:after="0" w:line="17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3.1.23 </w:t>
      </w:r>
      <w:r>
        <w:rPr>
          <w:rFonts w:ascii="Arial" w:cs="Arial" w:eastAsia="Arial" w:hAnsi="Arial"/>
          <w:sz w:val="18"/>
          <w:szCs w:val="18"/>
          <w:b w:val="1"/>
          <w:bCs w:val="1"/>
          <w:u w:val="single" w:color="auto"/>
          <w:color w:val="auto"/>
        </w:rPr>
        <w:t>Bank Holding Company</w:t>
      </w:r>
      <w:r>
        <w:rPr>
          <w:rFonts w:ascii="Arial" w:cs="Arial" w:eastAsia="Arial" w:hAnsi="Arial"/>
          <w:sz w:val="18"/>
          <w:szCs w:val="18"/>
          <w:color w:val="auto"/>
        </w:rPr>
        <w:t>. Borrower is not a “bank holding company” or a direct or indirect subsidiary of a “bank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defined in the Bank Holding Company Act of 1956, as amended, and Regulation Y thereunder of the Board of Governors of the Federal Reserve System.</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3.1.24 </w:t>
      </w:r>
      <w:r>
        <w:rPr>
          <w:rFonts w:ascii="Arial" w:cs="Arial" w:eastAsia="Arial" w:hAnsi="Arial"/>
          <w:sz w:val="16"/>
          <w:szCs w:val="16"/>
          <w:b w:val="1"/>
          <w:bCs w:val="1"/>
          <w:u w:val="single" w:color="auto"/>
          <w:color w:val="auto"/>
        </w:rPr>
        <w:t>No Casualty</w:t>
      </w:r>
      <w:r>
        <w:rPr>
          <w:rFonts w:ascii="Arial" w:cs="Arial" w:eastAsia="Arial" w:hAnsi="Arial"/>
          <w:sz w:val="16"/>
          <w:szCs w:val="16"/>
          <w:color w:val="auto"/>
        </w:rPr>
        <w:t>. The Improvements have suffered no material casualty or damage which has not been fully repaired and the cost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thereof fully paid.</w:t>
      </w:r>
    </w:p>
    <w:p>
      <w:pPr>
        <w:spacing w:after="0" w:line="20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3.1.25 </w:t>
      </w:r>
      <w:r>
        <w:rPr>
          <w:rFonts w:ascii="Arial" w:cs="Arial" w:eastAsia="Arial" w:hAnsi="Arial"/>
          <w:sz w:val="18"/>
          <w:szCs w:val="18"/>
          <w:b w:val="1"/>
          <w:bCs w:val="1"/>
          <w:u w:val="single" w:color="auto"/>
          <w:color w:val="auto"/>
        </w:rPr>
        <w:t>Purchase Options</w:t>
      </w:r>
      <w:r>
        <w:rPr>
          <w:rFonts w:ascii="Arial" w:cs="Arial" w:eastAsia="Arial" w:hAnsi="Arial"/>
          <w:sz w:val="18"/>
          <w:szCs w:val="18"/>
          <w:color w:val="auto"/>
        </w:rPr>
        <w:t>. Neither the Property nor any part thereof are subject to any purchase options, rights of first refusal,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first offer or other similar rights in favor of third parties.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3.1.26 </w:t>
      </w:r>
      <w:r>
        <w:rPr>
          <w:rFonts w:ascii="Arial" w:cs="Arial" w:eastAsia="Arial" w:hAnsi="Arial"/>
          <w:sz w:val="18"/>
          <w:szCs w:val="18"/>
          <w:b w:val="1"/>
          <w:bCs w:val="1"/>
          <w:u w:val="single" w:color="auto"/>
          <w:color w:val="auto"/>
        </w:rPr>
        <w:t>FIRPTA</w:t>
      </w:r>
      <w:r>
        <w:rPr>
          <w:rFonts w:ascii="Arial" w:cs="Arial" w:eastAsia="Arial" w:hAnsi="Arial"/>
          <w:sz w:val="18"/>
          <w:szCs w:val="18"/>
          <w:color w:val="auto"/>
        </w:rPr>
        <w:t>. Borrower is not a “foreign person” within the meaning of Sections 1445 or 7701 of the Code.</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3.1.27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Borrower is not (i) an “investment company” or a company “controlled” by an “investment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meaning of the Investment Company Act of 1940, as amended, or (ii) subject to any other United States federal or state law or regulation which purports to restrict or regulate its ability to borrow money.</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3.1.28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Each fiscal year of Borrower commences on July 1.</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3.1.29 </w:t>
      </w:r>
      <w:r>
        <w:rPr>
          <w:rFonts w:ascii="Arial" w:cs="Arial" w:eastAsia="Arial" w:hAnsi="Arial"/>
          <w:sz w:val="18"/>
          <w:szCs w:val="18"/>
          <w:b w:val="1"/>
          <w:bCs w:val="1"/>
          <w:u w:val="single" w:color="auto"/>
          <w:color w:val="auto"/>
        </w:rPr>
        <w:t>Other Debt</w:t>
      </w:r>
      <w:r>
        <w:rPr>
          <w:rFonts w:ascii="Arial" w:cs="Arial" w:eastAsia="Arial" w:hAnsi="Arial"/>
          <w:sz w:val="18"/>
          <w:szCs w:val="18"/>
          <w:color w:val="auto"/>
        </w:rPr>
        <w:t>. There is no indebtedness with respect to the Property or any excess cash flow or any residual interest therein,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or unsecured, other than Permitted Encumbrances and Permitted Indebtedness.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3.1.30 </w:t>
      </w:r>
      <w:r>
        <w:rPr>
          <w:rFonts w:ascii="Arial" w:cs="Arial" w:eastAsia="Arial" w:hAnsi="Arial"/>
          <w:sz w:val="18"/>
          <w:szCs w:val="18"/>
          <w:b w:val="1"/>
          <w:bCs w:val="1"/>
          <w:u w:val="single" w:color="auto"/>
          <w:color w:val="auto"/>
        </w:rPr>
        <w:t>Contracts</w:t>
      </w:r>
      <w:r>
        <w:rPr>
          <w:rFonts w:ascii="Arial" w:cs="Arial" w:eastAsia="Arial" w:hAnsi="Arial"/>
          <w:sz w:val="18"/>
          <w:szCs w:val="18"/>
          <w:color w:val="auto"/>
        </w:rPr>
        <w:t>.</w:t>
      </w:r>
    </w:p>
    <w:p>
      <w:pPr>
        <w:spacing w:after="0" w:line="229" w:lineRule="exact"/>
        <w:rPr>
          <w:sz w:val="20"/>
          <w:szCs w:val="20"/>
          <w:color w:val="auto"/>
        </w:rPr>
      </w:pPr>
    </w:p>
    <w:p>
      <w:pPr>
        <w:ind w:firstLine="1304"/>
        <w:spacing w:after="0" w:line="277" w:lineRule="auto"/>
        <w:tabs>
          <w:tab w:leader="none" w:pos="194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Borrower has not entered into, and is not bound by, any Major Contract which continues in existence, except those previously disclosed in writing to Lender.</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92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of the Major Contracts is in full force and effect, there are no monetary or other material defaults by Borrower thereunder and, to the best knowledge of Borrower, there are no monetary or other material defaults thereunder by any other party thereto. None of Borrower, Manager or any other Person acting on Borrower’s behalf has given or received any notice of default under any of the Major Contracts that remains uncured or in dispute.</w:t>
      </w:r>
    </w:p>
    <w:p>
      <w:pPr>
        <w:spacing w:after="0" w:line="186" w:lineRule="exact"/>
        <w:rPr>
          <w:rFonts w:ascii="Arial" w:cs="Arial" w:eastAsia="Arial" w:hAnsi="Arial"/>
          <w:sz w:val="18"/>
          <w:szCs w:val="18"/>
          <w:color w:val="auto"/>
        </w:rPr>
      </w:pPr>
    </w:p>
    <w:p>
      <w:pPr>
        <w:ind w:left="1980" w:hanging="676"/>
        <w:spacing w:after="0"/>
        <w:tabs>
          <w:tab w:leader="none" w:pos="19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Borrower has delivered true, correct and complete copies of the Major Contracts (including all amendments and supplements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 to Lender.</w:t>
      </w:r>
    </w:p>
    <w:p>
      <w:pPr>
        <w:spacing w:after="0" w:line="210" w:lineRule="exact"/>
        <w:rPr>
          <w:rFonts w:ascii="Arial" w:cs="Arial" w:eastAsia="Arial" w:hAnsi="Arial"/>
          <w:sz w:val="16"/>
          <w:szCs w:val="16"/>
          <w:color w:val="auto"/>
        </w:rPr>
      </w:pPr>
    </w:p>
    <w:p>
      <w:pPr>
        <w:ind w:right="20" w:firstLine="1304"/>
        <w:spacing w:after="0" w:line="277" w:lineRule="auto"/>
        <w:tabs>
          <w:tab w:leader="none" w:pos="189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Except for the PUREGraphite Tenant under the PUREGraphite Lease, no Major Contract has as a party an Affiliate of Borrower. All fees and other compensation for services previously performed under the Management Agreement have been paid in full.</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4" w:name="page325"/>
    <w:bookmarkEnd w:id="324"/>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3.1.31 </w:t>
      </w:r>
      <w:r>
        <w:rPr>
          <w:rFonts w:ascii="Arial" w:cs="Arial" w:eastAsia="Arial" w:hAnsi="Arial"/>
          <w:sz w:val="18"/>
          <w:szCs w:val="18"/>
          <w:b w:val="1"/>
          <w:bCs w:val="1"/>
          <w:u w:val="single" w:color="auto"/>
          <w:color w:val="auto"/>
        </w:rPr>
        <w:t>Full and Accurate Disclosure</w:t>
      </w:r>
      <w:r>
        <w:rPr>
          <w:rFonts w:ascii="Arial" w:cs="Arial" w:eastAsia="Arial" w:hAnsi="Arial"/>
          <w:sz w:val="18"/>
          <w:szCs w:val="18"/>
          <w:color w:val="auto"/>
        </w:rPr>
        <w:t>. No statement of fact made by Borrower in this Agreement or in any of the other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any untrue statement of a material fact or omits to state any material fact necessary to make statements contained herein or therein not misleading. There is no material fact presently known to Borrower which adversely affects, nor as far as Borrower can foresee, would be reasonably likely to adversely affect, the Property or the business, operations or condition (financial or otherwise) of Borrower or Guarantor, including any Lease Sweep Lease or any Tenant under any Lease Sweep Lease.</w:t>
      </w:r>
    </w:p>
    <w:p>
      <w:pPr>
        <w:spacing w:after="0" w:line="183"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3.1.32 </w:t>
      </w:r>
      <w:r>
        <w:rPr>
          <w:rFonts w:ascii="Arial" w:cs="Arial" w:eastAsia="Arial" w:hAnsi="Arial"/>
          <w:sz w:val="18"/>
          <w:szCs w:val="18"/>
          <w:b w:val="1"/>
          <w:bCs w:val="1"/>
          <w:u w:val="single" w:color="auto"/>
          <w:color w:val="auto"/>
        </w:rPr>
        <w:t>Other Obligations and Liabilities</w:t>
      </w:r>
      <w:r>
        <w:rPr>
          <w:rFonts w:ascii="Arial" w:cs="Arial" w:eastAsia="Arial" w:hAnsi="Arial"/>
          <w:sz w:val="18"/>
          <w:szCs w:val="18"/>
          <w:color w:val="auto"/>
        </w:rPr>
        <w:t>. Borrower has no liabilities or other obligations that arose or accrued prior to the date 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that, either individually or in the aggregate, could have a material adverse effect on Borrower, the Property and/or Borrower’s ability to pay the Debt. Borrower has no known contingent liabilities.</w:t>
      </w:r>
    </w:p>
    <w:p>
      <w:pPr>
        <w:spacing w:after="0" w:line="17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 xml:space="preserve">3.1.33 </w:t>
      </w:r>
      <w:r>
        <w:rPr>
          <w:rFonts w:ascii="Arial" w:cs="Arial" w:eastAsia="Arial" w:hAnsi="Arial"/>
          <w:sz w:val="17"/>
          <w:szCs w:val="17"/>
          <w:b w:val="1"/>
          <w:bCs w:val="1"/>
          <w:u w:val="single" w:color="auto"/>
          <w:color w:val="auto"/>
        </w:rPr>
        <w:t>Intellectual Property/Websites</w:t>
      </w:r>
      <w:r>
        <w:rPr>
          <w:rFonts w:ascii="Arial" w:cs="Arial" w:eastAsia="Arial" w:hAnsi="Arial"/>
          <w:sz w:val="17"/>
          <w:szCs w:val="17"/>
          <w:color w:val="auto"/>
        </w:rPr>
        <w:t>. Other than as set forth 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VI</w:t>
      </w:r>
      <w:r>
        <w:rPr>
          <w:rFonts w:ascii="Arial" w:cs="Arial" w:eastAsia="Arial" w:hAnsi="Arial"/>
          <w:sz w:val="17"/>
          <w:szCs w:val="17"/>
          <w:color w:val="auto"/>
        </w:rPr>
        <w:t>, neither Borrower nor any Affiliate (i) has or holds any</w:t>
      </w:r>
      <w:r>
        <w:rPr>
          <w:rFonts w:ascii="Arial" w:cs="Arial" w:eastAsia="Arial" w:hAnsi="Arial"/>
          <w:sz w:val="17"/>
          <w:szCs w:val="17"/>
          <w:b w:val="1"/>
          <w:bCs w:val="1"/>
          <w:color w:val="auto"/>
        </w:rPr>
        <w:t xml:space="preserve"> </w:t>
      </w:r>
      <w:r>
        <w:rPr>
          <w:rFonts w:ascii="Arial" w:cs="Arial" w:eastAsia="Arial" w:hAnsi="Arial"/>
          <w:sz w:val="17"/>
          <w:szCs w:val="17"/>
          <w:color w:val="auto"/>
        </w:rPr>
        <w:t>tradenames, trademarks, servicemarks, logos, copyrights, patents or other intellectual property (collectively,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with respect to Borrower’s ownership or leasehold interest in the Property or (ii) is the registered holder of any website with respect to the Property.</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3.1.34 </w:t>
      </w:r>
      <w:r>
        <w:rPr>
          <w:rFonts w:ascii="Arial" w:cs="Arial" w:eastAsia="Arial" w:hAnsi="Arial"/>
          <w:sz w:val="18"/>
          <w:szCs w:val="18"/>
          <w:b w:val="1"/>
          <w:bCs w:val="1"/>
          <w:u w:val="single" w:color="auto"/>
          <w:color w:val="auto"/>
        </w:rPr>
        <w:t>Operations Agreements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1304"/>
        <w:spacing w:after="0" w:line="259" w:lineRule="auto"/>
        <w:tabs>
          <w:tab w:leader="none" w:pos="187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Each Operations Agreement is in full force and effect and neither Borrower nor, to Borrower’s knowledge, any other party to any Operations Agreement, is in default thereunder, and to the best of Borrower’s knowledge, there are no conditions which, with the passage of time or the giving of notice, or both, would constitute a default thereunder. Except as described herein, none of the REAs and/or the PILOT Documents has been modified, amended or supplemented.</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911" w:val="left"/>
        </w:tabs>
        <w:numPr>
          <w:ilvl w:val="1"/>
          <w:numId w:val="339"/>
        </w:numPr>
        <w:rPr>
          <w:rFonts w:ascii="Arial" w:cs="Arial" w:eastAsia="Arial" w:hAnsi="Arial"/>
          <w:sz w:val="16"/>
          <w:szCs w:val="16"/>
          <w:color w:val="auto"/>
        </w:rPr>
      </w:pPr>
      <w:r>
        <w:rPr>
          <w:rFonts w:ascii="Arial" w:cs="Arial" w:eastAsia="Arial" w:hAnsi="Arial"/>
          <w:sz w:val="16"/>
          <w:szCs w:val="16"/>
          <w:color w:val="auto"/>
        </w:rPr>
        <w:t xml:space="preserve">(i) The PILOT Agreement requires that, in order to receive the full tax abatement described more particularly therein, </w:t>
      </w:r>
      <w:r>
        <w:rPr>
          <w:rFonts w:ascii="Arial" w:cs="Arial" w:eastAsia="Arial" w:hAnsi="Arial"/>
          <w:sz w:val="16"/>
          <w:szCs w:val="16"/>
          <w:i w:val="1"/>
          <w:iCs w:val="1"/>
          <w:color w:val="auto"/>
        </w:rPr>
        <w:t>inter alia</w:t>
      </w:r>
      <w:r>
        <w:rPr>
          <w:rFonts w:ascii="Arial" w:cs="Arial" w:eastAsia="Arial" w:hAnsi="Arial"/>
          <w:sz w:val="16"/>
          <w:szCs w:val="16"/>
          <w:color w:val="auto"/>
        </w:rPr>
        <w:t>, Borrower and/or PUREGraphite Tenant must satisfy the Minimum Jobs Requirement (as defined in the PILOT Agreement) and the Minimum Investment Requirement (as defined in the PILOT Agreement) by the end of the Five Year Period (as defined in the PILOT Agreement) and throughout the remainder of the 10-year Tax Abatement Period (as defined in the PILOT Agreement) thereunder. (ii) The Minimum Jobs Requirement equals two hundred forty</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full-time jobs with an average annual wage of note less than $42,000 per year. (iii) The Minimum Investment Requirement equals $120,000,000.00.</w:t>
      </w:r>
    </w:p>
    <w:p>
      <w:pPr>
        <w:spacing w:after="0" w:line="32" w:lineRule="exact"/>
        <w:rPr>
          <w:sz w:val="20"/>
          <w:szCs w:val="20"/>
          <w:color w:val="auto"/>
        </w:rPr>
      </w:pPr>
    </w:p>
    <w:p>
      <w:pPr>
        <w:jc w:val="both"/>
        <w:ind w:firstLine="8"/>
        <w:spacing w:after="0" w:line="281" w:lineRule="auto"/>
        <w:tabs>
          <w:tab w:leader="none" w:pos="46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Although the PILOT Agreement permits the Minimum Jobs Requirement and the Minimum Investment Requirement to be satisfied (in whole or in part) with reference to certain jobs and/or capital expenditures made at other facilities owned by PUREGraphite within the City of Chattanooga, Tennessee, Borrower anticipates that the Minimum Jobs Requirement and the Minimum Investment Requirement will be satisfied solely in connection with the Property. (v) If the Minimum Jobs Requirement and/or the Minimum Investment Requirement are not satisfied during the Term (as defined in the PILOT Agreement), including, without limitation, as the result of any cessation of operations at the property, then (A) Borrower would not be liable with respect to any increased taxes as a result of such failure with respect to any personal property and/or equipment owned and/or leased by PUREGraphite Tenant, and</w:t>
      </w:r>
    </w:p>
    <w:p>
      <w:pPr>
        <w:spacing w:after="0" w:line="3"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(B) Borrower would not be liable for any repayment of previously abated amounts with respect to any personal property and/or equipment owned and/or leased by PUREGraphite Tenant.</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5" w:name="page326"/>
    <w:bookmarkEnd w:id="325"/>
    <w:p>
      <w:pPr>
        <w:ind w:left="1300"/>
        <w:spacing w:after="0"/>
        <w:rPr>
          <w:sz w:val="20"/>
          <w:szCs w:val="20"/>
          <w:color w:val="auto"/>
        </w:rPr>
      </w:pPr>
      <w:r>
        <w:rPr>
          <w:rFonts w:ascii="Arial" w:cs="Arial" w:eastAsia="Arial" w:hAnsi="Arial"/>
          <w:sz w:val="18"/>
          <w:szCs w:val="18"/>
          <w:b w:val="1"/>
          <w:bCs w:val="1"/>
          <w:color w:val="auto"/>
        </w:rPr>
        <w:t xml:space="preserve">3.1.35 </w:t>
      </w:r>
      <w:r>
        <w:rPr>
          <w:rFonts w:ascii="Arial" w:cs="Arial" w:eastAsia="Arial" w:hAnsi="Arial"/>
          <w:sz w:val="18"/>
          <w:szCs w:val="18"/>
          <w:b w:val="1"/>
          <w:bCs w:val="1"/>
          <w:u w:val="single" w:color="auto"/>
          <w:color w:val="auto"/>
        </w:rPr>
        <w:t>Ground Lease</w:t>
      </w:r>
      <w:r>
        <w:rPr>
          <w:rFonts w:ascii="Arial" w:cs="Arial" w:eastAsia="Arial" w:hAnsi="Arial"/>
          <w:sz w:val="18"/>
          <w:szCs w:val="18"/>
          <w:color w:val="auto"/>
        </w:rPr>
        <w:t>. Borrower hereby represents and warrants to Lender the following with respect to the Ground Lease:</w:t>
      </w:r>
    </w:p>
    <w:p>
      <w:pPr>
        <w:spacing w:after="0" w:line="229" w:lineRule="exact"/>
        <w:rPr>
          <w:sz w:val="20"/>
          <w:szCs w:val="20"/>
          <w:color w:val="auto"/>
        </w:rPr>
      </w:pPr>
    </w:p>
    <w:p>
      <w:pPr>
        <w:jc w:val="both"/>
        <w:ind w:firstLine="1304"/>
        <w:spacing w:after="0" w:line="259" w:lineRule="auto"/>
        <w:tabs>
          <w:tab w:leader="none" w:pos="1936"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Recording; Modification</w:t>
      </w:r>
      <w:r>
        <w:rPr>
          <w:rFonts w:ascii="Arial" w:cs="Arial" w:eastAsia="Arial" w:hAnsi="Arial"/>
          <w:sz w:val="18"/>
          <w:szCs w:val="18"/>
          <w:color w:val="auto"/>
        </w:rPr>
        <w:t>. The Ground Lease has been duly recorded. The Ground Lease permits the interest of Borrower to be encumbered by a mortgage. There have not been amendments or modifications to the terms of the Ground Lease since its recordation, with the exception of written instruments which have been recorded. The Ground Lease may not be canceled, terminated, surrendered or amended and Borrower’s rights under the Ground Lease may not be waived without the prior written consent of Lender.</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041"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No Liens</w:t>
      </w:r>
      <w:r>
        <w:rPr>
          <w:rFonts w:ascii="Arial" w:cs="Arial" w:eastAsia="Arial" w:hAnsi="Arial"/>
          <w:sz w:val="18"/>
          <w:szCs w:val="18"/>
          <w:color w:val="auto"/>
        </w:rPr>
        <w:t>. Except for the Permitted Encumbrances, Borrower’s interest in the Ground Lease is not subject to any Liens or encumbrances superior to, or of equal priority with, the Mortgage other than the ground lessor’s related fee interest. Such Ground Lease is, and shall remain, prior to any mortgage or Lien upon the ground lessor’s related fee interest and ground lessor has not entered into any agreement to subordinate the Ground Lease to any future mortgages or Liens upon the ground lessor’s related fee interest.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031"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Ground Lease Assignable</w:t>
      </w:r>
      <w:r>
        <w:rPr>
          <w:rFonts w:ascii="Arial" w:cs="Arial" w:eastAsia="Arial" w:hAnsi="Arial"/>
          <w:sz w:val="18"/>
          <w:szCs w:val="18"/>
          <w:color w:val="auto"/>
        </w:rPr>
        <w:t>. Borrower’s interest in the Ground Lease is assignable to Lender upon notice to, but without the consent of, the ground lessor (or, if any such consent is required, it has been obtained prior to the Closing Date). The Ground Lease is further assignable by Lender, its successors and assigns without the consent of the ground lessor.</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1920"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Default</w:t>
      </w:r>
      <w:r>
        <w:rPr>
          <w:rFonts w:ascii="Arial" w:cs="Arial" w:eastAsia="Arial" w:hAnsi="Arial"/>
          <w:sz w:val="17"/>
          <w:szCs w:val="17"/>
          <w:color w:val="auto"/>
        </w:rPr>
        <w:t>. As of the date hereof, the Ground Lease is in full force and effect and no default has occurred under the Ground Lease and there is no existing condition which, but for the passage of time and/or the giving of notice, could result in a default under the terms of the Ground Lease. All rents, additional rents and other sums due and payable under the Ground Lease have been paid in full. Neither Borrower nor the ground lessor under the Ground Lease has commenced any action or given or received any notice for the purpose of terminating the Ground Lease.</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1923"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No Merger</w:t>
      </w:r>
      <w:r>
        <w:rPr>
          <w:rFonts w:ascii="Arial" w:cs="Arial" w:eastAsia="Arial" w:hAnsi="Arial"/>
          <w:sz w:val="18"/>
          <w:szCs w:val="18"/>
          <w:color w:val="auto"/>
        </w:rPr>
        <w:t>. The Ground Lease requires that fee title to the Property and the leasehold estate created by the Ground Lease shall not merge and shall always be kept separate and distinct, notwithstanding the union of such estates in Borrower, Lender or any other person by purchase, operation of law or otherwise.</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908"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The Ground Lease requires the ground lessor to give notice of any default by Borrower to Lender. The Ground Lease, or estoppel letters received by Lender from the ground lessor, further provides that notice of termination given under the Ground Lease is not effective against Lender unless a copy of the notice has been delivered to Lender in the manner described in the Ground Lease.</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2055"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Cure</w:t>
      </w:r>
      <w:r>
        <w:rPr>
          <w:rFonts w:ascii="Arial" w:cs="Arial" w:eastAsia="Arial" w:hAnsi="Arial"/>
          <w:sz w:val="18"/>
          <w:szCs w:val="18"/>
          <w:color w:val="auto"/>
        </w:rPr>
        <w:t>. Lender is permitted the opportunity (including, where necessary, sufficient time to gain possession of the interest of Borrower under the Ground Lease) to cure any default under the Ground Lease which is curable, after the receipt of notice of the default, before the ground lessor thereunder may terminate the Ground Lease.</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6" w:name="page327"/>
    <w:bookmarkEnd w:id="326"/>
    <w:p>
      <w:pPr>
        <w:ind w:firstLine="1304"/>
        <w:spacing w:after="0" w:line="277" w:lineRule="auto"/>
        <w:tabs>
          <w:tab w:leader="none" w:pos="2041"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the Ground Lease will expire (unless earlier terminated) on December 31 of the year in which the Tax Abatement Period (as defined in the PILOT Agreement) expires.</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965"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New Lease</w:t>
      </w:r>
      <w:r>
        <w:rPr>
          <w:rFonts w:ascii="Arial" w:cs="Arial" w:eastAsia="Arial" w:hAnsi="Arial"/>
          <w:sz w:val="17"/>
          <w:szCs w:val="17"/>
          <w:color w:val="auto"/>
        </w:rPr>
        <w:t>. The Ground Lease requires the ground lessor to enter into a new lease with Lender on substantially similar terms upon termination of the Ground Lease for any reason or if the Ground Lease is rejected or disaffirmed pursuant to any bankruptcy, insolvency or other law affecting creditors’ rights. Such new lease shall be prior to any existing mortgage upon the ground lessor’s related fee interest.</w:t>
      </w:r>
    </w:p>
    <w:p>
      <w:pPr>
        <w:spacing w:after="0" w:line="165" w:lineRule="exact"/>
        <w:rPr>
          <w:rFonts w:ascii="Arial" w:cs="Arial" w:eastAsia="Arial" w:hAnsi="Arial"/>
          <w:sz w:val="17"/>
          <w:szCs w:val="17"/>
          <w:color w:val="auto"/>
        </w:rPr>
      </w:pPr>
    </w:p>
    <w:p>
      <w:pPr>
        <w:jc w:val="both"/>
        <w:ind w:firstLine="1304"/>
        <w:spacing w:after="0" w:line="311" w:lineRule="auto"/>
        <w:tabs>
          <w:tab w:leader="none" w:pos="2154"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Insurance Proceeds</w:t>
      </w:r>
      <w:r>
        <w:rPr>
          <w:rFonts w:ascii="Arial" w:cs="Arial" w:eastAsia="Arial" w:hAnsi="Arial"/>
          <w:sz w:val="16"/>
          <w:szCs w:val="16"/>
          <w:color w:val="auto"/>
        </w:rPr>
        <w:t>. Under the terms of the Ground Lease and the Mortgage, taken together, any related insurance and condemnation proceeds will be applied either to the repair or restoration of all or part of the Property, with Lender having the right to hold and disburse the proceeds as the repair or restoration progresses, or to the payment of the Outstanding Principal Balance together with any accrued interest thereon.</w:t>
      </w:r>
    </w:p>
    <w:p>
      <w:pPr>
        <w:spacing w:after="0" w:line="148" w:lineRule="exact"/>
        <w:rPr>
          <w:rFonts w:ascii="Arial" w:cs="Arial" w:eastAsia="Arial" w:hAnsi="Arial"/>
          <w:sz w:val="16"/>
          <w:szCs w:val="16"/>
          <w:color w:val="auto"/>
        </w:rPr>
      </w:pPr>
    </w:p>
    <w:p>
      <w:pPr>
        <w:ind w:left="1880" w:hanging="576"/>
        <w:spacing w:after="0"/>
        <w:tabs>
          <w:tab w:leader="none" w:pos="1880"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Subleasing</w:t>
      </w:r>
      <w:r>
        <w:rPr>
          <w:rFonts w:ascii="Arial" w:cs="Arial" w:eastAsia="Arial" w:hAnsi="Arial"/>
          <w:sz w:val="18"/>
          <w:szCs w:val="18"/>
          <w:color w:val="auto"/>
        </w:rPr>
        <w:t>. The Ground Lease does not impose any restrictions on subleasing.</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Ground Rent</w:t>
      </w:r>
      <w:r>
        <w:rPr>
          <w:rFonts w:ascii="Arial" w:cs="Arial" w:eastAsia="Arial" w:hAnsi="Arial"/>
          <w:sz w:val="18"/>
          <w:szCs w:val="18"/>
          <w:color w:val="auto"/>
        </w:rPr>
        <w:t>. No Ground Rent is payable to the ground lessor pursuant to the terms of the Ground Lease.</w:t>
      </w:r>
    </w:p>
    <w:p>
      <w:pPr>
        <w:spacing w:after="0" w:line="22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3.1.36 </w:t>
      </w:r>
      <w:r>
        <w:rPr>
          <w:rFonts w:ascii="Arial" w:cs="Arial" w:eastAsia="Arial" w:hAnsi="Arial"/>
          <w:sz w:val="17"/>
          <w:szCs w:val="17"/>
          <w:b w:val="1"/>
          <w:bCs w:val="1"/>
          <w:u w:val="single" w:color="auto"/>
          <w:color w:val="auto"/>
        </w:rPr>
        <w:t>Tenant Grants and Credits</w:t>
      </w:r>
      <w:r>
        <w:rPr>
          <w:rFonts w:ascii="Arial" w:cs="Arial" w:eastAsia="Arial" w:hAnsi="Arial"/>
          <w:sz w:val="17"/>
          <w:szCs w:val="17"/>
          <w:color w:val="auto"/>
        </w:rPr>
        <w:t>. To Borrower’s knowledge, PUREgraphite Tenant has applied to receive and/or intends to apply to</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the following (collectively, the “</w:t>
      </w:r>
      <w:r>
        <w:rPr>
          <w:rFonts w:ascii="Arial" w:cs="Arial" w:eastAsia="Arial" w:hAnsi="Arial"/>
          <w:sz w:val="17"/>
          <w:szCs w:val="17"/>
          <w:b w:val="1"/>
          <w:bCs w:val="1"/>
          <w:i w:val="1"/>
          <w:iCs w:val="1"/>
          <w:color w:val="auto"/>
        </w:rPr>
        <w:t>Tenant Additional Incentives</w:t>
      </w:r>
      <w:r>
        <w:rPr>
          <w:rFonts w:ascii="Arial" w:cs="Arial" w:eastAsia="Arial" w:hAnsi="Arial"/>
          <w:sz w:val="17"/>
          <w:szCs w:val="17"/>
          <w:color w:val="auto"/>
        </w:rPr>
        <w:t>”): (a) a grant in the amount of approximately $3,000,000 from the State of Tennessee and/or the Tennessee Department of Economic and Community Development in connection with the creation and/or maintenance of certain jobs at the Property, (b) an economic development incentive in the amount of approximately $9,400,000 from the Tennessee Valley Authority (“</w:t>
      </w:r>
      <w:r>
        <w:rPr>
          <w:rFonts w:ascii="Arial" w:cs="Arial" w:eastAsia="Arial" w:hAnsi="Arial"/>
          <w:sz w:val="17"/>
          <w:szCs w:val="17"/>
          <w:b w:val="1"/>
          <w:bCs w:val="1"/>
          <w:i w:val="1"/>
          <w:iCs w:val="1"/>
          <w:color w:val="auto"/>
        </w:rPr>
        <w:t>TVA</w:t>
      </w:r>
      <w:r>
        <w:rPr>
          <w:rFonts w:ascii="Arial" w:cs="Arial" w:eastAsia="Arial" w:hAnsi="Arial"/>
          <w:sz w:val="17"/>
          <w:szCs w:val="17"/>
          <w:color w:val="auto"/>
        </w:rPr>
        <w:t xml:space="preserve">”) in connection with PUREgraphite Tenant’s operations at, and/or investments in, the Property, which incentive is anticipated to be applied as credits to monthly power bills over a period not to exceed five (5) years, and/or (c) an economic development incentive in the amount of approximately $255,000 from the TVA in the form of a grant that may be used, </w:t>
      </w:r>
      <w:r>
        <w:rPr>
          <w:rFonts w:ascii="Arial" w:cs="Arial" w:eastAsia="Arial" w:hAnsi="Arial"/>
          <w:sz w:val="17"/>
          <w:szCs w:val="17"/>
          <w:i w:val="1"/>
          <w:iCs w:val="1"/>
          <w:color w:val="auto"/>
        </w:rPr>
        <w:t>inter alia</w:t>
      </w:r>
      <w:r>
        <w:rPr>
          <w:rFonts w:ascii="Arial" w:cs="Arial" w:eastAsia="Arial" w:hAnsi="Arial"/>
          <w:sz w:val="17"/>
          <w:szCs w:val="17"/>
          <w:color w:val="auto"/>
        </w:rPr>
        <w:t>, for public or private infrastructure development, the purchase of fixed assets or energy efficiency. Neither Borrower nor the Property will have any liability in connection with the Tenant Additional Incentives, including, without limitation, as the result of any failure by PUREgraphite Tenant to satisfy any obligations in connection with such Tenant Additional Incentives. PUREgraphite Tenant’s obligations pursuant to the PUREgraphite Lease (x) are not contingent upon PUREgraphite Tenant’s receipt of any such Tenant Additional Incentives and (y) will not be materially impaired and/or otherwise affected in any material respect by any failure by PUREgraphite Tenant to receive all or any portion of the Tenant Additional Incentives.</w:t>
      </w:r>
    </w:p>
    <w:p>
      <w:pPr>
        <w:spacing w:after="0" w:line="17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3.1.37 </w:t>
      </w:r>
      <w:r>
        <w:rPr>
          <w:rFonts w:ascii="Arial" w:cs="Arial" w:eastAsia="Arial" w:hAnsi="Arial"/>
          <w:sz w:val="18"/>
          <w:szCs w:val="18"/>
          <w:b w:val="1"/>
          <w:bCs w:val="1"/>
          <w:u w:val="single" w:color="auto"/>
          <w:color w:val="auto"/>
        </w:rPr>
        <w:t>Illegal Activity</w:t>
      </w:r>
      <w:r>
        <w:rPr>
          <w:rFonts w:ascii="Arial" w:cs="Arial" w:eastAsia="Arial" w:hAnsi="Arial"/>
          <w:sz w:val="18"/>
          <w:szCs w:val="18"/>
          <w:color w:val="auto"/>
        </w:rPr>
        <w:t>. No portion of the Property has been or will be purchased with proceeds of any illegal activity and to the best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knowledge, there are no illegal commercial activities or commercial activities relating to controlled substances at the Property (including, without limitation, any growing, distributing and/or dispensing of marijuana for commercial purposes, medical or otherwise for so long as the foregoing is a violation of a Legal Requirement of any applicable Governmental Authority).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7" w:name="page328"/>
    <w:bookmarkEnd w:id="327"/>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Survival of Representations</w:t>
      </w:r>
      <w:r>
        <w:rPr>
          <w:rFonts w:ascii="Arial" w:cs="Arial" w:eastAsia="Arial" w:hAnsi="Arial"/>
          <w:sz w:val="18"/>
          <w:szCs w:val="18"/>
          <w:color w:val="auto"/>
        </w:rPr>
        <w:t>. The representations and warranties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b w:val="1"/>
          <w:bCs w:val="1"/>
          <w:color w:val="auto"/>
        </w:rPr>
        <w:t xml:space="preserve"> </w:t>
      </w:r>
      <w:r>
        <w:rPr>
          <w:rFonts w:ascii="Arial" w:cs="Arial" w:eastAsia="Arial" w:hAnsi="Arial"/>
          <w:sz w:val="18"/>
          <w:szCs w:val="18"/>
          <w:color w:val="auto"/>
        </w:rPr>
        <w:t>and elsewhere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shall (i) survive until the Obligations have been paid and performed in full and (ii) be deemed to have been relied upon by Lender notwithstanding any investigation heretofore or hereafter made by Lender or on its behalf.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BORROWER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Until the end of the Term, Borrower hereby covenants and agrees with Lender that:</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Payment and Performance of Obligations</w:t>
      </w:r>
      <w:r>
        <w:rPr>
          <w:rFonts w:ascii="Arial" w:cs="Arial" w:eastAsia="Arial" w:hAnsi="Arial"/>
          <w:sz w:val="18"/>
          <w:szCs w:val="18"/>
          <w:color w:val="auto"/>
        </w:rPr>
        <w:t>. Borrower shall pay and otherwise perform the Obligations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and the other Loan Documents.</w:t>
      </w:r>
    </w:p>
    <w:p>
      <w:pPr>
        <w:spacing w:after="0" w:line="1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Due on Sale and Encumbrance; Transfers of Interests</w:t>
      </w:r>
      <w:r>
        <w:rPr>
          <w:rFonts w:ascii="Arial" w:cs="Arial" w:eastAsia="Arial" w:hAnsi="Arial"/>
          <w:sz w:val="16"/>
          <w:szCs w:val="16"/>
          <w:color w:val="auto"/>
        </w:rPr>
        <w:t>. Borrower acknowledges that Lender has examined and relied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experience of Borrower and its stockholders, general partners and members, as applicable, and principals of Borrower in owning and operating properties such as the Property in agreeing to make the Loan, and will continue to rely on Borrower’s ownership of the Property as a means of maintaining the value of the Property as security for repayment of the Debt and the performance of the Other Obligations. Borrower acknowledges that Lender has a valid interest in maintaining the value of the Property so as to ensure that, should Borrower default in the repayment of the Debt or the performance of the Other Obligations, Lender can recover the Debt by a sale of the Property. Therefore, without the prior written consent of Lender, but, in each instance, subject to the provisions of </w:t>
      </w:r>
      <w:r>
        <w:rPr>
          <w:rFonts w:ascii="Arial" w:cs="Arial" w:eastAsia="Arial" w:hAnsi="Arial"/>
          <w:sz w:val="16"/>
          <w:szCs w:val="16"/>
          <w:u w:val="single" w:color="auto"/>
          <w:color w:val="auto"/>
        </w:rPr>
        <w:t>Article 7</w:t>
      </w:r>
      <w:r>
        <w:rPr>
          <w:rFonts w:ascii="Arial" w:cs="Arial" w:eastAsia="Arial" w:hAnsi="Arial"/>
          <w:sz w:val="16"/>
          <w:szCs w:val="16"/>
          <w:color w:val="auto"/>
        </w:rPr>
        <w:t>, neither Borrower nor any other Person having a direct or indirect ownership or beneficial interest in Borrower shall sell, convey, mortgage, grant, bargain, encumber, pledge, assign or transfer the Property or any part thereof, or any interest, direct or indirect, in Borrower, whether voluntarily or involuntarily or enter into or subject the Property to a PACE Loan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xml:space="preserve">”). A Transfer within the meaning of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be deemed to include (i) an installment sales agreement wherein Borrower agrees to sell the Property or any part thereof for a price to be paid in installments;</w:t>
      </w:r>
    </w:p>
    <w:p>
      <w:pPr>
        <w:spacing w:after="0" w:line="1" w:lineRule="exact"/>
        <w:rPr>
          <w:sz w:val="20"/>
          <w:szCs w:val="20"/>
          <w:color w:val="auto"/>
        </w:rPr>
      </w:pPr>
    </w:p>
    <w:p>
      <w:pPr>
        <w:ind w:firstLine="8"/>
        <w:spacing w:after="0" w:line="267" w:lineRule="auto"/>
        <w:tabs>
          <w:tab w:leader="none" w:pos="27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an agreement by Borrower for the leasing of all or a substantial part of the Property for any purpose other than the actual occupancy by a space Tenant thereunder or a sale, assignment or other transfer of, or the grant of a security interest in, Borrower’s right, title and interest in and to any Leases, Rents or other Gross Revenue; (iii) with respect to any corporation, the voluntary or involuntary sale, conveyance or transfer of such corporation’s stock (or the stock of any corporation directly or indirectly controlling such corporation by operation of law or otherwise) or the creation or issuance of new stock; (iv) with respect to any limited or general partnership, joint venture or limited liability company, or trust or other association, the change, removal, resignation or addition of a general partner, managing member, non-managing member, limited partner, joint venturer or member or beneficial or other interest, the transfer of the partnership interest of any general partner or limited partner, the transfer of the interest of any joint venturer or member or beneficial or other direct or indirect ownership interest or the creation or issuance of new membership or partnership interests or beneficial or other ownership interests; (v) with respect to any limited liability company, the division (whether pursuant to Section 18-217 of the Act or otherwise) of any assets and liabilities of such entity amongst one or more new or existing entities; (vi) any action or occurrence which results in Key Principal no longer Controlling Borrower, (vii) any surrender, termination, cancellation, change, amendment, supplementation or other modification of the Ground Lease; (viii) any pledge, hypothecation, assignment, transfer or other encumbrance of any direct or indirect ownership interest in Borrower; and (ix) any exercise of any right of first refusal, right of first offer or other similar right to acquire and/or lease any additional real property, in each case, pursuant to the West End Supplemental Agreement (as defined on </w:t>
      </w:r>
      <w:r>
        <w:rPr>
          <w:rFonts w:ascii="Arial" w:cs="Arial" w:eastAsia="Arial" w:hAnsi="Arial"/>
          <w:sz w:val="17"/>
          <w:szCs w:val="17"/>
          <w:u w:val="single" w:color="auto"/>
          <w:color w:val="auto"/>
        </w:rPr>
        <w:t>Schedule XIII</w:t>
      </w:r>
      <w:r>
        <w:rPr>
          <w:rFonts w:ascii="Arial" w:cs="Arial" w:eastAsia="Arial" w:hAnsi="Arial"/>
          <w:sz w:val="17"/>
          <w:szCs w:val="17"/>
          <w:color w:val="auto"/>
        </w:rPr>
        <w:t xml:space="preserve"> hereto).</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8" w:name="page329"/>
    <w:bookmarkEnd w:id="328"/>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Liens</w:t>
      </w:r>
      <w:r>
        <w:rPr>
          <w:rFonts w:ascii="Arial" w:cs="Arial" w:eastAsia="Arial" w:hAnsi="Arial"/>
          <w:sz w:val="16"/>
          <w:szCs w:val="16"/>
          <w:color w:val="auto"/>
        </w:rPr>
        <w:t>. Borrower shall not create, incur, assume or permit to exist any Lien on any direct or indirect interest in Borrower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the Property, except for the Permitted Encumbrances. After prior notice to Lender, Borrower, at its own expense, may contest by appropriate legal proceeding, conducted in good faith and with due diligence, the amount or validity of any Liens on the Property, provided that (i) no Event of Default has occurred and remains uncured; (ii) such proceeding shall be permitted under and be conducted in accordance with all applicable statutes, laws and ordinances; (iii) neither the Property nor any part thereof or interest therein will be in danger of being sold, forfeited, terminated, canceled or lost; (iv)</w:t>
      </w: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Borrower shall promptly upon final determination thereof pay the amount of any such Liens, together with all costs, interest and penalties which may be payable in connection therewith; (v) to insure the payment of such Liens, Borrower shall deliver to Lender either (A) cash in an amount equal to one hundred twenty-five percent (125%) of the contested amount or (B) a payment bond in an amount equal to one hundred percent (100%) of the contested amount from a surety acceptable to Lender in its reasonable discretion, (vi) failure to pay such Liens will not subject Lender to any civil or criminal liability, (vii) such contest shall not affect the ownership, use or occupancy of the Property, and (viii) Borrower shall, upon request by Lender, give Lender prompt notice of the status of such proceedings and/or confirmation of the continuing satisfaction of the conditions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4.3</w:t>
      </w:r>
      <w:r>
        <w:rPr>
          <w:rFonts w:ascii="Arial" w:cs="Arial" w:eastAsia="Arial" w:hAnsi="Arial"/>
          <w:sz w:val="16"/>
          <w:szCs w:val="16"/>
          <w:color w:val="auto"/>
        </w:rPr>
        <w:t>. Lender may pay over any such cash or other security held by Lender to the claimant entitled thereto at any time when, in the reasonable judgment of Lender, the entitlement of such claimant is established or the Property (or any part thereof or interest therein) shall be in danger of being sold, forfeited, terminated, cancelled or lost or there shall be any danger of the Lien of the Mortgage being primed by any related Lien.</w:t>
      </w:r>
    </w:p>
    <w:p>
      <w:pPr>
        <w:spacing w:after="0" w:line="1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Special Purpose</w:t>
      </w:r>
      <w:r>
        <w:rPr>
          <w:rFonts w:ascii="Arial" w:cs="Arial" w:eastAsia="Arial" w:hAnsi="Arial"/>
          <w:sz w:val="17"/>
          <w:szCs w:val="17"/>
          <w:color w:val="auto"/>
        </w:rPr>
        <w:t>. Without in any way limiting the provisions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color w:val="auto"/>
        </w:rPr>
        <w:t>, Borrower shall at all times be a Special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Bankruptcy Remote Entity. Borrower shall not directly or indirectly make any change, amendment or modification to its organizational documents, or otherwise take any action which could result in Borrower not being a Special Purpose Bankruptcy Remote Entity.</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Existence; Compliance with Legal Requirements</w:t>
      </w:r>
      <w:r>
        <w:rPr>
          <w:rFonts w:ascii="Arial" w:cs="Arial" w:eastAsia="Arial" w:hAnsi="Arial"/>
          <w:sz w:val="18"/>
          <w:szCs w:val="18"/>
          <w:color w:val="auto"/>
        </w:rPr>
        <w:t>. Borrower shall do or cause to be done all things necessary to preserve, renew</w:t>
      </w:r>
      <w:r>
        <w:rPr>
          <w:rFonts w:ascii="Arial" w:cs="Arial" w:eastAsia="Arial" w:hAnsi="Arial"/>
          <w:sz w:val="18"/>
          <w:szCs w:val="18"/>
          <w:b w:val="1"/>
          <w:bCs w:val="1"/>
          <w:color w:val="auto"/>
        </w:rPr>
        <w:t xml:space="preserve"> </w:t>
      </w:r>
      <w:r>
        <w:rPr>
          <w:rFonts w:ascii="Arial" w:cs="Arial" w:eastAsia="Arial" w:hAnsi="Arial"/>
          <w:sz w:val="18"/>
          <w:szCs w:val="18"/>
          <w:color w:val="auto"/>
        </w:rPr>
        <w:t>and keep in full force and effect its existence and all rights, licenses, permits, franchises and all applicable governmental authorizations necessary for the operation of the Property and comply with all Legal Requirements applicable to it and the Property.</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9" w:name="page330"/>
    <w:bookmarkEnd w:id="329"/>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Taxes and Other Charges</w:t>
      </w:r>
      <w:r>
        <w:rPr>
          <w:rFonts w:ascii="Arial" w:cs="Arial" w:eastAsia="Arial" w:hAnsi="Arial"/>
          <w:sz w:val="16"/>
          <w:szCs w:val="16"/>
          <w:color w:val="auto"/>
        </w:rPr>
        <w:t>. Borrower shall pay all Taxes and Other Charges now or hereafter levied, assessed or imposed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same become due and payable, and shall furnish to Lender receipts for the payment of the Taxes and the Other Charges prior to the date the same shall become delinquent (provided, however, that Borrower need not pay Taxes directly nor furnish such receipts for payment of Taxes to the extent that funds to pay for such Taxes have been deposited into the Tax Account pursuant to </w:t>
      </w:r>
      <w:r>
        <w:rPr>
          <w:rFonts w:ascii="Arial" w:cs="Arial" w:eastAsia="Arial" w:hAnsi="Arial"/>
          <w:sz w:val="16"/>
          <w:szCs w:val="16"/>
          <w:u w:val="single" w:color="auto"/>
          <w:color w:val="auto"/>
        </w:rPr>
        <w:t>Section 6.3</w:t>
      </w:r>
      <w:r>
        <w:rPr>
          <w:rFonts w:ascii="Arial" w:cs="Arial" w:eastAsia="Arial" w:hAnsi="Arial"/>
          <w:sz w:val="16"/>
          <w:szCs w:val="16"/>
          <w:color w:val="auto"/>
        </w:rPr>
        <w:t>). Borrower shall timely file all federal, state, commonwealth, district and local and other tax returns required to be filed and timely pay all federal, state, commonwealth, district and local and other Taxes, assessments fees and other governmental charges levied or imposed upon Borrower or its properties, income or assets or that are otherwise due and payable by Borrower. Borrower shall not permit or suffer, and shall promptly discharge, any Lien or charge against the Property with respect to Taxes and Other Charges, and shall promptly pay for all utility services provided to the Property. After prior notice to Lender, Borrower, at its own expense, may contest by appropriate legal proceeding, conducted in good faith and with due diligence, the amount or validity of any Taxes or Other Charges, provided that (i) no Default or Event of Default has occurred and remains uncured; (ii) such proceeding shall be permitted under and be conducted in accordance with all applicable statutes, laws and ordinances; (iii) neither the Property nor any part thereof or interest therein will be in danger of being sold, forfeited, terminated, canceled or lost; (iv) Borrower shall promptly upon final determination thereof pay the amount of any such Taxes or Other Charges, together with all costs, interest and penalties which may be payable in connection therewith; (v) such proceeding shall suspend the collection of Taxes or Other Charges from the Property; (vi) Borrower shall deposit with Lender cash or such other security as may be approved by Lender in an amount equal to one hundred twenty-five percent (125%) of the contested amount, to insure the payment of any such Taxes or Other Charges, together with all interest and penalties thereon,</w:t>
      </w:r>
    </w:p>
    <w:p>
      <w:pPr>
        <w:spacing w:after="0" w:line="4" w:lineRule="exact"/>
        <w:rPr>
          <w:sz w:val="20"/>
          <w:szCs w:val="20"/>
          <w:color w:val="auto"/>
        </w:rPr>
      </w:pPr>
    </w:p>
    <w:p>
      <w:pPr>
        <w:jc w:val="both"/>
        <w:ind w:firstLine="8"/>
        <w:spacing w:after="0" w:line="270" w:lineRule="auto"/>
        <w:tabs>
          <w:tab w:leader="none" w:pos="539"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failure to pay such Taxes or Other Charges will not subject Lender to any civil or criminal liability, (viii) such contest shall not affect the ownership, use or occupancy of the Property, and (ix) Borrower shall, upon request by Lender, give Lender prompt notice of the status of such proceedings and/or confirmation of the continuing satisfaction of the conditions set forth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4.6</w:t>
      </w:r>
      <w:r>
        <w:rPr>
          <w:rFonts w:ascii="Arial" w:cs="Arial" w:eastAsia="Arial" w:hAnsi="Arial"/>
          <w:sz w:val="17"/>
          <w:szCs w:val="17"/>
          <w:color w:val="auto"/>
        </w:rPr>
        <w:t>. Lender may pay over any such cash or other security held by Lender to the claimant entitled thereto at any time when, in the good faith judgment of Lender, the entitlement of such claimant is established or the Property (or any part thereof or interest therein) shall be in imminent danger of being sold, forfeited, terminated cancelled or lost or there shall be any danger of the Lien of the Mortgage being primed by any related Lien.</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Borrower shall give prompt notice to Lender of any litigation or governmental proceedings pending or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the Property, Borrower, Manager, or Guarantor which, if adversely determined against the Property, Borrower, Manager or Guarantor, as applicable, would be reasonably likely to materially adversely affect the Property or Borrower’s, Manager’s, or Guarantor’s condition (financial or otherwise) or business (including Borrower’s ability to perform its Obligations hereunder or under the other Loan Documents).</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Title to the Property</w:t>
      </w:r>
      <w:r>
        <w:rPr>
          <w:rFonts w:ascii="Arial" w:cs="Arial" w:eastAsia="Arial" w:hAnsi="Arial"/>
          <w:sz w:val="18"/>
          <w:szCs w:val="18"/>
          <w:color w:val="auto"/>
        </w:rPr>
        <w:t>. Borrower shall warrant and defend (a) its title to the Property and every part thereof, subject only to</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Encumbrances and (b) the validity and priority of the Liens of the Mortgage, the Assignment of Leases and this Agreement on the Property, subject only to Permitted Encumbrances, in each case against the claims of all Persons whomsoever. Borrower shall reimburse Lender for any losses, costs, damages or expenses (including reasonable attorneys’ fees and court costs) incurred by Lender if an interest in the Property, other than as permitted hereunder, is claimed by another Person.</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0" w:name="page331"/>
    <w:bookmarkEnd w:id="330"/>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6"/>
          <w:szCs w:val="16"/>
          <w:b w:val="1"/>
          <w:bCs w:val="1"/>
          <w:u w:val="single" w:color="auto"/>
          <w:color w:val="auto"/>
        </w:rPr>
        <w:t>Financial Reporting</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 xml:space="preserve">4.9.1 </w:t>
      </w:r>
      <w:r>
        <w:rPr>
          <w:rFonts w:ascii="Arial" w:cs="Arial" w:eastAsia="Arial" w:hAnsi="Arial"/>
          <w:sz w:val="18"/>
          <w:szCs w:val="18"/>
          <w:b w:val="1"/>
          <w:bCs w:val="1"/>
          <w:u w:val="single" w:color="auto"/>
          <w:color w:val="auto"/>
        </w:rPr>
        <w:t>Generally</w:t>
      </w:r>
      <w:r>
        <w:rPr>
          <w:rFonts w:ascii="Arial" w:cs="Arial" w:eastAsia="Arial" w:hAnsi="Arial"/>
          <w:sz w:val="18"/>
          <w:szCs w:val="18"/>
          <w:color w:val="auto"/>
        </w:rPr>
        <w:t>. Borrower shall keep and maintain or will cause to be kept and maintained proper and accurate books and records,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the Acceptable Accounting Method, and, to the extent required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hereof, the requirements of Regulation AB, reflecting the financial affairs of Borrower and all items of income and expense in connection with the operation of the Property. Lender shall have the right from time to time during normal business hours upon reasonable notice (which may be given verbally) to Borrower to examine such books and records at the office of Borrower or other Person maintaining such books and records and to make such copies or extracts thereof as Lender shall desire. After an Event of Default, Borrower shall pay any costs incurred by Lender to examine such books, records and accounts, as Lender shall determine to be necessary or appropriate in the protection of Lender’s interest.</w:t>
      </w:r>
    </w:p>
    <w:p>
      <w:pPr>
        <w:spacing w:after="0" w:line="189"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4.9.2 </w:t>
      </w:r>
      <w:r>
        <w:rPr>
          <w:rFonts w:ascii="Arial" w:cs="Arial" w:eastAsia="Arial" w:hAnsi="Arial"/>
          <w:sz w:val="18"/>
          <w:szCs w:val="18"/>
          <w:b w:val="1"/>
          <w:bCs w:val="1"/>
          <w:u w:val="single" w:color="auto"/>
          <w:color w:val="auto"/>
        </w:rPr>
        <w:t>Quarterly Reports</w:t>
      </w:r>
      <w:r>
        <w:rPr>
          <w:rFonts w:ascii="Arial" w:cs="Arial" w:eastAsia="Arial" w:hAnsi="Arial"/>
          <w:sz w:val="18"/>
          <w:szCs w:val="18"/>
          <w:color w:val="auto"/>
        </w:rPr>
        <w:t>. Not later than forty-five (45) days following the end of each fiscal quarter (or not later than thirty (30) days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end of each calendar month prior to a Securitization of the Loan), Borrower shall deliver to Lender:</w:t>
      </w:r>
    </w:p>
    <w:p>
      <w:pPr>
        <w:spacing w:after="0" w:line="166" w:lineRule="exact"/>
        <w:rPr>
          <w:sz w:val="20"/>
          <w:szCs w:val="20"/>
          <w:color w:val="auto"/>
        </w:rPr>
      </w:pPr>
    </w:p>
    <w:p>
      <w:pPr>
        <w:jc w:val="both"/>
        <w:ind w:left="660" w:firstLine="1292"/>
        <w:spacing w:after="0" w:line="268" w:lineRule="auto"/>
        <w:tabs>
          <w:tab w:leader="none" w:pos="2814" w:val="left"/>
        </w:tabs>
        <w:numPr>
          <w:ilvl w:val="0"/>
          <w:numId w:val="346"/>
        </w:numPr>
        <w:rPr>
          <w:rFonts w:ascii="Arial" w:cs="Arial" w:eastAsia="Arial" w:hAnsi="Arial"/>
          <w:sz w:val="17"/>
          <w:szCs w:val="17"/>
          <w:color w:val="auto"/>
        </w:rPr>
      </w:pPr>
      <w:r>
        <w:rPr>
          <w:rFonts w:ascii="Arial" w:cs="Arial" w:eastAsia="Arial" w:hAnsi="Arial"/>
          <w:sz w:val="17"/>
          <w:szCs w:val="17"/>
          <w:color w:val="auto"/>
        </w:rPr>
        <w:t>unaudited financial statements, internally prepared on an accrual basis including a balance sheet and profit and loss statement as of the end of such quarter (or month) and for the corresponding quarter (or month) of the previous year, a statement of revenues and expenses for such quarter (or month) and the year to date, a statement of aging trade payables for the Property setting forth the payee, amount and date incurred of each unpaid trade payable, and a comparison of the year to date results with (i) the results for the same period of the previous year, (ii) the results that had been projected by Borrower for such period and (iii) the Annual Budget for such period and the Fiscal Year. Such statements for each quarter (or month) shall be accompanied by an Officer’s Certificate certifying (A) that such statements fairly represent the financial condition and results of operations of Borrower, (B) that as of the date of such Officer’s Certificate, no Event of Default exists under this Agreement, the Note or any other Loan Document or, if so, specifying the nature and status of each such Event of Default and the action then being taken by Borrower or proposed to be taken to remedy such Event of Default, (C) that as of the date of each Officer’s Certificate, no litigation exists involving Borrower or the Property in which the amount involved is $1,000,000 (in the aggregate) or more or in which all or substantially all of the potential liability is not covered by insurance, or, if so, specifying such litigation and the actions being taking in relation thereto and (D) the amount by which actual operating expenses were greater than or less than the operating expenses anticipated in the applicable Annual Budget. Such financial statements shall contain such other information as shall be reasonably requested by Lender for purposes of calculations to be made by Lender pursuant to the terms hereof;</w:t>
      </w:r>
    </w:p>
    <w:p>
      <w:pPr>
        <w:spacing w:after="0" w:line="184" w:lineRule="exact"/>
        <w:rPr>
          <w:rFonts w:ascii="Arial" w:cs="Arial" w:eastAsia="Arial" w:hAnsi="Arial"/>
          <w:sz w:val="17"/>
          <w:szCs w:val="17"/>
          <w:color w:val="auto"/>
        </w:rPr>
      </w:pPr>
    </w:p>
    <w:p>
      <w:pPr>
        <w:jc w:val="both"/>
        <w:ind w:left="660" w:firstLine="1292"/>
        <w:spacing w:after="0" w:line="287" w:lineRule="auto"/>
        <w:tabs>
          <w:tab w:leader="none" w:pos="281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 true, correct and complete rent roll for the Property, dated as of the last month of such fiscal quarter (or month), showing the percentage of gross leasable area of the Property, if any, leased as of the last day of the preceding calendar quarter (or month), the current annual rent for the Property, the expiration date of each Lease, whether to Borrower’s knowledge any portion of the Property has been</w:t>
      </w:r>
    </w:p>
    <w:p>
      <w:pPr>
        <w:spacing w:after="0" w:line="2" w:lineRule="exact"/>
        <w:rPr>
          <w:sz w:val="20"/>
          <w:szCs w:val="20"/>
          <w:color w:val="auto"/>
        </w:rPr>
      </w:pPr>
    </w:p>
    <w:p>
      <w:pPr>
        <w:jc w:val="both"/>
        <w:ind w:left="660"/>
        <w:spacing w:after="0" w:line="281" w:lineRule="auto"/>
        <w:rPr>
          <w:sz w:val="20"/>
          <w:szCs w:val="20"/>
          <w:color w:val="auto"/>
        </w:rPr>
      </w:pPr>
      <w:r>
        <w:rPr>
          <w:rFonts w:ascii="Arial" w:cs="Arial" w:eastAsia="Arial" w:hAnsi="Arial"/>
          <w:sz w:val="16"/>
          <w:szCs w:val="16"/>
          <w:color w:val="auto"/>
        </w:rPr>
        <w:t>sublet, and if it has, the name of the subtenant, and such rent roll shall be accompanied by an Officer’s Certificate (A) certifying that such rent roll is true, correct and complete in all material respects as of its date, (B) stating whether Borrower, within the past three (3) months, has issued a notice of default with respect to any Lease which has not been cured and the nature of such default, and (C) stating whether, within the past three</w:t>
      </w:r>
    </w:p>
    <w:p>
      <w:pPr>
        <w:spacing w:after="0" w:line="2" w:lineRule="exact"/>
        <w:rPr>
          <w:sz w:val="20"/>
          <w:szCs w:val="20"/>
          <w:color w:val="auto"/>
        </w:rPr>
      </w:pPr>
    </w:p>
    <w:p>
      <w:pPr>
        <w:ind w:left="5500" w:right="1620" w:hanging="4844"/>
        <w:spacing w:after="0" w:line="495" w:lineRule="auto"/>
        <w:tabs>
          <w:tab w:leader="none" w:pos="90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months, any Tenant has “gone dark” or Borrower has received a notice from any Tenant of its intention to “go dark”; and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1" w:name="page332"/>
    <w:bookmarkEnd w:id="331"/>
    <w:p>
      <w:pPr>
        <w:jc w:val="both"/>
        <w:ind w:left="660" w:firstLine="1292"/>
        <w:spacing w:after="0" w:line="279" w:lineRule="auto"/>
        <w:tabs>
          <w:tab w:leader="none" w:pos="286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an Officer’s Certificate certifying (A) the total number of jobs at the Property that may be utilized to satisfy the Minimum Jobs Requirement (as defined in the PILOT Agreement) pursuant to and in accordance with the PILOT Agreement, including the average annual salary of such jobs, and (B) the aggregate amount of capital expenditures at the Property that may be utilized to satisfy the Minimum Investment Requirement (as defined in the PILOT Agreement) pursuant to and in accordance with the PILOT Agreement.</w:t>
      </w:r>
    </w:p>
    <w:p>
      <w:pPr>
        <w:spacing w:after="0" w:line="16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4.9.3</w:t>
      </w:r>
      <w:r>
        <w:rPr>
          <w:sz w:val="20"/>
          <w:szCs w:val="20"/>
          <w:color w:val="auto"/>
        </w:rPr>
        <w:tab/>
      </w:r>
      <w:r>
        <w:rPr>
          <w:rFonts w:ascii="Arial" w:cs="Arial" w:eastAsia="Arial" w:hAnsi="Arial"/>
          <w:sz w:val="16"/>
          <w:szCs w:val="16"/>
          <w:b w:val="1"/>
          <w:bCs w:val="1"/>
          <w:u w:val="single" w:color="auto"/>
          <w:color w:val="auto"/>
        </w:rPr>
        <w:t>Annual Reports</w:t>
      </w:r>
      <w:r>
        <w:rPr>
          <w:rFonts w:ascii="Arial" w:cs="Arial" w:eastAsia="Arial" w:hAnsi="Arial"/>
          <w:sz w:val="16"/>
          <w:szCs w:val="16"/>
          <w:color w:val="auto"/>
        </w:rPr>
        <w:t>. Borrower shall deliver to Lender:</w:t>
      </w:r>
    </w:p>
    <w:p>
      <w:pPr>
        <w:spacing w:after="0" w:line="229" w:lineRule="exact"/>
        <w:rPr>
          <w:sz w:val="20"/>
          <w:szCs w:val="20"/>
          <w:color w:val="auto"/>
        </w:rPr>
      </w:pPr>
    </w:p>
    <w:p>
      <w:pPr>
        <w:jc w:val="both"/>
        <w:ind w:left="660" w:firstLine="1292"/>
        <w:spacing w:after="0" w:line="273" w:lineRule="auto"/>
        <w:tabs>
          <w:tab w:leader="none" w:pos="2763" w:val="left"/>
        </w:tabs>
        <w:numPr>
          <w:ilvl w:val="0"/>
          <w:numId w:val="349"/>
        </w:numPr>
        <w:rPr>
          <w:rFonts w:ascii="Arial" w:cs="Arial" w:eastAsia="Arial" w:hAnsi="Arial"/>
          <w:sz w:val="17"/>
          <w:szCs w:val="17"/>
          <w:color w:val="auto"/>
        </w:rPr>
      </w:pPr>
      <w:r>
        <w:rPr>
          <w:rFonts w:ascii="Arial" w:cs="Arial" w:eastAsia="Arial" w:hAnsi="Arial"/>
          <w:sz w:val="17"/>
          <w:szCs w:val="17"/>
          <w:color w:val="auto"/>
        </w:rPr>
        <w:t xml:space="preserve">Not later than seventy-five (75) days after the end of each Fiscal Year of Borrower’s operations, unaudited financial statements, internally prepared on an accrual basis, covering the Property, including a balance sheet as of the end of such year, a statement of revenues and expenses for such year and the fourth quarter thereof, and stating in comparative form the figures for the previous Fiscal Year and the Annual Budget for such Fiscal Year, as well as the supplemental schedule of net income or loss presenting the net income or loss for the Property and occupancy statistics for the Property, and copies of all federal income tax returns to be filed. Such annual financial statements shall be accompanied by an Officer’s Certificate in the form required pursuant to </w:t>
      </w:r>
      <w:r>
        <w:rPr>
          <w:rFonts w:ascii="Arial" w:cs="Arial" w:eastAsia="Arial" w:hAnsi="Arial"/>
          <w:sz w:val="17"/>
          <w:szCs w:val="17"/>
          <w:u w:val="single" w:color="auto"/>
          <w:color w:val="auto"/>
        </w:rPr>
        <w:t>Section 4.9.2(i)</w:t>
      </w:r>
      <w:r>
        <w:rPr>
          <w:rFonts w:ascii="Arial" w:cs="Arial" w:eastAsia="Arial" w:hAnsi="Arial"/>
          <w:sz w:val="17"/>
          <w:szCs w:val="17"/>
          <w:color w:val="auto"/>
        </w:rPr>
        <w:t xml:space="preserve"> above;</w:t>
      </w:r>
    </w:p>
    <w:p>
      <w:pPr>
        <w:spacing w:after="0" w:line="177" w:lineRule="exact"/>
        <w:rPr>
          <w:rFonts w:ascii="Arial" w:cs="Arial" w:eastAsia="Arial" w:hAnsi="Arial"/>
          <w:sz w:val="17"/>
          <w:szCs w:val="17"/>
          <w:color w:val="auto"/>
        </w:rPr>
      </w:pPr>
    </w:p>
    <w:p>
      <w:pPr>
        <w:jc w:val="both"/>
        <w:ind w:left="660" w:firstLine="1292"/>
        <w:spacing w:after="0" w:line="254" w:lineRule="auto"/>
        <w:tabs>
          <w:tab w:leader="none" w:pos="291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Not later than ninety (90) days after the end of each Fiscal Year of Borrower’s operations, financial statements reviewed by an Independent Accountant in accordance with the Acceptable Accounting Method, and, to the extent required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hereof, the requirements of Regulation AB, covering the Property, including a balance sheet as of the end of such year, a statement of revenues and expenses for such year and the fourth quarter thereof, and stating in comparative form the figures for the previous Fiscal Year, as well as the supplemental schedule of net income or loss presenting the net income or loss for the Property and occupancy statistics for the Property, and copies of all federal income tax returns to be filed. Such annual financial statements shall be accompanied by an Officer’s Certificate in the form required pursuant to </w:t>
      </w:r>
      <w:r>
        <w:rPr>
          <w:rFonts w:ascii="Arial" w:cs="Arial" w:eastAsia="Arial" w:hAnsi="Arial"/>
          <w:sz w:val="18"/>
          <w:szCs w:val="18"/>
          <w:u w:val="single" w:color="auto"/>
          <w:color w:val="auto"/>
        </w:rPr>
        <w:t>Section 4.9.2(i)</w:t>
      </w:r>
      <w:r>
        <w:rPr>
          <w:rFonts w:ascii="Arial" w:cs="Arial" w:eastAsia="Arial" w:hAnsi="Arial"/>
          <w:sz w:val="18"/>
          <w:szCs w:val="18"/>
          <w:color w:val="auto"/>
        </w:rPr>
        <w:t xml:space="preserve"> above; and</w:t>
      </w:r>
    </w:p>
    <w:p>
      <w:pPr>
        <w:spacing w:after="0" w:line="194" w:lineRule="exact"/>
        <w:rPr>
          <w:rFonts w:ascii="Arial" w:cs="Arial" w:eastAsia="Arial" w:hAnsi="Arial"/>
          <w:sz w:val="18"/>
          <w:szCs w:val="18"/>
          <w:color w:val="auto"/>
        </w:rPr>
      </w:pPr>
    </w:p>
    <w:p>
      <w:pPr>
        <w:ind w:left="660" w:right="20" w:firstLine="1292"/>
        <w:spacing w:after="0" w:line="277" w:lineRule="auto"/>
        <w:tabs>
          <w:tab w:leader="none" w:pos="275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Not later than ninety (90) days after the end of each Fiscal Year of Borrower’s operations, an annual summary of any and all Capital Expenditures made at the Property during the prior twelve (12) month period.</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4.9.4</w:t>
      </w:r>
      <w:r>
        <w:rPr>
          <w:sz w:val="20"/>
          <w:szCs w:val="20"/>
          <w:color w:val="auto"/>
        </w:rPr>
        <w:tab/>
      </w:r>
      <w:r>
        <w:rPr>
          <w:rFonts w:ascii="Arial" w:cs="Arial" w:eastAsia="Arial" w:hAnsi="Arial"/>
          <w:sz w:val="16"/>
          <w:szCs w:val="16"/>
          <w:b w:val="1"/>
          <w:bCs w:val="1"/>
          <w:u w:val="single" w:color="auto"/>
          <w:color w:val="auto"/>
        </w:rPr>
        <w:t>Other Reports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63" w:lineRule="auto"/>
        <w:tabs>
          <w:tab w:leader="none" w:pos="203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Borrower shall deliver to Lender, within fifteen (15) Business Days of the receipt thereof by Borrower, a copy of all reports prepared by Manager (if any) pursuant to the Management Agreement (if any), including, without limitation, the Annual Budget and any inspection reports.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2" w:name="page333"/>
    <w:bookmarkEnd w:id="332"/>
    <w:p>
      <w:pPr>
        <w:jc w:val="both"/>
        <w:ind w:firstLine="1304"/>
        <w:spacing w:after="0" w:line="259" w:lineRule="auto"/>
        <w:tabs>
          <w:tab w:leader="none" w:pos="201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Borrower shall, within fifteen (15) Business Days after request by Lender or, if all or part of the Loan is being or has been included in a Securitization, by the Rating Agencies, furnish or cause to be furnished to Lender and, if applicable, the Rating Agencies, in such manner and in such detail as may be reasonably requested by Lender or the Rating Agencies, such reasonable additional information as may be reasonably requested with respect to the Property.</w:t>
      </w:r>
    </w:p>
    <w:p>
      <w:pPr>
        <w:spacing w:after="0" w:line="186" w:lineRule="exact"/>
        <w:rPr>
          <w:rFonts w:ascii="Arial" w:cs="Arial" w:eastAsia="Arial" w:hAnsi="Arial"/>
          <w:sz w:val="18"/>
          <w:szCs w:val="18"/>
          <w:color w:val="auto"/>
        </w:rPr>
      </w:pPr>
    </w:p>
    <w:p>
      <w:pPr>
        <w:ind w:firstLine="1304"/>
        <w:spacing w:after="0" w:line="277" w:lineRule="auto"/>
        <w:tabs>
          <w:tab w:leader="none" w:pos="188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Borrower shall submit to Lender the financial data and financial statements required, and within the time periods required, under </w:t>
      </w:r>
      <w:r>
        <w:rPr>
          <w:rFonts w:ascii="Arial" w:cs="Arial" w:eastAsia="Arial" w:hAnsi="Arial"/>
          <w:sz w:val="18"/>
          <w:szCs w:val="18"/>
          <w:u w:val="single" w:color="auto"/>
          <w:color w:val="auto"/>
        </w:rPr>
        <w:t>clauses (f)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9.1</w:t>
      </w:r>
      <w:r>
        <w:rPr>
          <w:rFonts w:ascii="Arial" w:cs="Arial" w:eastAsia="Arial" w:hAnsi="Arial"/>
          <w:sz w:val="18"/>
          <w:szCs w:val="18"/>
          <w:color w:val="auto"/>
        </w:rPr>
        <w:t>, if and when available.</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188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Borrower shall furnish or cause to be furnished to Lender, upon request, any financial data or financial statements prepared by or on behalf of a Tenant under any Lease Sweep Lease, to the extent such financial data or statements were actually delivered to Borrower, including, without limitation, with respect to (A) the total number of jobs at the Property that may be utilized to satisfy the Minimum Jobs Requirement (as defined in the PILOT Agreement) pursuant to and in accordance with the PILOT Agreement, including the average annual salary of such jobs, and (B) the aggregate amount of capital expenditures at the Property that may be utilized to satisfy the Minimum Investment Requirement (as defined in the PILOT Agreement) pursuant to and in accordance with the PILOT Agreement.</w:t>
      </w:r>
    </w:p>
    <w:p>
      <w:pPr>
        <w:spacing w:after="0" w:line="192" w:lineRule="exact"/>
        <w:rPr>
          <w:rFonts w:ascii="Arial" w:cs="Arial" w:eastAsia="Arial" w:hAnsi="Arial"/>
          <w:sz w:val="18"/>
          <w:szCs w:val="18"/>
          <w:color w:val="auto"/>
        </w:rPr>
      </w:pPr>
    </w:p>
    <w:p>
      <w:pPr>
        <w:jc w:val="both"/>
        <w:ind w:firstLine="1304"/>
        <w:spacing w:after="0" w:line="291" w:lineRule="auto"/>
        <w:tabs>
          <w:tab w:leader="none" w:pos="186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Without limitation of the foregoing, Borrower shall furnish or cause to be furnished to Lender, upon request, any financial data or financial statements reasonably requested by Lender with respect to any Borrower Affiliated Lease (including, without limitation, the PUREgraphite Lease), any Borrower Affiliated Tenant (including, without limitation, PUREgraphite Tenant) and/or any Borrower Affiliated Lease Guarantor (including, without limitation, PUREgraphite Guarantor), including, without limitation, with respect to (A) the total number of jobs at the Property that may be utilized to satisfy the Minimum Jobs Requirement (as defined in the PILOT Agreement) pursuant to and in accordance with the PILOT Agreement, including the average annual salary of such jobs, and (B) the aggregate amount of capital expenditures at the Property that may be utilized to satisfy the Minimum Investment Requirement (as defined in the PILOT Agreement) pursuant to and in accordance with the PILOT Agreement.</w:t>
      </w:r>
    </w:p>
    <w:p>
      <w:pPr>
        <w:spacing w:after="0" w:line="16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b w:val="1"/>
          <w:bCs w:val="1"/>
          <w:color w:val="auto"/>
        </w:rPr>
        <w:t xml:space="preserve">4.9.5 </w:t>
      </w:r>
      <w:r>
        <w:rPr>
          <w:rFonts w:ascii="Arial" w:cs="Arial" w:eastAsia="Arial" w:hAnsi="Arial"/>
          <w:sz w:val="18"/>
          <w:szCs w:val="18"/>
          <w:b w:val="1"/>
          <w:bCs w:val="1"/>
          <w:u w:val="single" w:color="auto"/>
          <w:color w:val="auto"/>
        </w:rPr>
        <w:t>Annual Budget</w:t>
      </w:r>
      <w:r>
        <w:rPr>
          <w:rFonts w:ascii="Arial" w:cs="Arial" w:eastAsia="Arial" w:hAnsi="Arial"/>
          <w:sz w:val="18"/>
          <w:szCs w:val="18"/>
          <w:color w:val="auto"/>
        </w:rPr>
        <w:t>. Borrower shall submit to Lender by June 1 of each year the Annual Budget for the succeeding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continuance of a Trigger Period, Lender shall have the right to approve each Annual Budget (which approval shall not be unreasonably withheld so long as no Event of Default is continuing). Annual Budgets delivered to Lender (other than during the continuance of a Trigger Period) or approved by Lender during the continuance of a Trigger Period) shall hereinafter be referred to as an “</w:t>
      </w:r>
      <w:r>
        <w:rPr>
          <w:rFonts w:ascii="Arial" w:cs="Arial" w:eastAsia="Arial" w:hAnsi="Arial"/>
          <w:sz w:val="18"/>
          <w:szCs w:val="18"/>
          <w:b w:val="1"/>
          <w:bCs w:val="1"/>
          <w:i w:val="1"/>
          <w:iCs w:val="1"/>
          <w:color w:val="auto"/>
        </w:rPr>
        <w:t>Approved Annual Budget</w:t>
      </w:r>
      <w:r>
        <w:rPr>
          <w:rFonts w:ascii="Arial" w:cs="Arial" w:eastAsia="Arial" w:hAnsi="Arial"/>
          <w:sz w:val="18"/>
          <w:szCs w:val="18"/>
          <w:color w:val="auto"/>
        </w:rPr>
        <w:t xml:space="preserve">”. During the continuance of a Trigger Period, until such time that any Annual Budget has been approved by Lender, the prior Approved Annual Budget shall apply for all purposes hereunder (with such adjustments as reasonably determined by Lender to reflect actual increases in Taxes, Insurance Premiums and utilities expenses). To the extent Lender has approval rights over an Annual Budget pursuant to this </w:t>
      </w:r>
      <w:r>
        <w:rPr>
          <w:rFonts w:ascii="Arial" w:cs="Arial" w:eastAsia="Arial" w:hAnsi="Arial"/>
          <w:sz w:val="18"/>
          <w:szCs w:val="18"/>
          <w:u w:val="single" w:color="auto"/>
          <w:color w:val="auto"/>
        </w:rPr>
        <w:t>Section 4.9.5</w:t>
      </w:r>
      <w:r>
        <w:rPr>
          <w:rFonts w:ascii="Arial" w:cs="Arial" w:eastAsia="Arial" w:hAnsi="Arial"/>
          <w:sz w:val="18"/>
          <w:szCs w:val="18"/>
          <w:color w:val="auto"/>
        </w:rPr>
        <w:t>, neither Borrower nor Manager shall change or modify the Annual Budget that has been approved by Lender without the prior written consent of Lender. During the continuance of a Trigger Period, Lender may require Borrower, on a quarterly basis, to furnish to Lender for approval (which approval shall not be unreasonably withheld provided no Event of Default exists) an updated Annual Budget.</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3" w:name="page334"/>
    <w:bookmarkEnd w:id="333"/>
    <w:p>
      <w:pPr>
        <w:jc w:val="both"/>
        <w:ind w:firstLine="1296"/>
        <w:spacing w:after="0" w:line="291" w:lineRule="auto"/>
        <w:rPr>
          <w:sz w:val="20"/>
          <w:szCs w:val="20"/>
          <w:color w:val="auto"/>
        </w:rPr>
      </w:pPr>
      <w:r>
        <w:rPr>
          <w:rFonts w:ascii="Arial" w:cs="Arial" w:eastAsia="Arial" w:hAnsi="Arial"/>
          <w:sz w:val="16"/>
          <w:szCs w:val="16"/>
          <w:b w:val="1"/>
          <w:bCs w:val="1"/>
          <w:color w:val="auto"/>
        </w:rPr>
        <w:t xml:space="preserve">4.9.6 </w:t>
      </w:r>
      <w:r>
        <w:rPr>
          <w:rFonts w:ascii="Arial" w:cs="Arial" w:eastAsia="Arial" w:hAnsi="Arial"/>
          <w:sz w:val="16"/>
          <w:szCs w:val="16"/>
          <w:b w:val="1"/>
          <w:bCs w:val="1"/>
          <w:u w:val="single" w:color="auto"/>
          <w:color w:val="auto"/>
        </w:rPr>
        <w:t>Extraordinary Operating Expenses</w:t>
      </w:r>
      <w:r>
        <w:rPr>
          <w:rFonts w:ascii="Arial" w:cs="Arial" w:eastAsia="Arial" w:hAnsi="Arial"/>
          <w:sz w:val="16"/>
          <w:szCs w:val="16"/>
          <w:color w:val="auto"/>
        </w:rPr>
        <w:t>: During the continuance of a Trigger Period, in the event that Borrower incurs an</w:t>
      </w:r>
      <w:r>
        <w:rPr>
          <w:rFonts w:ascii="Arial" w:cs="Arial" w:eastAsia="Arial" w:hAnsi="Arial"/>
          <w:sz w:val="16"/>
          <w:szCs w:val="16"/>
          <w:b w:val="1"/>
          <w:bCs w:val="1"/>
          <w:color w:val="auto"/>
        </w:rPr>
        <w:t xml:space="preserve"> </w:t>
      </w:r>
      <w:r>
        <w:rPr>
          <w:rFonts w:ascii="Arial" w:cs="Arial" w:eastAsia="Arial" w:hAnsi="Arial"/>
          <w:sz w:val="16"/>
          <w:szCs w:val="16"/>
          <w:color w:val="auto"/>
        </w:rPr>
        <w:t>extraordinary operating expense not set forth in the Approved Annual Budget (each an “</w:t>
      </w:r>
      <w:r>
        <w:rPr>
          <w:rFonts w:ascii="Arial" w:cs="Arial" w:eastAsia="Arial" w:hAnsi="Arial"/>
          <w:sz w:val="16"/>
          <w:szCs w:val="16"/>
          <w:b w:val="1"/>
          <w:bCs w:val="1"/>
          <w:i w:val="1"/>
          <w:iCs w:val="1"/>
          <w:color w:val="auto"/>
        </w:rPr>
        <w:t>Extraordinary Operating Expense</w:t>
      </w:r>
      <w:r>
        <w:rPr>
          <w:rFonts w:ascii="Arial" w:cs="Arial" w:eastAsia="Arial" w:hAnsi="Arial"/>
          <w:sz w:val="16"/>
          <w:szCs w:val="16"/>
          <w:color w:val="auto"/>
        </w:rPr>
        <w:t>”), then Borrower shall promptly deliver to Lender a reasonably detailed explanation of such proposed Extraordinary Operating Expense for Lender’s approval. Any Extraordinary Operating Expense approved by Lender is referred to herein as an (“</w:t>
      </w:r>
      <w:r>
        <w:rPr>
          <w:rFonts w:ascii="Arial" w:cs="Arial" w:eastAsia="Arial" w:hAnsi="Arial"/>
          <w:sz w:val="16"/>
          <w:szCs w:val="16"/>
          <w:b w:val="1"/>
          <w:bCs w:val="1"/>
          <w:i w:val="1"/>
          <w:iCs w:val="1"/>
          <w:color w:val="auto"/>
        </w:rPr>
        <w:t>Approved Extraordinary Operating Expense</w:t>
      </w:r>
      <w:r>
        <w:rPr>
          <w:rFonts w:ascii="Arial" w:cs="Arial" w:eastAsia="Arial" w:hAnsi="Arial"/>
          <w:sz w:val="16"/>
          <w:szCs w:val="16"/>
          <w:color w:val="auto"/>
        </w:rPr>
        <w:t xml:space="preserve">”). In no event shall management fees in excess of the Management Fee Cap be paid to Manager as part of the Approved Extraordinary Operating Expense funds distributed to Borrower during a Trigger Period pursuant to </w:t>
      </w:r>
      <w:r>
        <w:rPr>
          <w:rFonts w:ascii="Arial" w:cs="Arial" w:eastAsia="Arial" w:hAnsi="Arial"/>
          <w:sz w:val="16"/>
          <w:szCs w:val="16"/>
          <w:u w:val="single" w:color="auto"/>
          <w:color w:val="auto"/>
        </w:rPr>
        <w:t>Section 6.16.1</w:t>
      </w:r>
      <w:r>
        <w:rPr>
          <w:rFonts w:ascii="Arial" w:cs="Arial" w:eastAsia="Arial" w:hAnsi="Arial"/>
          <w:sz w:val="16"/>
          <w:szCs w:val="16"/>
          <w:color w:val="auto"/>
        </w:rPr>
        <w:t xml:space="preserve"> unless expressly approved by Lender in advance in its sole discretion. Any Funds distributed to Borrower for the payment of Approved Extraordinary Operating Expenses pursuant to </w:t>
      </w:r>
      <w:r>
        <w:rPr>
          <w:rFonts w:ascii="Arial" w:cs="Arial" w:eastAsia="Arial" w:hAnsi="Arial"/>
          <w:sz w:val="16"/>
          <w:szCs w:val="16"/>
          <w:u w:val="single" w:color="auto"/>
          <w:color w:val="auto"/>
        </w:rPr>
        <w:t>Section 6.16.1</w:t>
      </w:r>
      <w:r>
        <w:rPr>
          <w:rFonts w:ascii="Arial" w:cs="Arial" w:eastAsia="Arial" w:hAnsi="Arial"/>
          <w:sz w:val="16"/>
          <w:szCs w:val="16"/>
          <w:color w:val="auto"/>
        </w:rPr>
        <w:t xml:space="preserve"> shall be used by Borrower only to pay for such Approved Extraordinary Operating Expenses or reimburse Borrower for such Approved Extraordinary Operating Expenses, as applicable.</w:t>
      </w:r>
    </w:p>
    <w:p>
      <w:pPr>
        <w:spacing w:after="0" w:line="15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4.9.7 </w:t>
      </w:r>
      <w:r>
        <w:rPr>
          <w:rFonts w:ascii="Arial" w:cs="Arial" w:eastAsia="Arial" w:hAnsi="Arial"/>
          <w:sz w:val="18"/>
          <w:szCs w:val="18"/>
          <w:b w:val="1"/>
          <w:bCs w:val="1"/>
          <w:u w:val="single" w:color="auto"/>
          <w:color w:val="auto"/>
        </w:rPr>
        <w:t>Breach</w:t>
      </w:r>
      <w:r>
        <w:rPr>
          <w:rFonts w:ascii="Arial" w:cs="Arial" w:eastAsia="Arial" w:hAnsi="Arial"/>
          <w:sz w:val="18"/>
          <w:szCs w:val="18"/>
          <w:color w:val="auto"/>
        </w:rPr>
        <w:t>. If Borrower fails to provide to Lender or its designee any of the financial statements, certificates, reports or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Required Records</w:t>
      </w:r>
      <w:r>
        <w:rPr>
          <w:rFonts w:ascii="Arial" w:cs="Arial" w:eastAsia="Arial" w:hAnsi="Arial"/>
          <w:sz w:val="18"/>
          <w:szCs w:val="18"/>
          <w:color w:val="auto"/>
        </w:rPr>
        <w:t xml:space="preserve">”) required by this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within thirty (30) days after the date upon which such Required Record is due, Borrower shall pay to Lender, at Lender’s option and in its discretion, an amount equal to $2,500 for each Required Record that is not delivered; provided Lender has given Borrower at least fifteen (15) days’ prior notice of such failure. In addition, thirty (30) days after Borrower’s failure to deliver any Required Records, Lender shall have the option, upon fifteen (15) days’ notice to Borrower to gain access to Borrower’s books and records and prepare or have prepared at Borrower’s expense, any Required Records not delivered by Borrower.</w:t>
      </w:r>
    </w:p>
    <w:p>
      <w:pPr>
        <w:spacing w:after="0" w:line="187"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6"/>
          <w:szCs w:val="16"/>
          <w:b w:val="1"/>
          <w:bCs w:val="1"/>
          <w:color w:val="auto"/>
        </w:rPr>
        <w:t xml:space="preserve">4.9.8 </w:t>
      </w:r>
      <w:r>
        <w:rPr>
          <w:rFonts w:ascii="Arial" w:cs="Arial" w:eastAsia="Arial" w:hAnsi="Arial"/>
          <w:sz w:val="16"/>
          <w:szCs w:val="16"/>
          <w:b w:val="1"/>
          <w:bCs w:val="1"/>
          <w:u w:val="single" w:color="auto"/>
          <w:color w:val="auto"/>
        </w:rPr>
        <w:t>Actual Operating Expenses</w:t>
      </w:r>
      <w:r>
        <w:rPr>
          <w:rFonts w:ascii="Arial" w:cs="Arial" w:eastAsia="Arial" w:hAnsi="Arial"/>
          <w:sz w:val="16"/>
          <w:szCs w:val="16"/>
          <w:color w:val="auto"/>
        </w:rPr>
        <w:t>. Borrower shall furnish or cause to be furnished to Lender, within thirty (30) days after the end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calendar month, a report (accompanied by an Officer’s Certificate stating that such items are true, correct and complete in all material respects) reconciling (a) the actual operating expenses paid in cash or incurred by or on behalf of Borrower with respect to the Property during such calendar month (the “</w:t>
      </w:r>
      <w:r>
        <w:rPr>
          <w:rFonts w:ascii="Arial" w:cs="Arial" w:eastAsia="Arial" w:hAnsi="Arial"/>
          <w:sz w:val="16"/>
          <w:szCs w:val="16"/>
          <w:b w:val="1"/>
          <w:bCs w:val="1"/>
          <w:i w:val="1"/>
          <w:iCs w:val="1"/>
          <w:color w:val="auto"/>
        </w:rPr>
        <w:t>Actual OpEx</w:t>
      </w:r>
      <w:r>
        <w:rPr>
          <w:rFonts w:ascii="Arial" w:cs="Arial" w:eastAsia="Arial" w:hAnsi="Arial"/>
          <w:sz w:val="16"/>
          <w:szCs w:val="16"/>
          <w:color w:val="auto"/>
        </w:rPr>
        <w:t>”) with (b) the operating expenses set forth in the Approved Annual Budget for such calendar month (the “</w:t>
      </w:r>
      <w:r>
        <w:rPr>
          <w:rFonts w:ascii="Arial" w:cs="Arial" w:eastAsia="Arial" w:hAnsi="Arial"/>
          <w:sz w:val="16"/>
          <w:szCs w:val="16"/>
          <w:b w:val="1"/>
          <w:bCs w:val="1"/>
          <w:i w:val="1"/>
          <w:iCs w:val="1"/>
          <w:color w:val="auto"/>
        </w:rPr>
        <w:t>Budgeted OpEx</w:t>
      </w:r>
      <w:r>
        <w:rPr>
          <w:rFonts w:ascii="Arial" w:cs="Arial" w:eastAsia="Arial" w:hAnsi="Arial"/>
          <w:sz w:val="16"/>
          <w:szCs w:val="16"/>
          <w:color w:val="auto"/>
        </w:rPr>
        <w:t>”). If the Budgeted OpEx exceeds the Actual OpEx for any calendar month, the amount of such excess shall be known as the “</w:t>
      </w:r>
      <w:r>
        <w:rPr>
          <w:rFonts w:ascii="Arial" w:cs="Arial" w:eastAsia="Arial" w:hAnsi="Arial"/>
          <w:sz w:val="16"/>
          <w:szCs w:val="16"/>
          <w:b w:val="1"/>
          <w:bCs w:val="1"/>
          <w:i w:val="1"/>
          <w:iCs w:val="1"/>
          <w:color w:val="auto"/>
        </w:rPr>
        <w:t>OpEx Overpayment Amount</w:t>
      </w:r>
      <w:r>
        <w:rPr>
          <w:rFonts w:ascii="Arial" w:cs="Arial" w:eastAsia="Arial" w:hAnsi="Arial"/>
          <w:sz w:val="16"/>
          <w:szCs w:val="16"/>
          <w:color w:val="auto"/>
        </w:rPr>
        <w:t>”.</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Access to Property</w:t>
      </w:r>
      <w:r>
        <w:rPr>
          <w:rFonts w:ascii="Arial" w:cs="Arial" w:eastAsia="Arial" w:hAnsi="Arial"/>
          <w:sz w:val="18"/>
          <w:szCs w:val="18"/>
          <w:color w:val="auto"/>
        </w:rPr>
        <w:t>. Borrower shall permit agents, representatives, consultants and employees of Lender to inspect the Property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 thereof at reasonable hours upon reasonable advance written notice (which may be given by email), provided that Lender shall use commercially reasonably efforts to conduct such inspection in a manner that will minimize any interference with the operation, use and occupancy of the Property. Lender or its agents, representatives, consultants and employees as part of any inspection may take soil, air, water, building material and other samples from the Property, subject to the rights of Tenants under Leases.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4" w:name="page335"/>
    <w:bookmarkEnd w:id="334"/>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4.11</w:t>
      </w:r>
      <w:r>
        <w:rPr>
          <w:sz w:val="20"/>
          <w:szCs w:val="20"/>
          <w:color w:val="auto"/>
        </w:rPr>
        <w:tab/>
      </w:r>
      <w:r>
        <w:rPr>
          <w:rFonts w:ascii="Arial" w:cs="Arial" w:eastAsia="Arial" w:hAnsi="Arial"/>
          <w:sz w:val="15"/>
          <w:szCs w:val="15"/>
          <w:b w:val="1"/>
          <w:bCs w:val="1"/>
          <w:u w:val="single" w:color="auto"/>
          <w:color w:val="auto"/>
        </w:rPr>
        <w:t>Leases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4.11.1 </w:t>
      </w:r>
      <w:r>
        <w:rPr>
          <w:rFonts w:ascii="Arial" w:cs="Arial" w:eastAsia="Arial" w:hAnsi="Arial"/>
          <w:sz w:val="18"/>
          <w:szCs w:val="18"/>
          <w:b w:val="1"/>
          <w:bCs w:val="1"/>
          <w:u w:val="single" w:color="auto"/>
          <w:color w:val="auto"/>
        </w:rPr>
        <w:t>Generally</w:t>
      </w:r>
      <w:r>
        <w:rPr>
          <w:rFonts w:ascii="Arial" w:cs="Arial" w:eastAsia="Arial" w:hAnsi="Arial"/>
          <w:sz w:val="18"/>
          <w:szCs w:val="18"/>
          <w:color w:val="auto"/>
        </w:rPr>
        <w:t>. Upon request, Borrower shall furnish Lender with executed copies of all Leases then in effect. All renewals of Leases</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proposed leases shall provide for rental rates and terms comparable to existing local market rates and shall be arm’s length transactions with bona fide, independent third-party Tenants. Within ten (10) days after the execution of a Lease or any renewals, amendments or modification of a Lease, Borrower shall deliver to Lender a copy thereof, together with Borrower’s certification that such Lease (or such renewal, amendment or modification) was entered into in accordance with the terms of this Agreement.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4.11.2 </w:t>
      </w:r>
      <w:r>
        <w:rPr>
          <w:rFonts w:ascii="Arial" w:cs="Arial" w:eastAsia="Arial" w:hAnsi="Arial"/>
          <w:sz w:val="18"/>
          <w:szCs w:val="18"/>
          <w:b w:val="1"/>
          <w:bCs w:val="1"/>
          <w:u w:val="single" w:color="auto"/>
          <w:color w:val="auto"/>
        </w:rPr>
        <w:t>Approvals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87" w:lineRule="auto"/>
        <w:tabs>
          <w:tab w:leader="none" w:pos="196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Any Lease and any renewals, amendments or modification of a Lease (provided such Lease or Lease renewal, amendment or modification is not a Major Lease (or a renewal, amendment or modification to a Major Lease)) that meets the following requirements may be entered into by Borrower without Lender’s prior consent: (i) provides for economic terms, including rental rates, comparable to existing local market rates for similar properties and is otherwise on commercially reasonable terms, (ii) has an initial term of not less than three (3) years and a total term (together with all extension and renewal options) of not more than ten (10) years, (iii) unless a subordination, non-disturbance and attornment agreement is delivered pursuant to this </w:t>
      </w:r>
      <w:r>
        <w:rPr>
          <w:rFonts w:ascii="Arial" w:cs="Arial" w:eastAsia="Arial" w:hAnsi="Arial"/>
          <w:sz w:val="16"/>
          <w:szCs w:val="16"/>
          <w:u w:val="single" w:color="auto"/>
          <w:color w:val="auto"/>
        </w:rPr>
        <w:t>Section 4.11.2</w:t>
      </w:r>
      <w:r>
        <w:rPr>
          <w:rFonts w:ascii="Arial" w:cs="Arial" w:eastAsia="Arial" w:hAnsi="Arial"/>
          <w:sz w:val="16"/>
          <w:szCs w:val="16"/>
          <w:color w:val="auto"/>
        </w:rPr>
        <w:t>, provides that such Lease is subordinate to the Mortgage and the Assignment of Leases and that the Tenant thereunder will attorn to Lender and any purchaser at a foreclosure sale, (iv) is with Tenants that are creditworthy, (v) is written substantially in accordance with the standard form of Lease which shall have been approved by Lender (subject to any commercially reasonable changes made in the course of negotiations with the applicable Tenant), (vi) is not with an Affiliate of Borrower or any Guarantor, and (vii) does not contain any option to purchase, any right of first refusal to purchase, any right to terminate (except if such termination right is triggered by the destruction or condemnation of substantially all of the Property) or any other terms which would materially adversely affect Lender’s rights under the Loan Documents. All other Leases (including Major Leases) and all renewals, amendments and modifications thereof executed after the date hereof shall be subject to Lender’s prior approval.</w:t>
      </w:r>
    </w:p>
    <w:p>
      <w:pPr>
        <w:spacing w:after="0" w:line="167" w:lineRule="exact"/>
        <w:rPr>
          <w:rFonts w:ascii="Arial" w:cs="Arial" w:eastAsia="Arial" w:hAnsi="Arial"/>
          <w:sz w:val="16"/>
          <w:szCs w:val="16"/>
          <w:color w:val="auto"/>
        </w:rPr>
      </w:pPr>
    </w:p>
    <w:p>
      <w:pPr>
        <w:jc w:val="both"/>
        <w:ind w:firstLine="1304"/>
        <w:spacing w:after="0" w:line="259" w:lineRule="auto"/>
        <w:tabs>
          <w:tab w:leader="none" w:pos="190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Borrower shall not permit or consent to any assignment or sublease of any Major Lease without Lender’s prior written approval. Lender, at Borrower’s sole cost and expense, shall execute and deliver its standard form of subordination, non-disturbance and attornment agreement to Tenants under any future Major Lease (other than a Borrower Affiliated Lease) approved by Lender upon request, with such commercially reasonable changes as may be requested by such Tenants and which are reasonably acceptable to Lender.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91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Borrower shall have the right, without the consent or approval of Lender, to terminate or accept a surrender of any Lease that is not a Major Lease so long as such termination or surrender is (i) by reason of a tenant default and (ii) in a commercially reasonable manner to preserve and protect the Property.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5" w:name="page336"/>
    <w:bookmarkEnd w:id="335"/>
    <w:p>
      <w:pPr>
        <w:ind w:firstLine="1304"/>
        <w:spacing w:after="0" w:line="308" w:lineRule="auto"/>
        <w:tabs>
          <w:tab w:leader="none" w:pos="196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4.11.2</w:t>
      </w:r>
      <w:r>
        <w:rPr>
          <w:rFonts w:ascii="Arial" w:cs="Arial" w:eastAsia="Arial" w:hAnsi="Arial"/>
          <w:sz w:val="17"/>
          <w:szCs w:val="17"/>
          <w:color w:val="auto"/>
        </w:rPr>
        <w:t xml:space="preserve">, provided no Event of Default is continuing, whenever Lender’s approval or consent is required pursuant to the provisions of this </w:t>
      </w:r>
      <w:r>
        <w:rPr>
          <w:rFonts w:ascii="Arial" w:cs="Arial" w:eastAsia="Arial" w:hAnsi="Arial"/>
          <w:sz w:val="17"/>
          <w:szCs w:val="17"/>
          <w:u w:val="single" w:color="auto"/>
          <w:color w:val="auto"/>
        </w:rPr>
        <w:t>Section 4.11.2</w:t>
      </w:r>
      <w:r>
        <w:rPr>
          <w:rFonts w:ascii="Arial" w:cs="Arial" w:eastAsia="Arial" w:hAnsi="Arial"/>
          <w:sz w:val="17"/>
          <w:szCs w:val="17"/>
          <w:color w:val="auto"/>
        </w:rPr>
        <w:t>, Lender’s consent shall be deemed given if:</w:t>
      </w:r>
    </w:p>
    <w:p>
      <w:pPr>
        <w:spacing w:after="0" w:line="146" w:lineRule="exact"/>
        <w:rPr>
          <w:rFonts w:ascii="Arial" w:cs="Arial" w:eastAsia="Arial" w:hAnsi="Arial"/>
          <w:sz w:val="17"/>
          <w:szCs w:val="17"/>
          <w:color w:val="auto"/>
        </w:rPr>
      </w:pPr>
    </w:p>
    <w:p>
      <w:pPr>
        <w:jc w:val="both"/>
        <w:ind w:left="660" w:firstLine="1292"/>
        <w:spacing w:after="0" w:line="271" w:lineRule="auto"/>
        <w:tabs>
          <w:tab w:leader="none" w:pos="2912" w:val="left"/>
        </w:tabs>
        <w:numPr>
          <w:ilvl w:val="1"/>
          <w:numId w:val="353"/>
        </w:numPr>
        <w:rPr>
          <w:rFonts w:ascii="Arial" w:cs="Arial" w:eastAsia="Arial" w:hAnsi="Arial"/>
          <w:sz w:val="17"/>
          <w:szCs w:val="17"/>
          <w:color w:val="auto"/>
        </w:rPr>
      </w:pPr>
      <w:r>
        <w:rPr>
          <w:rFonts w:ascii="Arial" w:cs="Arial" w:eastAsia="Arial" w:hAnsi="Arial"/>
          <w:sz w:val="17"/>
          <w:szCs w:val="17"/>
          <w:color w:val="auto"/>
        </w:rPr>
        <w:t>the first correspondence from Borrower to Lender requesting such approval or consent is in an envelope marked “PRIORITY” and contains a bold-faced, conspicuous (in a font size that is not less than fourteen (14) point) legend at the top of the first page thereof stating that “</w:t>
      </w:r>
      <w:r>
        <w:rPr>
          <w:rFonts w:ascii="Arial" w:cs="Arial" w:eastAsia="Arial" w:hAnsi="Arial"/>
          <w:sz w:val="17"/>
          <w:szCs w:val="17"/>
          <w:b w:val="1"/>
          <w:bCs w:val="1"/>
          <w:u w:val="single" w:color="auto"/>
          <w:color w:val="auto"/>
        </w:rPr>
        <w:t>FIRST NOTICE</w:t>
      </w:r>
      <w:r>
        <w:rPr>
          <w:rFonts w:ascii="Arial" w:cs="Arial" w:eastAsia="Arial" w:hAnsi="Arial"/>
          <w:sz w:val="17"/>
          <w:szCs w:val="17"/>
          <w:b w:val="1"/>
          <w:bCs w:val="1"/>
          <w:color w:val="auto"/>
        </w:rPr>
        <w:t>: THIS IS A REQUEST FOR CONSENT UNDER THE LOAN BY DBR INVESTMENTS CO.</w:t>
      </w:r>
    </w:p>
    <w:p>
      <w:pPr>
        <w:jc w:val="both"/>
        <w:ind w:left="660"/>
        <w:spacing w:after="0" w:line="253" w:lineRule="auto"/>
        <w:rPr>
          <w:rFonts w:ascii="Arial" w:cs="Arial" w:eastAsia="Arial" w:hAnsi="Arial"/>
          <w:sz w:val="17"/>
          <w:szCs w:val="17"/>
          <w:color w:val="auto"/>
        </w:rPr>
      </w:pPr>
      <w:r>
        <w:rPr>
          <w:rFonts w:ascii="Arial" w:cs="Arial" w:eastAsia="Arial" w:hAnsi="Arial"/>
          <w:sz w:val="18"/>
          <w:szCs w:val="18"/>
          <w:b w:val="1"/>
          <w:bCs w:val="1"/>
          <w:color w:val="auto"/>
        </w:rPr>
        <w:t>LIMITED TO NOVONIX 1029, LLC. FAILURE TO RESPOND TO THIS REQUEST WITHIN TWENTY (20) BUSINESS DAYS MAY RESULT IN THE REQUEST BEING DEEMED GRANTED”, and is accompanied by the information and documents required above, and any other information reasonably requested by Lender in writing prior to the expiration of such twenty (20) Business Day period in order to adequately review the same has been delivered; and</w:t>
      </w:r>
    </w:p>
    <w:p>
      <w:pPr>
        <w:spacing w:after="0" w:line="192" w:lineRule="exact"/>
        <w:rPr>
          <w:rFonts w:ascii="Arial" w:cs="Arial" w:eastAsia="Arial" w:hAnsi="Arial"/>
          <w:sz w:val="17"/>
          <w:szCs w:val="17"/>
          <w:color w:val="auto"/>
        </w:rPr>
      </w:pPr>
    </w:p>
    <w:p>
      <w:pPr>
        <w:jc w:val="both"/>
        <w:ind w:left="660" w:firstLine="1292"/>
        <w:spacing w:after="0" w:line="269" w:lineRule="auto"/>
        <w:tabs>
          <w:tab w:leader="none" w:pos="2824" w:val="left"/>
        </w:tabs>
        <w:numPr>
          <w:ilvl w:val="1"/>
          <w:numId w:val="353"/>
        </w:numPr>
        <w:rPr>
          <w:rFonts w:ascii="Arial" w:cs="Arial" w:eastAsia="Arial" w:hAnsi="Arial"/>
          <w:sz w:val="17"/>
          <w:szCs w:val="17"/>
          <w:color w:val="auto"/>
        </w:rPr>
      </w:pPr>
      <w:r>
        <w:rPr>
          <w:rFonts w:ascii="Arial" w:cs="Arial" w:eastAsia="Arial" w:hAnsi="Arial"/>
          <w:sz w:val="17"/>
          <w:szCs w:val="17"/>
          <w:color w:val="auto"/>
        </w:rPr>
        <w:t>if Lender fails to respond or to deny such request for approval in writing within the first ten (10) Business Days of such twenty (20) Business Day period, a second notice requesting approval is delivered to Lender from Borrower in an envelope marked “PRIORITY” containing a bold-faced, conspicuous (in a font size that is not less than fourteen (14) point) legend at the top of the first page thereof stating that “</w:t>
      </w:r>
      <w:r>
        <w:rPr>
          <w:rFonts w:ascii="Arial" w:cs="Arial" w:eastAsia="Arial" w:hAnsi="Arial"/>
          <w:sz w:val="17"/>
          <w:szCs w:val="17"/>
          <w:b w:val="1"/>
          <w:bCs w:val="1"/>
          <w:u w:val="single" w:color="auto"/>
          <w:color w:val="auto"/>
        </w:rPr>
        <w:t>SECOND AND FINAL NOTICE</w:t>
      </w:r>
      <w:r>
        <w:rPr>
          <w:rFonts w:ascii="Arial" w:cs="Arial" w:eastAsia="Arial" w:hAnsi="Arial"/>
          <w:sz w:val="17"/>
          <w:szCs w:val="17"/>
          <w:b w:val="1"/>
          <w:bCs w:val="1"/>
          <w:color w:val="auto"/>
        </w:rPr>
        <w:t>: THIS IS A REQUEST FOR CONSENT UNDER THE LOAN BY DBR</w:t>
      </w:r>
    </w:p>
    <w:p>
      <w:pPr>
        <w:spacing w:after="0" w:line="1" w:lineRule="exact"/>
        <w:rPr>
          <w:rFonts w:ascii="Arial" w:cs="Arial" w:eastAsia="Arial" w:hAnsi="Arial"/>
          <w:sz w:val="17"/>
          <w:szCs w:val="17"/>
          <w:color w:val="auto"/>
        </w:rPr>
      </w:pPr>
    </w:p>
    <w:p>
      <w:pPr>
        <w:jc w:val="both"/>
        <w:ind w:left="660"/>
        <w:spacing w:after="0" w:line="253" w:lineRule="auto"/>
        <w:rPr>
          <w:rFonts w:ascii="Arial" w:cs="Arial" w:eastAsia="Arial" w:hAnsi="Arial"/>
          <w:sz w:val="17"/>
          <w:szCs w:val="17"/>
          <w:color w:val="auto"/>
        </w:rPr>
      </w:pPr>
      <w:r>
        <w:rPr>
          <w:rFonts w:ascii="Arial" w:cs="Arial" w:eastAsia="Arial" w:hAnsi="Arial"/>
          <w:sz w:val="18"/>
          <w:szCs w:val="18"/>
          <w:b w:val="1"/>
          <w:bCs w:val="1"/>
          <w:color w:val="auto"/>
        </w:rPr>
        <w:t xml:space="preserve">INVESTMENTS CO. LIMITED TO NOVONIX 1029, LLC. IF YOU FAIL TO PROVIDE A SUBSTANTIVE RESPONSE (E.G., APPROVAL, DENIAL OR REQUEST FOR CLARIFICATION OR MORE INFORMATION) TO THIS REQUEST FOR APPROVAL IN WRITING WITHIN TEN (10) BUSINESS DAYS, YOUR APPROVAL SHALL BE DEEMED GIVEN” </w:t>
      </w:r>
      <w:r>
        <w:rPr>
          <w:rFonts w:ascii="Arial" w:cs="Arial" w:eastAsia="Arial" w:hAnsi="Arial"/>
          <w:sz w:val="18"/>
          <w:szCs w:val="18"/>
          <w:color w:val="auto"/>
        </w:rPr>
        <w:t>and Lender fails to provide a</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substantive response to such request for approval within such second ten (10) Business Day period.</w:t>
      </w:r>
    </w:p>
    <w:p>
      <w:pPr>
        <w:spacing w:after="0" w:line="189"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b w:val="1"/>
          <w:bCs w:val="1"/>
          <w:color w:val="auto"/>
        </w:rPr>
        <w:t xml:space="preserve">4.11.3 </w:t>
      </w:r>
      <w:r>
        <w:rPr>
          <w:rFonts w:ascii="Arial" w:cs="Arial" w:eastAsia="Arial" w:hAnsi="Arial"/>
          <w:sz w:val="16"/>
          <w:szCs w:val="16"/>
          <w:b w:val="1"/>
          <w:bCs w:val="1"/>
          <w:u w:val="single" w:color="auto"/>
          <w:color w:val="auto"/>
        </w:rPr>
        <w:t>Covenants</w:t>
      </w:r>
      <w:r>
        <w:rPr>
          <w:rFonts w:ascii="Arial" w:cs="Arial" w:eastAsia="Arial" w:hAnsi="Arial"/>
          <w:sz w:val="16"/>
          <w:szCs w:val="16"/>
          <w:color w:val="auto"/>
        </w:rPr>
        <w:t>. Borrower (i) shall observe and perform the obligations imposed upon the lessor under the Leases in a commercially</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manner; (ii) shall enforce the terms, covenants and conditions contained in the Leases upon the part of the Tenants thereunder to be observed or performed in a commercially reasonable manner, provided, however, Borrower shall not terminate or accept a surrender of a Major Lease without Lender’s prior approval; (iii) shall not collect any of the Rents more than one (1) month in advance (other than security deposits); (iv) shall not execute any assignment of lessor’s interest in the Leases or the Rents (except as contemplated by the Loan Documents); and (v) shall not alter, modify or change any Lease so as to change the amount of or payment date for rent, change the expiration date, grant any option for additional space or term, materially reduce the obligations of the Tenant or increase the obligations of the lessor. Upon request, Borrower shall furnish Lender with executed copies of all Leases. Borrower shall promptly send copies to Lender of all written notices of material default which Borrower shall receive under the Leases.</w:t>
      </w:r>
    </w:p>
    <w:p>
      <w:pPr>
        <w:spacing w:after="0" w:line="159"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b w:val="1"/>
          <w:bCs w:val="1"/>
          <w:color w:val="auto"/>
        </w:rPr>
        <w:t xml:space="preserve">4.11.4 </w:t>
      </w:r>
      <w:r>
        <w:rPr>
          <w:rFonts w:ascii="Arial" w:cs="Arial" w:eastAsia="Arial" w:hAnsi="Arial"/>
          <w:sz w:val="16"/>
          <w:szCs w:val="16"/>
          <w:b w:val="1"/>
          <w:bCs w:val="1"/>
          <w:u w:val="single" w:color="auto"/>
          <w:color w:val="auto"/>
        </w:rPr>
        <w:t>Security Deposits</w:t>
      </w:r>
      <w:r>
        <w:rPr>
          <w:rFonts w:ascii="Arial" w:cs="Arial" w:eastAsia="Arial" w:hAnsi="Arial"/>
          <w:sz w:val="16"/>
          <w:szCs w:val="16"/>
          <w:color w:val="auto"/>
        </w:rPr>
        <w:t>. All security deposits of Tenants, whether held in cash or any other form, shall be held in compliance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Legal Requirements, shall not be commingled with any other funds of Borrower. During the continuance of an Event of Default, Borrower shall, upon Lender’s request, if permitted by applicable Legal Requirements, cause all such security deposits (and any interest theretofore earned thereon) to be transferred into the Deposit Account (which shall then be held by Deposit Bank in a separate Account), which shall be held by Deposit Bank subject to the terms of the Leases. Any bond or other instrument which Borrower is permitted to hold in lieu of cash security deposits under any applicable Legal Requirements (i) shall be maintained in full force and effect in the full amount of such deposits unless replaced by cash deposits as herein above described,</w:t>
      </w:r>
    </w:p>
    <w:p>
      <w:pPr>
        <w:spacing w:after="0" w:line="3" w:lineRule="exact"/>
        <w:rPr>
          <w:sz w:val="20"/>
          <w:szCs w:val="20"/>
          <w:color w:val="auto"/>
        </w:rPr>
      </w:pPr>
    </w:p>
    <w:p>
      <w:pPr>
        <w:jc w:val="both"/>
        <w:ind w:firstLine="8"/>
        <w:spacing w:after="0" w:line="253" w:lineRule="auto"/>
        <w:tabs>
          <w:tab w:leader="none" w:pos="26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shall be issued by an institution reasonably satisfactory to Lender, (iii) shall, if permitted pursuant to any Legal Requirements, name Lender as payee or mortgagee thereunder (or at Lender’s option, be fully assignable to Lender), and (iv) shall in all respects comply with any applicable Legal Requirements and otherwise be satisfactory to Lender. Borrower shall, upon request, provide Lender with evidence satisfactory to Lender of Borrower’s compliance with the foregoing.</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6" w:name="page337"/>
    <w:bookmarkEnd w:id="336"/>
    <w:p>
      <w:pPr>
        <w:ind w:left="1300"/>
        <w:spacing w:after="0"/>
        <w:rPr>
          <w:sz w:val="20"/>
          <w:szCs w:val="20"/>
          <w:color w:val="auto"/>
        </w:rPr>
      </w:pPr>
      <w:r>
        <w:rPr>
          <w:rFonts w:ascii="Arial" w:cs="Arial" w:eastAsia="Arial" w:hAnsi="Arial"/>
          <w:sz w:val="16"/>
          <w:szCs w:val="16"/>
          <w:b w:val="1"/>
          <w:bCs w:val="1"/>
          <w:color w:val="auto"/>
        </w:rPr>
        <w:t xml:space="preserve">4.11.5 </w:t>
      </w:r>
      <w:r>
        <w:rPr>
          <w:rFonts w:ascii="Arial" w:cs="Arial" w:eastAsia="Arial" w:hAnsi="Arial"/>
          <w:sz w:val="16"/>
          <w:szCs w:val="16"/>
          <w:b w:val="1"/>
          <w:bCs w:val="1"/>
          <w:u w:val="single" w:color="auto"/>
          <w:color w:val="auto"/>
        </w:rPr>
        <w:t>Lease Sweep Lease Covenants</w:t>
      </w:r>
      <w:r>
        <w:rPr>
          <w:rFonts w:ascii="Arial" w:cs="Arial" w:eastAsia="Arial" w:hAnsi="Arial"/>
          <w:sz w:val="16"/>
          <w:szCs w:val="16"/>
          <w:color w:val="auto"/>
        </w:rPr>
        <w:t>. Without limitation of the foregoing Sections 4.11.1 through 4.11.4, Borrower shall notify Lender</w:t>
      </w:r>
    </w:p>
    <w:p>
      <w:pPr>
        <w:spacing w:after="0" w:line="50" w:lineRule="exact"/>
        <w:rPr>
          <w:sz w:val="20"/>
          <w:szCs w:val="20"/>
          <w:color w:val="auto"/>
        </w:rPr>
      </w:pPr>
    </w:p>
    <w:p>
      <w:pPr>
        <w:jc w:val="both"/>
        <w:ind w:firstLine="8"/>
        <w:spacing w:after="0" w:line="302" w:lineRule="auto"/>
        <w:tabs>
          <w:tab w:leader="none" w:pos="21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of receipt of any notice from any Tenant under a Lease Sweep Lease of its intention to discontinue its business at its Lease Sweep Space at the Property (or any material portion thereof) within five (5) Business Days after receipt from the applicable Tenant and (ii) of any default under a Lease Sweep Lease that continues beyond any applicable notice and cure periods, within five (5) Business Days after the expiration of such applicable notice and cure periods.</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4.11.6 </w:t>
      </w:r>
      <w:r>
        <w:rPr>
          <w:rFonts w:ascii="Arial" w:cs="Arial" w:eastAsia="Arial" w:hAnsi="Arial"/>
          <w:sz w:val="18"/>
          <w:szCs w:val="18"/>
          <w:b w:val="1"/>
          <w:bCs w:val="1"/>
          <w:u w:val="single" w:color="auto"/>
          <w:color w:val="auto"/>
        </w:rPr>
        <w:t>Borrower Affiliated Lease Covenants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(a) Without limitation of the foregoing Sections 4.11.1 through 4.11.5, (i) Borrower shall not, without Lender’s prior written consent in its sole and absolute discretion, consent to or otherwise permit (x) any amendment, modification, assignment, transfer, release, termination, and/or cancellation of any Borrower Affiliated Lease Guaranty, and/or (y) any Borrower Affiliated Tenant to assign, transfer, pledge, mortgage, hypothecate, terminate, cancel, surrender or sublet its interest under any Borrower Affiliated Lease; (ii) upon the written request of Lender to Borrower during the continuance of (x) a Borrower Affiliated Lease Default Event, or (y) an Event of Default under the Loan Documents, Borrower shall diligently exercise Borrower’s rights and remedies under any such Borrower Affiliated Lease to terminate such Borrower Affiliated Lease and evict the Borrower Affiliated Tenant from the Property; (iii) Borrower shall not do, permit, suffer or refrain from doing anything, as a result of which, there would be a default under any of the terms of any Borrower Affiliated Lease; and (iv) Borrower shall deliver to Lender prompt written notice of any default by any party under any Borrower Affiliated Lease and promptly deliver to Lender copies of any notice of default and/or other material notices, communications, plans, specifications and other similar instruments received or delivered by Borrower in connection therewith.</w:t>
      </w:r>
    </w:p>
    <w:p>
      <w:pPr>
        <w:spacing w:after="0" w:line="185" w:lineRule="exact"/>
        <w:rPr>
          <w:sz w:val="20"/>
          <w:szCs w:val="20"/>
          <w:color w:val="auto"/>
        </w:rPr>
      </w:pPr>
    </w:p>
    <w:p>
      <w:pPr>
        <w:jc w:val="both"/>
        <w:ind w:firstLine="1304"/>
        <w:spacing w:after="0" w:line="257" w:lineRule="auto"/>
        <w:tabs>
          <w:tab w:leader="none" w:pos="206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Borrower hereby grants the Lender the right (but, for the avoidance of doubt, Lender shall not have any obligation) to, if Borrower shall be in default under any Borrower Affiliated Lease, cause the default or defaults under such Borrower Affiliated Lease to be remedied and otherwise exercise any and all rights of Borrower under such Borrower Affiliated Lease, as may be reasonably necessary to prevent or cure any such default, and Lender shall have the right to enter all or any portion of the Property at such times and in such manner as Lender deems reasonably necessary, to prevent or to cure any such default.</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7" w:name="page338"/>
    <w:bookmarkEnd w:id="337"/>
    <w:p>
      <w:pPr>
        <w:jc w:val="both"/>
        <w:ind w:firstLine="1304"/>
        <w:spacing w:after="0" w:line="275" w:lineRule="auto"/>
        <w:tabs>
          <w:tab w:leader="none" w:pos="196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actions or payments of Lender to cure any default by Borrower under any Borrower Affiliated Lease shall not remove or waive, as between Borrower and Lender, the default that occurred under this Agreement by virtue of the default by Borrower under such Borrower Affiliated Lease. All sums expended by Lender to cure any such default shall be paid by Borrower to Lender, within five (5) Business Days after written demand, with interest on such sum at the rate set forth in this Agreement from the date such sum is expended to and including the date the reimbursement payment is made to Lender. All such indebtedness shall be deemed to be secured by the Mortgage.</w:t>
      </w:r>
    </w:p>
    <w:p>
      <w:pPr>
        <w:spacing w:after="0" w:line="176" w:lineRule="exact"/>
        <w:rPr>
          <w:rFonts w:ascii="Arial" w:cs="Arial" w:eastAsia="Arial" w:hAnsi="Arial"/>
          <w:sz w:val="17"/>
          <w:szCs w:val="17"/>
          <w:color w:val="auto"/>
        </w:rPr>
      </w:pPr>
    </w:p>
    <w:p>
      <w:pPr>
        <w:jc w:val="both"/>
        <w:ind w:firstLine="1304"/>
        <w:spacing w:after="0" w:line="275" w:lineRule="auto"/>
        <w:tabs>
          <w:tab w:leader="none" w:pos="200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Borrower shall notify Lender promptly in writing of the occurrence of any default by any Borrower Affiliated Tenant or the occurrence of any event that, with the passage of time or service of notice, or both, would constitute a default by any Borrower Affiliated Tenant under any Borrower Affiliated Lease, and the receipt by Borrower of any notice (written or otherwise) from any Borrower Affiliated Tenant under any Borrower Affiliated Lease noting or claiming the occurrence of any default by Borrower under such Borrower Affiliated Lease or the occurrence of any event that, with the passage of time or service of notice, or both, would constitute a default by Borrower under such Borrower Affiliated Lease.</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89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Within five (5) days after receipt of written demand by Lender, Borrower shall obtain from each Borrower Affiliated Tenant and furnish to Lender the estoppel certificate of such Borrower Affiliated Tenant addressed to Lender, its successors and assigns in form and substance reasonably satisfactory to Lender stating, among other items, the date through which rent has been paid and whether or not there are any defaults thereunder and specifying the nature of such claimed defaults, if any.</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94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Borrower covenants and agrees that each Borrower Affiliated Lease and all of the terms, covenants and provisions thereof, and all estates, options and rights created under each Borrower Affiliated Lease shall at all times be subordinate and subject to the terms and provisions of the Loan Documents and lien of the Mortgage (including, without limitation, all renewals, increases, modifications, spreaders, consolidations, replacements and extensions thereof).</w:t>
      </w:r>
    </w:p>
    <w:p>
      <w:pPr>
        <w:spacing w:after="0" w:line="183"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4.12</w:t>
      </w:r>
      <w:r>
        <w:rPr>
          <w:sz w:val="20"/>
          <w:szCs w:val="20"/>
          <w:color w:val="auto"/>
        </w:rPr>
        <w:tab/>
      </w:r>
      <w:r>
        <w:rPr>
          <w:rFonts w:ascii="Arial" w:cs="Arial" w:eastAsia="Arial" w:hAnsi="Arial"/>
          <w:sz w:val="16"/>
          <w:szCs w:val="16"/>
          <w:b w:val="1"/>
          <w:bCs w:val="1"/>
          <w:u w:val="single" w:color="auto"/>
          <w:color w:val="auto"/>
        </w:rPr>
        <w:t>Repairs; Maintenance and Compliance; Alterations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b w:val="1"/>
          <w:bCs w:val="1"/>
          <w:color w:val="auto"/>
        </w:rPr>
        <w:t xml:space="preserve">4.12.1 </w:t>
      </w:r>
      <w:r>
        <w:rPr>
          <w:rFonts w:ascii="Arial" w:cs="Arial" w:eastAsia="Arial" w:hAnsi="Arial"/>
          <w:sz w:val="17"/>
          <w:szCs w:val="17"/>
          <w:b w:val="1"/>
          <w:bCs w:val="1"/>
          <w:u w:val="single" w:color="auto"/>
          <w:color w:val="auto"/>
        </w:rPr>
        <w:t>Repairs; Maintenance and Compliance</w:t>
      </w:r>
      <w:r>
        <w:rPr>
          <w:rFonts w:ascii="Arial" w:cs="Arial" w:eastAsia="Arial" w:hAnsi="Arial"/>
          <w:sz w:val="17"/>
          <w:szCs w:val="17"/>
          <w:color w:val="auto"/>
        </w:rPr>
        <w:t>. Borrower shall at all times maintain, preserve and protect all franchises and trade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names, and Borrower shall cause the Property to be maintained in a good and safe condition and repair and shall not remove, demolish or alter the Improvements or Equipment (except for alterations performed in accordance with </w:t>
      </w:r>
      <w:r>
        <w:rPr>
          <w:rFonts w:ascii="Arial" w:cs="Arial" w:eastAsia="Arial" w:hAnsi="Arial"/>
          <w:sz w:val="17"/>
          <w:szCs w:val="17"/>
          <w:u w:val="single" w:color="auto"/>
          <w:color w:val="auto"/>
        </w:rPr>
        <w:t>Section 4.12.2</w:t>
      </w:r>
      <w:r>
        <w:rPr>
          <w:rFonts w:ascii="Arial" w:cs="Arial" w:eastAsia="Arial" w:hAnsi="Arial"/>
          <w:sz w:val="17"/>
          <w:szCs w:val="17"/>
          <w:color w:val="auto"/>
        </w:rPr>
        <w:t xml:space="preserve"> below and normal replacement of Equipment with Equipment of equivalent value and functionality). Borrower shall promptly comply with all Legal Requirements (including municipal, state and federal laws) and immediately cure properly any violation of a Legal Requirement. Borrower also hereby covenants and agrees that it shall not commit, permit or suffer to exist any illegal commercial activities or commercial activities relating to controlled substances at the Property (including, without limitation, any growing, distributing and/or dispensing of marijuana for commercial purposes, medical or otherwise for so long as the foregoing is a violation of a Legal Requirement of any applicable Governmental Authority). Borrower shall notify Lender in writing within one (1) Business Day after Borrower first receives notice of any such non-compliance. Borrower shall promptly repair, replace or rebuild any part of the Property that becomes damaged, worn or dilapidated and shall complete and pay for any Improvements at any time in the process of construction or repair.</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8" w:name="page339"/>
    <w:bookmarkEnd w:id="338"/>
    <w:p>
      <w:pPr>
        <w:jc w:val="both"/>
        <w:ind w:firstLine="1296"/>
        <w:spacing w:after="0" w:line="283" w:lineRule="auto"/>
        <w:rPr>
          <w:sz w:val="20"/>
          <w:szCs w:val="20"/>
          <w:color w:val="auto"/>
        </w:rPr>
      </w:pPr>
      <w:r>
        <w:rPr>
          <w:rFonts w:ascii="Arial" w:cs="Arial" w:eastAsia="Arial" w:hAnsi="Arial"/>
          <w:sz w:val="16"/>
          <w:szCs w:val="16"/>
          <w:b w:val="1"/>
          <w:bCs w:val="1"/>
          <w:color w:val="auto"/>
        </w:rPr>
        <w:t xml:space="preserve">4.12.2 </w:t>
      </w:r>
      <w:r>
        <w:rPr>
          <w:rFonts w:ascii="Arial" w:cs="Arial" w:eastAsia="Arial" w:hAnsi="Arial"/>
          <w:sz w:val="16"/>
          <w:szCs w:val="16"/>
          <w:b w:val="1"/>
          <w:bCs w:val="1"/>
          <w:u w:val="single" w:color="auto"/>
          <w:color w:val="auto"/>
        </w:rPr>
        <w:t>Alterations</w:t>
      </w:r>
      <w:r>
        <w:rPr>
          <w:rFonts w:ascii="Arial" w:cs="Arial" w:eastAsia="Arial" w:hAnsi="Arial"/>
          <w:sz w:val="16"/>
          <w:szCs w:val="16"/>
          <w:color w:val="auto"/>
        </w:rPr>
        <w:t>. Borrower may, without Lender’s consent, perform alterations to the Improvements and Equipment which (i) do not</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Material Alteration, (ii) do not adversely affect Borrower’s financial condition or the value or net operating income of the Property and (iii) are in the ordinary course of Borrower’s business. Borrower shall not perform any Material Alteration without Lender’s prior written consent, which consent shall not, so long as no Event of Default has occurred and is continuing, be unreasonably withheld, conditioned or delayed. Lender may, as a condition to giving its consent to a Material Alteration, require that Borrower deliver to Lender security for payment of the cost of such Material Alteration and as additional security for Borrower’s Obligations under the Loan Documents, which security may be any of the following: (i) cash, (ii) a Letter of Credit, (iii) U.S. Obligations, or (iv) other securities acceptable to Lender, provided that Lender shall have received a Rating Agency Confirmation as to the form and issuer of same. Such security shall be in an amount equal to the excess of the total unpaid amounts incurred and to be incurred with respect to such alterations to the Improvements (other than such amounts to be paid or reimbursed by Tenants under the Leases) over the Alteration Threshold, and Lender may apply such security from time to time at the option of Lender to pay for such alterations. Upon substantial completion of any Material Alteration, Borrower shall provide evidence satisfactory to Lender that (i) the Material Alteration was constructed in accordance with applicable Legal Requirements,</w:t>
      </w:r>
    </w:p>
    <w:p>
      <w:pPr>
        <w:spacing w:after="0" w:line="8" w:lineRule="exact"/>
        <w:rPr>
          <w:sz w:val="20"/>
          <w:szCs w:val="20"/>
          <w:color w:val="auto"/>
        </w:rPr>
      </w:pPr>
    </w:p>
    <w:p>
      <w:pPr>
        <w:jc w:val="both"/>
        <w:ind w:firstLine="8"/>
        <w:spacing w:after="0" w:line="252" w:lineRule="auto"/>
        <w:tabs>
          <w:tab w:leader="none" w:pos="26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all contractors, subcontractors, materialmen and professionals who provided work, materials or services in connection with the Material Alteration have been paid in full and have delivered unconditional releases of liens, and (iii) all material licenses and permits necessary for the use, operation and occupancy of the Material Alteration (other than those which depend on the performance of tenant improvement work) have been issued. If Borrower has provided cash security, as provided above, such cash shall be released by Lender to fund such Material Alterations, and if Borrower has provided non-cash security, as provided above, except to the extent applied by Lender to fund such Material Alterations, Lender shall release and return such security upon Borrower’s satisfaction of the requirements of the preceding sentence.</w:t>
      </w:r>
    </w:p>
    <w:p>
      <w:pPr>
        <w:spacing w:after="0" w:line="19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Approval of Major Contracts</w:t>
      </w:r>
      <w:r>
        <w:rPr>
          <w:rFonts w:ascii="Arial" w:cs="Arial" w:eastAsia="Arial" w:hAnsi="Arial"/>
          <w:sz w:val="18"/>
          <w:szCs w:val="18"/>
          <w:color w:val="auto"/>
        </w:rPr>
        <w:t>. Borrower shall be required to obtain Lender’s prior written approval of any and all Major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affecting the Property, which approval shall not, so long as no Event of Default has occurred and is continuing, be unreasonably withheld, conditioned or delayed.</w:t>
      </w:r>
    </w:p>
    <w:p>
      <w:pPr>
        <w:spacing w:after="0" w:line="17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4.14</w:t>
      </w:r>
      <w:r>
        <w:rPr>
          <w:sz w:val="20"/>
          <w:szCs w:val="20"/>
          <w:color w:val="auto"/>
        </w:rPr>
        <w:tab/>
      </w:r>
      <w:r>
        <w:rPr>
          <w:rFonts w:ascii="Arial" w:cs="Arial" w:eastAsia="Arial" w:hAnsi="Arial"/>
          <w:sz w:val="16"/>
          <w:szCs w:val="16"/>
          <w:b w:val="1"/>
          <w:bCs w:val="1"/>
          <w:u w:val="single" w:color="auto"/>
          <w:color w:val="auto"/>
        </w:rPr>
        <w:t>Property Management</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4.14.1 </w:t>
      </w:r>
      <w:r>
        <w:rPr>
          <w:rFonts w:ascii="Arial" w:cs="Arial" w:eastAsia="Arial" w:hAnsi="Arial"/>
          <w:sz w:val="17"/>
          <w:szCs w:val="17"/>
          <w:b w:val="1"/>
          <w:bCs w:val="1"/>
          <w:u w:val="single" w:color="auto"/>
          <w:color w:val="auto"/>
        </w:rPr>
        <w:t>Management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4.14.4 below, and in the event that Borrower enters into a Management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the terms hereof, Borrower shall (i) cause Manager to manage the Property in accordance with the Management Agreement, (ii) diligently perform and observe all of the terms, covenants and conditions of the Management Agreement on the part of Borrower to be performed and observed, (iii) promptly notify Lender of any default under the Management Agreement of which it is aware, (iv) promptly deliver to Lender a copy of each financial statement, business plan, capital expenditures plan, report and estimate received by it under the Management Agreement, and (v) promptly enforce the performance and observance of all of the covenants required to be performed and observed by Manager under the Management Agreement. If Borrower shall default in the performance or observance of any material term, covenant or condition of the Management Agreement on the part of Borrower to be performed or observed, then, without limiting Lender’s other rights or remedies under this Agreement or the other Loan Documents, and without waiving or releasing Borrower from any of its Obligations hereunder or under the Management Agreement, Lender shall have the right, but shall be under no obligation, to pay any sums and to perform any act as may be appropriate to cause all the material terms, covenants and conditions of the Management Agreement on the part of Borrower to be performed or observed.</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9" w:name="page340"/>
    <w:bookmarkEnd w:id="339"/>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4.14.2 </w:t>
      </w:r>
      <w:r>
        <w:rPr>
          <w:rFonts w:ascii="Arial" w:cs="Arial" w:eastAsia="Arial" w:hAnsi="Arial"/>
          <w:sz w:val="16"/>
          <w:szCs w:val="16"/>
          <w:b w:val="1"/>
          <w:bCs w:val="1"/>
          <w:u w:val="single" w:color="auto"/>
          <w:color w:val="auto"/>
        </w:rPr>
        <w:t>Prohibition Against Termination or Modification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Borrower enters into a Management Agreement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terms hereof, Borrower shall not (i) surrender, terminate, cancel, modify, renew or extend the Management Agreement, (ii) enter into any other agreement relating to the management or operation of the Property with Manager or any other Person, (iii) consent to the assignment by the Manager of its interest under the Management Agreement, or (iv) waive or release any of its rights and remedies under the Management Agreement, in each case without the express consent of Lender, which consent shall not be unreasonably withheld, conditioned or delayed; provided, however, with respect to a new property manager such consent may be conditioned upon Borrower delivering a Rating Agency Confirmation from each applicable Rating Agency as to such new property manager and management agreement. Notwithstanding the foregoing, however, provided no Event of Default is continuing, the approval of Lender and the Rating Agencies shall not be required with respect to the appointment of an Unaffiliated Qualified Manager. If at any time Lender consents to the appointment of a new property manager or a Qualified Manager is appointed, such new property manager (including a Qualified Manager) and Borrower shall, as a condition of Lender’s consent, execute (a) a management agreement in form and substance reasonably acceptable to Lender, (b) a subordination of management agreement in a form reasonably acceptable to Lender and (c) deliver an updated non-consolidation opinion in form and substance, and from counsel, reasonably satisfactory to Lender and satisfactory to the Rating Agencies, if such Qualified Manager is an Affiliate of Borrower, Guarantor or Key Principal (the foregoing conditions set forth in clauses (a)-(c), the “</w:t>
      </w:r>
      <w:r>
        <w:rPr>
          <w:rFonts w:ascii="Arial" w:cs="Arial" w:eastAsia="Arial" w:hAnsi="Arial"/>
          <w:sz w:val="16"/>
          <w:szCs w:val="16"/>
          <w:b w:val="1"/>
          <w:bCs w:val="1"/>
          <w:u w:val="single" w:color="auto"/>
          <w:color w:val="auto"/>
        </w:rPr>
        <w:t>New Manager Conditions</w:t>
      </w:r>
      <w:r>
        <w:rPr>
          <w:rFonts w:ascii="Arial" w:cs="Arial" w:eastAsia="Arial" w:hAnsi="Arial"/>
          <w:sz w:val="16"/>
          <w:szCs w:val="16"/>
          <w:color w:val="auto"/>
        </w:rPr>
        <w:t>”).</w:t>
      </w:r>
    </w:p>
    <w:p>
      <w:pPr>
        <w:spacing w:after="0" w:line="16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4.14.3 </w:t>
      </w:r>
      <w:r>
        <w:rPr>
          <w:rFonts w:ascii="Arial" w:cs="Arial" w:eastAsia="Arial" w:hAnsi="Arial"/>
          <w:sz w:val="16"/>
          <w:szCs w:val="16"/>
          <w:b w:val="1"/>
          <w:bCs w:val="1"/>
          <w:u w:val="single" w:color="auto"/>
          <w:color w:val="auto"/>
        </w:rPr>
        <w:t>Replacement of Manager</w:t>
      </w:r>
      <w:r>
        <w:rPr>
          <w:rFonts w:ascii="Arial" w:cs="Arial" w:eastAsia="Arial" w:hAnsi="Arial"/>
          <w:sz w:val="16"/>
          <w:szCs w:val="16"/>
          <w:b w:val="1"/>
          <w:bCs w:val="1"/>
          <w:color w:val="auto"/>
        </w:rPr>
        <w:t xml:space="preserve">. </w:t>
      </w:r>
      <w:r>
        <w:rPr>
          <w:rFonts w:ascii="Arial" w:cs="Arial" w:eastAsia="Arial" w:hAnsi="Arial"/>
          <w:sz w:val="16"/>
          <w:szCs w:val="16"/>
          <w:color w:val="auto"/>
        </w:rPr>
        <w:t>Lender shall have the right to require Borrower to replace the Manager with (x) an Unaffiliated</w:t>
      </w:r>
      <w:r>
        <w:rPr>
          <w:rFonts w:ascii="Arial" w:cs="Arial" w:eastAsia="Arial" w:hAnsi="Arial"/>
          <w:sz w:val="16"/>
          <w:szCs w:val="16"/>
          <w:b w:val="1"/>
          <w:bCs w:val="1"/>
          <w:color w:val="auto"/>
        </w:rPr>
        <w:t xml:space="preserve"> </w:t>
      </w:r>
      <w:r>
        <w:rPr>
          <w:rFonts w:ascii="Arial" w:cs="Arial" w:eastAsia="Arial" w:hAnsi="Arial"/>
          <w:sz w:val="16"/>
          <w:szCs w:val="16"/>
          <w:color w:val="auto"/>
        </w:rPr>
        <w:t>Qualified Manager selected by Borrower or (y) another property manager chosen by Borrower and approved by Lender (provided, that such approval may be conditioned upon Borrower delivering a Rating Agency Confirmation from each applicable Rating Agency as to such new property manager and management agreement) upon the occurrence of any one or more of the following events: (i) at any time following the occurrence of an Event of Default,</w:t>
      </w:r>
    </w:p>
    <w:p>
      <w:pPr>
        <w:spacing w:after="0" w:line="2" w:lineRule="exact"/>
        <w:rPr>
          <w:sz w:val="20"/>
          <w:szCs w:val="20"/>
          <w:color w:val="auto"/>
        </w:rPr>
      </w:pPr>
    </w:p>
    <w:p>
      <w:pPr>
        <w:jc w:val="both"/>
        <w:ind w:firstLine="8"/>
        <w:spacing w:after="0" w:line="255" w:lineRule="auto"/>
        <w:tabs>
          <w:tab w:leader="none" w:pos="26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if Manager shall be in default under the Management Agreement beyond any applicable notice and cure period, (iii) if Manager shall become insolvent or a debtor in any bankruptcy or insolvency proceeding, or (iv) if at any time the Manager has engaged in gross negligence, fraud, willful misconduct or misappropriation of funds.</w:t>
      </w:r>
    </w:p>
    <w:p>
      <w:pPr>
        <w:spacing w:after="0" w:line="18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b w:val="1"/>
          <w:bCs w:val="1"/>
          <w:color w:val="auto"/>
        </w:rPr>
        <w:t xml:space="preserve">4.14.4 </w:t>
      </w:r>
      <w:r>
        <w:rPr>
          <w:rFonts w:ascii="Arial" w:cs="Arial" w:eastAsia="Arial" w:hAnsi="Arial"/>
          <w:sz w:val="16"/>
          <w:szCs w:val="16"/>
          <w:b w:val="1"/>
          <w:bCs w:val="1"/>
          <w:u w:val="single" w:color="auto"/>
          <w:color w:val="auto"/>
        </w:rPr>
        <w:t>Self-Management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terms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4.14.1</w:t>
      </w:r>
      <w:r>
        <w:rPr>
          <w:rFonts w:ascii="Arial" w:cs="Arial" w:eastAsia="Arial" w:hAnsi="Arial"/>
          <w:sz w:val="16"/>
          <w:szCs w:val="16"/>
          <w:b w:val="1"/>
          <w:bCs w:val="1"/>
          <w:color w:val="auto"/>
        </w:rPr>
        <w:t xml:space="preserve"> </w:t>
      </w:r>
      <w:r>
        <w:rPr>
          <w:rFonts w:ascii="Arial" w:cs="Arial" w:eastAsia="Arial" w:hAnsi="Arial"/>
          <w:sz w:val="16"/>
          <w:szCs w:val="16"/>
          <w:color w:val="auto"/>
        </w:rPr>
        <w:t>above, provided (i) no Event of Default has occurred and is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(ii) the entire Property is demised pursuant to the PUREgraphite Lease or a replacement Lease entered into in accordance with terms hereof which is in full force and effect, (iii) the applicable Lease is a “triple net” lease and the Borrower does not have any ongoing management or operations obligations with respect to the applicable Lease or the Property, (iv) the Tenant pursuant to said Lease is not in material default thereunder (beyond any applicable notice and cure period), and (v) Borrower has not engaged any manager nor entered into any management agreement with respect to the Property, Borrower shall not be required to enter into a Management Agreement or engage a Manager to manage the Property, and the terms hereof regarding management of the Property shall be deemed satisfied (the foregoing, collectively, the “</w:t>
      </w:r>
      <w:r>
        <w:rPr>
          <w:rFonts w:ascii="Arial" w:cs="Arial" w:eastAsia="Arial" w:hAnsi="Arial"/>
          <w:sz w:val="16"/>
          <w:szCs w:val="16"/>
          <w:b w:val="1"/>
          <w:bCs w:val="1"/>
          <w:i w:val="1"/>
          <w:iCs w:val="1"/>
          <w:color w:val="auto"/>
        </w:rPr>
        <w:t>Management Waiver Conditions</w:t>
      </w:r>
      <w:r>
        <w:rPr>
          <w:rFonts w:ascii="Arial" w:cs="Arial" w:eastAsia="Arial" w:hAnsi="Arial"/>
          <w:sz w:val="16"/>
          <w:szCs w:val="16"/>
          <w:color w:val="auto"/>
        </w:rPr>
        <w:t>”). At any time that the Management Waiver Conditions are no longer satisfied, Lender shall have the right to require Borrower to (1) engage (x) an Unaffiliated Qualified Manager selected by Borrower or (y) another property manager chosen by Borrower and approved by Lender (provided, that such approval may be conditioned upon Borrower delivering a Rating Agency Confirmation from each applicable Rating Agency as to such new property manager and management agreement) to manage the Property in accordance with the terms hereof and (2) satisfy the New Manager Conditions in connection therewith.</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0" w:name="page341"/>
    <w:bookmarkEnd w:id="340"/>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4.15</w:t>
      </w:r>
      <w:r>
        <w:rPr>
          <w:sz w:val="20"/>
          <w:szCs w:val="20"/>
          <w:color w:val="auto"/>
        </w:rPr>
        <w:tab/>
      </w:r>
      <w:r>
        <w:rPr>
          <w:rFonts w:ascii="Arial" w:cs="Arial" w:eastAsia="Arial" w:hAnsi="Arial"/>
          <w:sz w:val="16"/>
          <w:szCs w:val="16"/>
          <w:b w:val="1"/>
          <w:bCs w:val="1"/>
          <w:u w:val="single" w:color="auto"/>
          <w:color w:val="auto"/>
        </w:rPr>
        <w:t>Performance by Borrower; Compliance with Agreements</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311" w:lineRule="auto"/>
        <w:tabs>
          <w:tab w:leader="none" w:pos="2036" w:val="left"/>
        </w:tabs>
        <w:numPr>
          <w:ilvl w:val="0"/>
          <w:numId w:val="360"/>
        </w:numPr>
        <w:rPr>
          <w:rFonts w:ascii="Arial" w:cs="Arial" w:eastAsia="Arial" w:hAnsi="Arial"/>
          <w:sz w:val="16"/>
          <w:szCs w:val="16"/>
          <w:color w:val="auto"/>
        </w:rPr>
      </w:pPr>
      <w:r>
        <w:rPr>
          <w:rFonts w:ascii="Arial" w:cs="Arial" w:eastAsia="Arial" w:hAnsi="Arial"/>
          <w:sz w:val="16"/>
          <w:szCs w:val="16"/>
          <w:color w:val="auto"/>
        </w:rPr>
        <w:t>Borrower shall in a timely manner observe, perform and fulfill each and every covenant, term and provision of each Loan Document executed and delivered by, or applicable to, Borrower, and shall not enter into or otherwise suffer or permit any amendment, waiver, supplement, termination or other modification of any Loan Document executed and delivered by, or applicable to, Borrower without the prior consent of Lender.</w:t>
      </w:r>
    </w:p>
    <w:p>
      <w:pPr>
        <w:spacing w:after="0" w:line="148" w:lineRule="exact"/>
        <w:rPr>
          <w:rFonts w:ascii="Arial" w:cs="Arial" w:eastAsia="Arial" w:hAnsi="Arial"/>
          <w:sz w:val="16"/>
          <w:szCs w:val="16"/>
          <w:color w:val="auto"/>
        </w:rPr>
      </w:pPr>
    </w:p>
    <w:p>
      <w:pPr>
        <w:ind w:right="20" w:firstLine="1304"/>
        <w:spacing w:after="0" w:line="277" w:lineRule="auto"/>
        <w:tabs>
          <w:tab w:leader="none" w:pos="186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Borrower shall at all times comply in all material respects with all Operations Agreements. Borrower agrees that without the prior written consent of Lender, Borrower will not amend, modify or terminate any of the Operations Agreements.</w:t>
      </w:r>
    </w:p>
    <w:p>
      <w:pPr>
        <w:spacing w:after="0" w:line="170" w:lineRule="exact"/>
        <w:rPr>
          <w:rFonts w:ascii="Arial" w:cs="Arial" w:eastAsia="Arial" w:hAnsi="Arial"/>
          <w:sz w:val="18"/>
          <w:szCs w:val="18"/>
          <w:color w:val="auto"/>
        </w:rPr>
      </w:pPr>
    </w:p>
    <w:p>
      <w:pPr>
        <w:ind w:left="1860" w:hanging="556"/>
        <w:spacing w:after="0"/>
        <w:tabs>
          <w:tab w:leader="none" w:pos="18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Borrower shall not cause and/or permit any bonds to be issued in connection with any of the PILOT Documents.</w:t>
      </w:r>
    </w:p>
    <w:p>
      <w:pPr>
        <w:spacing w:after="0" w:line="225" w:lineRule="exact"/>
        <w:rPr>
          <w:rFonts w:ascii="Arial" w:cs="Arial" w:eastAsia="Arial" w:hAnsi="Arial"/>
          <w:sz w:val="18"/>
          <w:szCs w:val="18"/>
          <w:color w:val="auto"/>
        </w:rPr>
      </w:pPr>
    </w:p>
    <w:p>
      <w:pPr>
        <w:jc w:val="both"/>
        <w:ind w:firstLine="1304"/>
        <w:spacing w:after="0" w:line="270" w:lineRule="auto"/>
        <w:tabs>
          <w:tab w:leader="none" w:pos="2024" w:val="left"/>
        </w:tabs>
        <w:numPr>
          <w:ilvl w:val="0"/>
          <w:numId w:val="360"/>
        </w:numPr>
        <w:rPr>
          <w:rFonts w:ascii="Arial" w:cs="Arial" w:eastAsia="Arial" w:hAnsi="Arial"/>
          <w:sz w:val="17"/>
          <w:szCs w:val="17"/>
          <w:color w:val="auto"/>
        </w:rPr>
      </w:pPr>
      <w:r>
        <w:rPr>
          <w:rFonts w:ascii="Arial" w:cs="Arial" w:eastAsia="Arial" w:hAnsi="Arial"/>
          <w:sz w:val="17"/>
          <w:szCs w:val="17"/>
          <w:color w:val="auto"/>
        </w:rPr>
        <w:t>Notwithstanding the foregoing, or anything to the contrary set forth herein, Borrower may execute and deliver an easement agreement in substantially the form annexed hereto as Exhibit C (the “</w:t>
      </w:r>
      <w:r>
        <w:rPr>
          <w:rFonts w:ascii="Arial" w:cs="Arial" w:eastAsia="Arial" w:hAnsi="Arial"/>
          <w:sz w:val="17"/>
          <w:szCs w:val="17"/>
          <w:b w:val="1"/>
          <w:bCs w:val="1"/>
          <w:u w:val="single" w:color="auto"/>
          <w:color w:val="auto"/>
        </w:rPr>
        <w:t>Additional Access Easement Agreement</w:t>
      </w:r>
      <w:r>
        <w:rPr>
          <w:rFonts w:ascii="Arial" w:cs="Arial" w:eastAsia="Arial" w:hAnsi="Arial"/>
          <w:sz w:val="17"/>
          <w:szCs w:val="17"/>
          <w:color w:val="auto"/>
        </w:rPr>
        <w:t>”), provided that (i) no Event of Default has occurred and is continuing, (ii) Borrower promptly causes such Additional Access Easement Agreement to be recorded with the office of the county clerk of Hamilton County, Tennessee, and (iii) Borrower promptly delivers to Lender a copy of the fully executed and recorded Additional Access Easement Agreement. Without limitation of the foregoing, if at any time any Affiliate of Borrower and/or Guarantor acquires the Burdened Parcel (as defined in the form of Additional Access Easement Agreement annexed hereto as Exhibit C), Borrower shall, within ten (10) Business Days of such acquisition, cause an Additional Access Easement Agreement to be executed, delivered and recorded in accordance with immediately preceding sentence. For the avoidance of doubt, upon the execution and delivery of the Additional Access Easement Agreement, the same shall be deemed to be included within the definition of “Property,” “Operations Agreement,” and “REA” for all purposes under the Loan Documents.</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1" w:name="page342"/>
    <w:bookmarkEnd w:id="341"/>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4.16</w:t>
      </w:r>
      <w:r>
        <w:rPr>
          <w:sz w:val="20"/>
          <w:szCs w:val="20"/>
          <w:color w:val="auto"/>
        </w:rPr>
        <w:tab/>
      </w:r>
      <w:r>
        <w:rPr>
          <w:rFonts w:ascii="Arial" w:cs="Arial" w:eastAsia="Arial" w:hAnsi="Arial"/>
          <w:sz w:val="16"/>
          <w:szCs w:val="16"/>
          <w:b w:val="1"/>
          <w:bCs w:val="1"/>
          <w:u w:val="single" w:color="auto"/>
          <w:color w:val="auto"/>
        </w:rPr>
        <w:t>Licenses; Intellectual Property; Website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4.16.1 </w:t>
      </w:r>
      <w:r>
        <w:rPr>
          <w:rFonts w:ascii="Arial" w:cs="Arial" w:eastAsia="Arial" w:hAnsi="Arial"/>
          <w:sz w:val="17"/>
          <w:szCs w:val="17"/>
          <w:b w:val="1"/>
          <w:bCs w:val="1"/>
          <w:u w:val="single" w:color="auto"/>
          <w:color w:val="auto"/>
        </w:rPr>
        <w:t>Licenses</w:t>
      </w:r>
      <w:r>
        <w:rPr>
          <w:rFonts w:ascii="Arial" w:cs="Arial" w:eastAsia="Arial" w:hAnsi="Arial"/>
          <w:sz w:val="17"/>
          <w:szCs w:val="17"/>
          <w:color w:val="auto"/>
        </w:rPr>
        <w:t>. Borrower shall keep and maintain all Licenses necessary for the operation of the Property as an industrial facility.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Borrower shall not transfer any Licenses required for the operation of the Property.</w:t>
      </w:r>
    </w:p>
    <w:p>
      <w:pPr>
        <w:spacing w:after="0" w:line="20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4.16.2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Borrower shall keep and maintain all Intellectual Property relating to the Borrower’s ownership or</w:t>
      </w:r>
      <w:r>
        <w:rPr>
          <w:rFonts w:ascii="Arial" w:cs="Arial" w:eastAsia="Arial" w:hAnsi="Arial"/>
          <w:sz w:val="18"/>
          <w:szCs w:val="18"/>
          <w:b w:val="1"/>
          <w:bCs w:val="1"/>
          <w:color w:val="auto"/>
        </w:rPr>
        <w:t xml:space="preserve"> </w:t>
      </w:r>
      <w:r>
        <w:rPr>
          <w:rFonts w:ascii="Arial" w:cs="Arial" w:eastAsia="Arial" w:hAnsi="Arial"/>
          <w:sz w:val="18"/>
          <w:szCs w:val="18"/>
          <w:color w:val="auto"/>
        </w:rPr>
        <w:t>leasehold interest in the Property, and all such Intellectual Property shall be held by and (if applicable) registered in the name of Borrower. Borrower shall not Transfer or let lapse any of its Intellectual Property without Lender’s prior consent.</w:t>
      </w:r>
    </w:p>
    <w:p>
      <w:pPr>
        <w:spacing w:after="0" w:line="176" w:lineRule="exact"/>
        <w:rPr>
          <w:sz w:val="20"/>
          <w:szCs w:val="20"/>
          <w:color w:val="auto"/>
        </w:rPr>
      </w:pPr>
    </w:p>
    <w:p>
      <w:pPr>
        <w:jc w:val="both"/>
        <w:ind w:firstLine="1296"/>
        <w:spacing w:after="0" w:line="347" w:lineRule="auto"/>
        <w:rPr>
          <w:sz w:val="20"/>
          <w:szCs w:val="20"/>
          <w:color w:val="auto"/>
        </w:rPr>
      </w:pPr>
      <w:r>
        <w:rPr>
          <w:rFonts w:ascii="Arial" w:cs="Arial" w:eastAsia="Arial" w:hAnsi="Arial"/>
          <w:sz w:val="16"/>
          <w:szCs w:val="16"/>
          <w:b w:val="1"/>
          <w:bCs w:val="1"/>
          <w:color w:val="auto"/>
        </w:rPr>
        <w:t xml:space="preserve">4.16.3 </w:t>
      </w:r>
      <w:r>
        <w:rPr>
          <w:rFonts w:ascii="Arial" w:cs="Arial" w:eastAsia="Arial" w:hAnsi="Arial"/>
          <w:sz w:val="16"/>
          <w:szCs w:val="16"/>
          <w:b w:val="1"/>
          <w:bCs w:val="1"/>
          <w:u w:val="single" w:color="auto"/>
          <w:color w:val="auto"/>
        </w:rPr>
        <w:t>Website</w:t>
      </w:r>
      <w:r>
        <w:rPr>
          <w:rFonts w:ascii="Arial" w:cs="Arial" w:eastAsia="Arial" w:hAnsi="Arial"/>
          <w:sz w:val="16"/>
          <w:szCs w:val="16"/>
          <w:color w:val="auto"/>
        </w:rPr>
        <w:t>. Any website with respect to the Property (other than Tenant websites) shall be maintained by or on behalf of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such website shall be registered in the name of Borrower. Borrower shall not Transfer any such website without Lender’s prior consent.</w:t>
      </w:r>
    </w:p>
    <w:p>
      <w:pPr>
        <w:spacing w:after="0" w:line="1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4.17</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Borrower shall, at Borrower’s sole cost and expense:</w:t>
      </w:r>
    </w:p>
    <w:p>
      <w:pPr>
        <w:spacing w:after="0" w:line="229" w:lineRule="exact"/>
        <w:rPr>
          <w:sz w:val="20"/>
          <w:szCs w:val="20"/>
          <w:color w:val="auto"/>
        </w:rPr>
      </w:pPr>
    </w:p>
    <w:p>
      <w:pPr>
        <w:jc w:val="both"/>
        <w:ind w:firstLine="1304"/>
        <w:spacing w:after="0" w:line="311" w:lineRule="auto"/>
        <w:tabs>
          <w:tab w:leader="none" w:pos="218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furnish to Lender all instruments, documents, boundary surveys, footing or foundation surveys, certificates, plans and specifications, appraisals, title and other insurance reports and agreements, and each and every other document, certificate, agreement and instrument required to be furnished by Borrower pursuant to the terms of the Loan Documents or which are reasonably requested by Lender in connection therewith;</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200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cure any defects in the execution and delivery of the Loan Documents and execute and deliver, or cause to be executed and delivered, to Lender such documents, instruments, certificates, assignments and other writings, and do such other acts necessary or desirable, to correct any omissions in the Loan Documents, to evidence, preserve and/or protect the collateral at any time securing or intended to secure the Obligations, as Lender may reasonably require; and</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975" w:val="left"/>
        </w:tabs>
        <w:numPr>
          <w:ilvl w:val="0"/>
          <w:numId w:val="361"/>
        </w:numPr>
        <w:rPr>
          <w:rFonts w:ascii="Arial" w:cs="Arial" w:eastAsia="Arial" w:hAnsi="Arial"/>
          <w:sz w:val="16"/>
          <w:szCs w:val="16"/>
          <w:color w:val="auto"/>
        </w:rPr>
      </w:pPr>
      <w:r>
        <w:rPr>
          <w:rFonts w:ascii="Arial" w:cs="Arial" w:eastAsia="Arial" w:hAnsi="Arial"/>
          <w:sz w:val="16"/>
          <w:szCs w:val="16"/>
          <w:color w:val="auto"/>
        </w:rPr>
        <w:t>do and execute all and such further lawful and reasonable acts, conveyances and assurances for the better and more effective carrying out of the intents and purposes of this Agreement and the other Loan Documents, as Lender may reasonably require from time to time, including without limitation, upon Lender’s request, Borrower shall, and shall cause Guarantor to, reasonably cooperate with providing information reasonably requested by Lender to update compliance with Lender’s “Know Your Customer” and other similar policies and procedures during the term of the Loan.</w:t>
      </w:r>
    </w:p>
    <w:p>
      <w:pPr>
        <w:spacing w:after="0" w:line="15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4.18</w:t>
      </w:r>
      <w:r>
        <w:rPr>
          <w:sz w:val="20"/>
          <w:szCs w:val="20"/>
          <w:color w:val="auto"/>
        </w:rPr>
        <w:tab/>
      </w:r>
      <w:r>
        <w:rPr>
          <w:rFonts w:ascii="Arial" w:cs="Arial" w:eastAsia="Arial" w:hAnsi="Arial"/>
          <w:sz w:val="16"/>
          <w:szCs w:val="16"/>
          <w:b w:val="1"/>
          <w:bCs w:val="1"/>
          <w:u w:val="single" w:color="auto"/>
          <w:color w:val="auto"/>
        </w:rPr>
        <w:t>Estoppel Statement</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91" w:lineRule="auto"/>
        <w:tabs>
          <w:tab w:leader="none" w:pos="1903" w:val="left"/>
        </w:tabs>
        <w:numPr>
          <w:ilvl w:val="1"/>
          <w:numId w:val="362"/>
        </w:numPr>
        <w:rPr>
          <w:rFonts w:ascii="Arial" w:cs="Arial" w:eastAsia="Arial" w:hAnsi="Arial"/>
          <w:sz w:val="16"/>
          <w:szCs w:val="16"/>
          <w:color w:val="auto"/>
        </w:rPr>
      </w:pPr>
      <w:r>
        <w:rPr>
          <w:rFonts w:ascii="Arial" w:cs="Arial" w:eastAsia="Arial" w:hAnsi="Arial"/>
          <w:sz w:val="16"/>
          <w:szCs w:val="16"/>
          <w:color w:val="auto"/>
        </w:rPr>
        <w:t>After request by Lender, Borrower shall within five (5) Business Days furnish Lender with a statement, duly acknowledged and certified, stating (i) the Outstanding Principal Balance of the Note, (ii) the Interest Rate, (iii) the date installments of interest and/or principal were last paid,</w:t>
      </w:r>
    </w:p>
    <w:p>
      <w:pPr>
        <w:ind w:firstLine="8"/>
        <w:spacing w:after="0" w:line="260" w:lineRule="auto"/>
        <w:tabs>
          <w:tab w:leader="none" w:pos="30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offsets or defenses to the payment and performance of the Obligations, if any, and (v) that this Agreement and the other Loan Documents have not been modified or if modified, giving particulars of such modification.</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2" w:name="page343"/>
    <w:bookmarkEnd w:id="342"/>
    <w:p>
      <w:pPr>
        <w:jc w:val="both"/>
        <w:ind w:firstLine="1304"/>
        <w:spacing w:after="0" w:line="259" w:lineRule="auto"/>
        <w:tabs>
          <w:tab w:leader="none" w:pos="1866" w:val="left"/>
        </w:tabs>
        <w:numPr>
          <w:ilvl w:val="0"/>
          <w:numId w:val="364"/>
        </w:numPr>
        <w:rPr>
          <w:rFonts w:ascii="Arial" w:cs="Arial" w:eastAsia="Arial" w:hAnsi="Arial"/>
          <w:sz w:val="18"/>
          <w:szCs w:val="18"/>
          <w:color w:val="auto"/>
        </w:rPr>
      </w:pPr>
      <w:r>
        <w:rPr>
          <w:rFonts w:ascii="Arial" w:cs="Arial" w:eastAsia="Arial" w:hAnsi="Arial"/>
          <w:sz w:val="18"/>
          <w:szCs w:val="18"/>
          <w:color w:val="auto"/>
        </w:rPr>
        <w:t>Borrower shall deliver to Lender, upon request, an estoppel certificate from each Tenant under any Lease (provided that Borrower shall only be required to use commercially reasonable efforts to obtain an estoppel certificate from any Tenant not required to provide an estoppel certificate under its Lease) in form and substance reasonably satisfactory to Lender; provided, that Borrower shall not be required to deliver such certificates more frequently than three (3) times in any calendar year.</w:t>
      </w:r>
    </w:p>
    <w:p>
      <w:pPr>
        <w:spacing w:after="0" w:line="186" w:lineRule="exact"/>
        <w:rPr>
          <w:rFonts w:ascii="Arial" w:cs="Arial" w:eastAsia="Arial" w:hAnsi="Arial"/>
          <w:sz w:val="18"/>
          <w:szCs w:val="18"/>
          <w:color w:val="auto"/>
        </w:rPr>
      </w:pPr>
    </w:p>
    <w:p>
      <w:pPr>
        <w:ind w:left="1940" w:hanging="636"/>
        <w:spacing w:after="0"/>
        <w:tabs>
          <w:tab w:leader="none" w:pos="194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Borrower shall deliver to Lender, upon request, estoppel certificates from each party under any Operations Agreement, in form</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and substance reasonably satisfactory to Lender; provided, that Borrower shall not be required to deliver such certificates more than three (3) times during the Term and not more frequently than once per calendar year (or twice during any calendar year in which a Securitization occurs).</w:t>
      </w:r>
    </w:p>
    <w:p>
      <w:pPr>
        <w:spacing w:after="0" w:line="161" w:lineRule="exact"/>
        <w:rPr>
          <w:sz w:val="20"/>
          <w:szCs w:val="20"/>
          <w:color w:val="auto"/>
        </w:rPr>
      </w:pPr>
    </w:p>
    <w:p>
      <w:pPr>
        <w:jc w:val="both"/>
        <w:ind w:firstLine="1304"/>
        <w:spacing w:after="0" w:line="263" w:lineRule="auto"/>
        <w:tabs>
          <w:tab w:leader="none" w:pos="19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Borrower shall deliver to Lender, upon request, estoppel certificates from the ground lessor, in form and substance reasonably satisfactory to Lender; provided, that Borrower shall not be required to deliver such certificates more than three (3) times during the Term and not more frequently than once per calendar year (or twice during any calendar year in which a Securitization occurs).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4.19 </w:t>
      </w:r>
      <w:r>
        <w:rPr>
          <w:rFonts w:ascii="Arial" w:cs="Arial" w:eastAsia="Arial" w:hAnsi="Arial"/>
          <w:sz w:val="18"/>
          <w:szCs w:val="18"/>
          <w:b w:val="1"/>
          <w:bCs w:val="1"/>
          <w:u w:val="single" w:color="auto"/>
          <w:color w:val="auto"/>
        </w:rPr>
        <w:t>Notice of Default</w:t>
      </w:r>
      <w:r>
        <w:rPr>
          <w:rFonts w:ascii="Arial" w:cs="Arial" w:eastAsia="Arial" w:hAnsi="Arial"/>
          <w:sz w:val="18"/>
          <w:szCs w:val="18"/>
          <w:color w:val="auto"/>
        </w:rPr>
        <w:t>. Borrower shall promptly advise Lender of the occurrence of any Default or Event of Default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has knowledge.</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4.20 </w:t>
      </w:r>
      <w:r>
        <w:rPr>
          <w:rFonts w:ascii="Arial" w:cs="Arial" w:eastAsia="Arial" w:hAnsi="Arial"/>
          <w:sz w:val="17"/>
          <w:szCs w:val="17"/>
          <w:b w:val="1"/>
          <w:bCs w:val="1"/>
          <w:u w:val="single" w:color="auto"/>
          <w:color w:val="auto"/>
        </w:rPr>
        <w:t>Cooperate in Legal Proceedings</w:t>
      </w:r>
      <w:r>
        <w:rPr>
          <w:rFonts w:ascii="Arial" w:cs="Arial" w:eastAsia="Arial" w:hAnsi="Arial"/>
          <w:sz w:val="17"/>
          <w:szCs w:val="17"/>
          <w:color w:val="auto"/>
        </w:rPr>
        <w:t>. Borrower shall cooperate fully with Lender with respect to any proceedings before any court,</w:t>
      </w:r>
      <w:r>
        <w:rPr>
          <w:rFonts w:ascii="Arial" w:cs="Arial" w:eastAsia="Arial" w:hAnsi="Arial"/>
          <w:sz w:val="17"/>
          <w:szCs w:val="17"/>
          <w:b w:val="1"/>
          <w:bCs w:val="1"/>
          <w:color w:val="auto"/>
        </w:rPr>
        <w:t xml:space="preserve"> </w:t>
      </w:r>
      <w:r>
        <w:rPr>
          <w:rFonts w:ascii="Arial" w:cs="Arial" w:eastAsia="Arial" w:hAnsi="Arial"/>
          <w:sz w:val="17"/>
          <w:szCs w:val="17"/>
          <w:color w:val="auto"/>
        </w:rPr>
        <w:t>board or other Governmental Authority which may in any way affect the rights of Lender hereunder or any rights obtained by Lender under any of the other Loan Documents and, in connection therewith, permit Lender, at its election, to participate in any such proceedings.</w:t>
      </w:r>
    </w:p>
    <w:p>
      <w:pPr>
        <w:spacing w:after="0" w:line="15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4.21 </w:t>
      </w:r>
      <w:r>
        <w:rPr>
          <w:rFonts w:ascii="Arial" w:cs="Arial" w:eastAsia="Arial" w:hAnsi="Arial"/>
          <w:sz w:val="17"/>
          <w:szCs w:val="17"/>
          <w:b w:val="1"/>
          <w:bCs w:val="1"/>
          <w:u w:val="single" w:color="auto"/>
          <w:color w:val="auto"/>
        </w:rPr>
        <w:t>Indebtedness</w:t>
      </w:r>
      <w:r>
        <w:rPr>
          <w:rFonts w:ascii="Arial" w:cs="Arial" w:eastAsia="Arial" w:hAnsi="Arial"/>
          <w:sz w:val="17"/>
          <w:szCs w:val="17"/>
          <w:color w:val="auto"/>
        </w:rPr>
        <w:t>. Borrower shall not directly or indirectly create, incur or assume any Indebtedness other than (i) the Debt and (ii)</w:t>
      </w:r>
      <w:r>
        <w:rPr>
          <w:rFonts w:ascii="Arial" w:cs="Arial" w:eastAsia="Arial" w:hAnsi="Arial"/>
          <w:sz w:val="17"/>
          <w:szCs w:val="17"/>
          <w:b w:val="1"/>
          <w:bCs w:val="1"/>
          <w:color w:val="auto"/>
        </w:rPr>
        <w:t xml:space="preserve"> </w:t>
      </w:r>
      <w:r>
        <w:rPr>
          <w:rFonts w:ascii="Arial" w:cs="Arial" w:eastAsia="Arial" w:hAnsi="Arial"/>
          <w:sz w:val="17"/>
          <w:szCs w:val="17"/>
          <w:color w:val="auto"/>
        </w:rPr>
        <w:t>unsecured trade payables incurred in the ordinary course of business relating to the ownership and operation of the Property, which in the case of such unsecured trade payables (A) are not evidenced by a note, (B) do not exceed, at any time, a maximum aggregate amount of two percent (2%) of the Outstanding Principal Balance and (C) are paid within thirty (30) days of the date incurred (collectively, “</w:t>
      </w:r>
      <w:r>
        <w:rPr>
          <w:rFonts w:ascii="Arial" w:cs="Arial" w:eastAsia="Arial" w:hAnsi="Arial"/>
          <w:sz w:val="17"/>
          <w:szCs w:val="17"/>
          <w:b w:val="1"/>
          <w:bCs w:val="1"/>
          <w:i w:val="1"/>
          <w:iCs w:val="1"/>
          <w:color w:val="auto"/>
        </w:rPr>
        <w:t>Permitted Indebtedness</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4.22 </w:t>
      </w:r>
      <w:r>
        <w:rPr>
          <w:rFonts w:ascii="Arial" w:cs="Arial" w:eastAsia="Arial" w:hAnsi="Arial"/>
          <w:sz w:val="17"/>
          <w:szCs w:val="17"/>
          <w:b w:val="1"/>
          <w:bCs w:val="1"/>
          <w:u w:val="single" w:color="auto"/>
          <w:color w:val="auto"/>
        </w:rPr>
        <w:t>Business and Operations</w:t>
      </w:r>
      <w:r>
        <w:rPr>
          <w:rFonts w:ascii="Arial" w:cs="Arial" w:eastAsia="Arial" w:hAnsi="Arial"/>
          <w:sz w:val="17"/>
          <w:szCs w:val="17"/>
          <w:color w:val="auto"/>
        </w:rPr>
        <w:t>. Borrower will continue to engage in the businesses presently conducted by it as and to the extent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are necessary for the ownership, maintenance, management and operation of the Property, and Borrower shall not change the use of the Property from the use of the Property existing as of the Closing Date. Borrower will qualify to do business and will remain in good standing under the laws of each jurisdiction as and to the extent the same are required for the ownership, maintenance, management and operation of the Property.</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4.23 </w:t>
      </w:r>
      <w:r>
        <w:rPr>
          <w:rFonts w:ascii="Arial" w:cs="Arial" w:eastAsia="Arial" w:hAnsi="Arial"/>
          <w:sz w:val="18"/>
          <w:szCs w:val="18"/>
          <w:b w:val="1"/>
          <w:bCs w:val="1"/>
          <w:u w:val="single" w:color="auto"/>
          <w:color w:val="auto"/>
        </w:rPr>
        <w:t>Dissolution</w:t>
      </w:r>
      <w:r>
        <w:rPr>
          <w:rFonts w:ascii="Arial" w:cs="Arial" w:eastAsia="Arial" w:hAnsi="Arial"/>
          <w:sz w:val="18"/>
          <w:szCs w:val="18"/>
          <w:color w:val="auto"/>
        </w:rPr>
        <w:t>. Borrower shall not (i) engage in any dissolution, liquidation, consolidation, division (whether pursuant to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18-217 of the Act or otherwise), or merger with or into any one or more other business entities, (ii) engage in any business activity not related to the ownership and operation of the Property, (iii) transfer, lease or sell, in one transaction or any combination of transactions, all or substantially all of the property or assets of Borrower except to the extent expressly permitted by the Loan Documents, or (iv) cause, permit or suffer Borrower to (A) dissolve, divide (whether pursuant to Section 18-217 of the Act or otherwise), wind up or liquidate or take any action, or omit to take any action, as a result of which Borrower would be dissolved, divided (whether pursuant to Section 18-217 of the Act or otherwise), wound up or liquidated in whole or in part, or (B) amend, modify, waive or terminate the certificate of formation or operating agreement of Borrower, in each case without obtaining the prior consent of Lender.</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3" w:name="page344"/>
    <w:bookmarkEnd w:id="343"/>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4.24 </w:t>
      </w:r>
      <w:r>
        <w:rPr>
          <w:rFonts w:ascii="Arial" w:cs="Arial" w:eastAsia="Arial" w:hAnsi="Arial"/>
          <w:sz w:val="16"/>
          <w:szCs w:val="16"/>
          <w:b w:val="1"/>
          <w:bCs w:val="1"/>
          <w:u w:val="single" w:color="auto"/>
          <w:color w:val="auto"/>
        </w:rPr>
        <w:t>Debt Cancellation</w:t>
      </w:r>
      <w:r>
        <w:rPr>
          <w:rFonts w:ascii="Arial" w:cs="Arial" w:eastAsia="Arial" w:hAnsi="Arial"/>
          <w:sz w:val="16"/>
          <w:szCs w:val="16"/>
          <w:color w:val="auto"/>
        </w:rPr>
        <w:t>. Borrower shall not cancel or otherwise forgive or release any claim or debt (other than the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Leases in accordance herewith) owed to Borrower by any Person, except for adequate consideration and in the ordinary course of Borrower’s business.</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4.25 </w:t>
      </w:r>
      <w:r>
        <w:rPr>
          <w:rFonts w:ascii="Arial" w:cs="Arial" w:eastAsia="Arial" w:hAnsi="Arial"/>
          <w:sz w:val="18"/>
          <w:szCs w:val="18"/>
          <w:b w:val="1"/>
          <w:bCs w:val="1"/>
          <w:u w:val="single" w:color="auto"/>
          <w:color w:val="auto"/>
        </w:rPr>
        <w:t>Affiliate Transactions</w:t>
      </w:r>
      <w:r>
        <w:rPr>
          <w:rFonts w:ascii="Arial" w:cs="Arial" w:eastAsia="Arial" w:hAnsi="Arial"/>
          <w:sz w:val="18"/>
          <w:szCs w:val="18"/>
          <w:color w:val="auto"/>
        </w:rPr>
        <w:t>. Borrower shall not enter into, or be a party to, any transaction with an Affiliate of Borrower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members or shareholders, as applicable, of Borrower except in the ordinary course of business and on terms which are no less favorable to Borrower or such Affiliate than would be obtained in a comparable arm’s-length transaction with an unrelated third party.</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4.26 </w:t>
      </w:r>
      <w:r>
        <w:rPr>
          <w:rFonts w:ascii="Arial" w:cs="Arial" w:eastAsia="Arial" w:hAnsi="Arial"/>
          <w:sz w:val="18"/>
          <w:szCs w:val="18"/>
          <w:b w:val="1"/>
          <w:bCs w:val="1"/>
          <w:u w:val="single" w:color="auto"/>
          <w:color w:val="auto"/>
        </w:rPr>
        <w:t>No Joint Assessment</w:t>
      </w:r>
      <w:r>
        <w:rPr>
          <w:rFonts w:ascii="Arial" w:cs="Arial" w:eastAsia="Arial" w:hAnsi="Arial"/>
          <w:sz w:val="18"/>
          <w:szCs w:val="18"/>
          <w:color w:val="auto"/>
        </w:rPr>
        <w:t>. Borrower shall not suffer, permit or initiate the joint assessment of the Property (i) with any other real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constituting a tax lot separate from the Property, and (ii) with any portion of the Property which may be deemed to constitute personal property, or any other procedure whereby the Lien of any taxes which may be levied against such personal property shall be assessed or levied or charged to the Property.</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4.27 </w:t>
      </w:r>
      <w:r>
        <w:rPr>
          <w:rFonts w:ascii="Arial" w:cs="Arial" w:eastAsia="Arial" w:hAnsi="Arial"/>
          <w:sz w:val="18"/>
          <w:szCs w:val="18"/>
          <w:b w:val="1"/>
          <w:bCs w:val="1"/>
          <w:u w:val="single" w:color="auto"/>
          <w:color w:val="auto"/>
        </w:rPr>
        <w:t>Principal Place of Business</w:t>
      </w:r>
      <w:r>
        <w:rPr>
          <w:rFonts w:ascii="Arial" w:cs="Arial" w:eastAsia="Arial" w:hAnsi="Arial"/>
          <w:sz w:val="18"/>
          <w:szCs w:val="18"/>
          <w:color w:val="auto"/>
        </w:rPr>
        <w:t>. Borrower shall not change its principal place of business from the address set forth on the first page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without first giving Lender thirty (30) days prior written notice.</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color w:val="auto"/>
        </w:rPr>
        <w:t xml:space="preserve">Section 4.28 </w:t>
      </w:r>
      <w:r>
        <w:rPr>
          <w:rFonts w:ascii="Arial" w:cs="Arial" w:eastAsia="Arial" w:hAnsi="Arial"/>
          <w:sz w:val="17"/>
          <w:szCs w:val="17"/>
          <w:b w:val="1"/>
          <w:bCs w:val="1"/>
          <w:u w:val="single" w:color="auto"/>
          <w:color w:val="auto"/>
        </w:rPr>
        <w:t>Change of Name, Identity or Structure</w:t>
      </w:r>
      <w:r>
        <w:rPr>
          <w:rFonts w:ascii="Arial" w:cs="Arial" w:eastAsia="Arial" w:hAnsi="Arial"/>
          <w:sz w:val="17"/>
          <w:szCs w:val="17"/>
          <w:color w:val="auto"/>
        </w:rPr>
        <w:t>. Borrower shall not change Borrower’s name, identity (including its trade name or</w:t>
      </w:r>
      <w:r>
        <w:rPr>
          <w:rFonts w:ascii="Arial" w:cs="Arial" w:eastAsia="Arial" w:hAnsi="Arial"/>
          <w:sz w:val="17"/>
          <w:szCs w:val="17"/>
          <w:b w:val="1"/>
          <w:bCs w:val="1"/>
          <w:color w:val="auto"/>
        </w:rPr>
        <w:t xml:space="preserve"> </w:t>
      </w:r>
      <w:r>
        <w:rPr>
          <w:rFonts w:ascii="Arial" w:cs="Arial" w:eastAsia="Arial" w:hAnsi="Arial"/>
          <w:sz w:val="17"/>
          <w:szCs w:val="17"/>
          <w:color w:val="auto"/>
        </w:rPr>
        <w:t>names) or convert from a Delaware single member limited liability company structure without notifying Lender of such change in writing at least thirty</w:t>
      </w:r>
    </w:p>
    <w:p>
      <w:pPr>
        <w:spacing w:after="0" w:line="1" w:lineRule="exact"/>
        <w:rPr>
          <w:sz w:val="20"/>
          <w:szCs w:val="20"/>
          <w:color w:val="auto"/>
        </w:rPr>
      </w:pPr>
    </w:p>
    <w:p>
      <w:pPr>
        <w:jc w:val="both"/>
        <w:ind w:firstLine="8"/>
        <w:spacing w:after="0" w:line="252" w:lineRule="auto"/>
        <w:tabs>
          <w:tab w:leader="none" w:pos="34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days prior to the effective date of such change and without first obtaining the prior written consent of Lender; provided, however, that Borrower shall at all times be a Delaware single member limited liability company. Borrower shall deliver to Lender, prior to or contemporaneously with the effective date of any such change, any financing statement or financing statement change required by Lender to establish or maintain the validity, perfection and priority of the security interest granted herein. At the request of Lender, Borrower shall execute a certificate in form satisfactory to Lender listing the trade names under which Borrower intends to operate the Property, and representing and warranting that Borrower does business under no other trade name with respect to the Property.</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4" w:name="page345"/>
    <w:bookmarkEnd w:id="344"/>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4.29</w:t>
      </w:r>
      <w:r>
        <w:rPr>
          <w:sz w:val="20"/>
          <w:szCs w:val="20"/>
          <w:color w:val="auto"/>
        </w:rPr>
        <w:tab/>
      </w:r>
      <w:r>
        <w:rPr>
          <w:rFonts w:ascii="Arial" w:cs="Arial" w:eastAsia="Arial" w:hAnsi="Arial"/>
          <w:sz w:val="15"/>
          <w:szCs w:val="15"/>
          <w:b w:val="1"/>
          <w:bCs w:val="1"/>
          <w:u w:val="single" w:color="auto"/>
          <w:color w:val="auto"/>
        </w:rPr>
        <w:t>Costs and Expenses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66" w:lineRule="auto"/>
        <w:tabs>
          <w:tab w:leader="none" w:pos="1958" w:val="left"/>
        </w:tabs>
        <w:numPr>
          <w:ilvl w:val="0"/>
          <w:numId w:val="367"/>
        </w:numPr>
        <w:rPr>
          <w:rFonts w:ascii="Arial" w:cs="Arial" w:eastAsia="Arial" w:hAnsi="Arial"/>
          <w:sz w:val="17"/>
          <w:szCs w:val="17"/>
          <w:color w:val="auto"/>
        </w:rPr>
      </w:pPr>
      <w:r>
        <w:rPr>
          <w:rFonts w:ascii="Arial" w:cs="Arial" w:eastAsia="Arial" w:hAnsi="Arial"/>
          <w:sz w:val="17"/>
          <w:szCs w:val="17"/>
          <w:color w:val="auto"/>
        </w:rPr>
        <w:t xml:space="preserve">Except as otherwise expressed herein or in any of the other Loan Documents, Borrower shall pay or, if Borrower fails to pay, reimburse Lender (and for purposes of this </w:t>
      </w:r>
      <w:r>
        <w:rPr>
          <w:rFonts w:ascii="Arial" w:cs="Arial" w:eastAsia="Arial" w:hAnsi="Arial"/>
          <w:sz w:val="17"/>
          <w:szCs w:val="17"/>
          <w:u w:val="single" w:color="auto"/>
          <w:color w:val="auto"/>
        </w:rPr>
        <w:t>Section 4.29</w:t>
      </w:r>
      <w:r>
        <w:rPr>
          <w:rFonts w:ascii="Arial" w:cs="Arial" w:eastAsia="Arial" w:hAnsi="Arial"/>
          <w:sz w:val="17"/>
          <w:szCs w:val="17"/>
          <w:color w:val="auto"/>
        </w:rPr>
        <w:t xml:space="preserve">, Lender shall also include the initial lender, its Affiliates, successors and assigns, and their respective officers and directors) upon receipt of notice from Lender, for all out-of-pocket costs and expenses (including reasonable attorneys’ fees and disbursements) incurred by Lender in connection with (i) Borrower’s ongoing performance of and compliance with Borrower’s agreements and covenants contained in this Agreement and the other Loan Documents on its part to be performed or complied with after the Closing Date, including confirming compliance with environmental and insurance requirements (except to the extent expressly set forth in </w:t>
      </w:r>
      <w:r>
        <w:rPr>
          <w:rFonts w:ascii="Arial" w:cs="Arial" w:eastAsia="Arial" w:hAnsi="Arial"/>
          <w:sz w:val="17"/>
          <w:szCs w:val="17"/>
          <w:u w:val="single" w:color="auto"/>
          <w:color w:val="auto"/>
        </w:rPr>
        <w:t>Section 10.21(a)</w:t>
      </w:r>
      <w:r>
        <w:rPr>
          <w:rFonts w:ascii="Arial" w:cs="Arial" w:eastAsia="Arial" w:hAnsi="Arial"/>
          <w:sz w:val="17"/>
          <w:szCs w:val="17"/>
          <w:color w:val="auto"/>
        </w:rPr>
        <w:t xml:space="preserve"> hereof); (ii) Lender’s ongoing performance of and compliance with all agreements and covenants contained in this Agreement and the other Loan Documents on its part to be performed or complied with after the Closing Date (except to the extent expressly set forth in </w:t>
      </w:r>
      <w:r>
        <w:rPr>
          <w:rFonts w:ascii="Arial" w:cs="Arial" w:eastAsia="Arial" w:hAnsi="Arial"/>
          <w:sz w:val="17"/>
          <w:szCs w:val="17"/>
          <w:u w:val="single" w:color="auto"/>
          <w:color w:val="auto"/>
        </w:rPr>
        <w:t>Section 10.21(a)</w:t>
      </w:r>
      <w:r>
        <w:rPr>
          <w:rFonts w:ascii="Arial" w:cs="Arial" w:eastAsia="Arial" w:hAnsi="Arial"/>
          <w:sz w:val="17"/>
          <w:szCs w:val="17"/>
          <w:color w:val="auto"/>
        </w:rPr>
        <w:t xml:space="preserve"> hereof); (iii) the negotiation, preparation, execution and delivery of any consents, amendments, waivers or other modifications to this Agreement and the other Loan Documents and any other documents or matters requested by Borrower; (iv) filing and recording of any Loan Documents; (v) title insurance, surveys, inspections and appraisals; (vi) the creation, perfection or protection of Lender’s Liens in the Property and the Accounts (including fees and expenses for title and lien searches, intangibles taxes, personal property taxes, mortgage recording taxes, due diligence expenses, travel expenses, accounting firm fees, costs of appraisals, environmental reports and Lender’s Consultant, surveys and engineering reports); (vii) enforcing or preserving any rights in response to third party claims or the prosecuting or defending of any action or proceeding or other litigation, in each case against, under or affecting Borrower, the Loan Documents, the Property, or any other security given for the Loan; (viii) fees charged by Servicer (except to the extent expressly set forth in </w:t>
      </w:r>
      <w:r>
        <w:rPr>
          <w:rFonts w:ascii="Arial" w:cs="Arial" w:eastAsia="Arial" w:hAnsi="Arial"/>
          <w:sz w:val="17"/>
          <w:szCs w:val="17"/>
          <w:u w:val="single" w:color="auto"/>
          <w:color w:val="auto"/>
        </w:rPr>
        <w:t>Section 10.21</w:t>
      </w:r>
      <w:r>
        <w:rPr>
          <w:rFonts w:ascii="Arial" w:cs="Arial" w:eastAsia="Arial" w:hAnsi="Arial"/>
          <w:sz w:val="17"/>
          <w:szCs w:val="17"/>
          <w:color w:val="auto"/>
        </w:rPr>
        <w:t xml:space="preserve">) or, if a Securitization has occurred, the Rating Agencies in connection with the Loan or any modification thereof; and (ix) enforcing any Obligations of or collecting any payments due from Borrower under this Agreement, the other Loan Documents or with respect to the Property or in connection with any refinancing or restructuring of the credit arrangements provided under this Agreement in the nature of a “work-out” or of any insolvency or bankruptcy proceedings (including fees and expenses for title and lien searches, intangible taxes, personal property taxes, mortgage recording taxes, due diligence expenses, travel expenses, accounting firm fees, costs of appraisals, environmental reports and Lender’s Consultant, surveys and engineering reports); provided, however, that Borrower shall not be liable for the payment of any such costs and expenses to the extent the same arise by reason of the active gross negligence, illegal acts, fraud or willful misconduct of Lender. All amounts payable to Lender or Servicer in exercising its rights under this </w:t>
      </w:r>
      <w:r>
        <w:rPr>
          <w:rFonts w:ascii="Arial" w:cs="Arial" w:eastAsia="Arial" w:hAnsi="Arial"/>
          <w:sz w:val="17"/>
          <w:szCs w:val="17"/>
          <w:u w:val="single" w:color="auto"/>
          <w:color w:val="auto"/>
        </w:rPr>
        <w:t>Section 4.29</w:t>
      </w:r>
      <w:r>
        <w:rPr>
          <w:rFonts w:ascii="Arial" w:cs="Arial" w:eastAsia="Arial" w:hAnsi="Arial"/>
          <w:sz w:val="17"/>
          <w:szCs w:val="17"/>
          <w:color w:val="auto"/>
        </w:rPr>
        <w:t xml:space="preserve"> (including, but not limited to, disbursements, advances and reasonable legal expenses incurred in connection therewith), shall be payable upon demand, secured by this Agreement and interest thereon shall accrue at the Default Rate from the date incurred if such amounts are not paid within five (5) Business Days after demand for payment therefor is made by Lender.</w:t>
      </w:r>
    </w:p>
    <w:p>
      <w:pPr>
        <w:spacing w:after="0" w:line="199" w:lineRule="exact"/>
        <w:rPr>
          <w:rFonts w:ascii="Arial" w:cs="Arial" w:eastAsia="Arial" w:hAnsi="Arial"/>
          <w:sz w:val="17"/>
          <w:szCs w:val="17"/>
          <w:color w:val="auto"/>
        </w:rPr>
      </w:pPr>
    </w:p>
    <w:p>
      <w:pPr>
        <w:jc w:val="both"/>
        <w:ind w:firstLine="1304"/>
        <w:spacing w:after="0" w:line="259" w:lineRule="auto"/>
        <w:tabs>
          <w:tab w:leader="none" w:pos="194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 addition, in connection with any Rating Agency Confirmation, Review Waiver or other Rating Agency consent, approval or review requested or required hereunder (other than the initial review of the Loan by the Rating Agencies in connection with a Securitization), Borrower shall pay all of the costs and expenses of Lender, Servicer and each Rating Agency in connection therewith, and, if applicable, shall pay any fees imposed by any Rating Agency in connection therewith.</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996"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Any costs and expenses due and payable by Borrower hereunder which are not paid by Borrower within ten (10) days after demand may be paid from any amounts in the Deposit Account, with notice thereof to Borrower. The obligations and liabilities of Borrower under this </w:t>
      </w:r>
      <w:r>
        <w:rPr>
          <w:rFonts w:ascii="Arial" w:cs="Arial" w:eastAsia="Arial" w:hAnsi="Arial"/>
          <w:sz w:val="16"/>
          <w:szCs w:val="16"/>
          <w:u w:val="single" w:color="auto"/>
          <w:color w:val="auto"/>
        </w:rPr>
        <w:t>Section 4.29</w:t>
      </w:r>
      <w:r>
        <w:rPr>
          <w:rFonts w:ascii="Arial" w:cs="Arial" w:eastAsia="Arial" w:hAnsi="Arial"/>
          <w:sz w:val="16"/>
          <w:szCs w:val="16"/>
          <w:color w:val="auto"/>
        </w:rPr>
        <w:t xml:space="preserve"> shall (i) become part of the Obligations, (ii) be secured by the Loan Documents and (iii) survive the Term and the exercise by Lender of any of its rights or remedies under the Loan Documents, including the acquisition of the Property by foreclosure or a conveyance in lieu of foreclosure.</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5" w:name="page346"/>
    <w:bookmarkEnd w:id="345"/>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4.30 </w:t>
      </w:r>
      <w:r>
        <w:rPr>
          <w:rFonts w:ascii="Arial" w:cs="Arial" w:eastAsia="Arial" w:hAnsi="Arial"/>
          <w:sz w:val="17"/>
          <w:szCs w:val="17"/>
          <w:b w:val="1"/>
          <w:bCs w:val="1"/>
          <w:u w:val="single" w:color="auto"/>
          <w:color w:val="auto"/>
        </w:rPr>
        <w:t>Indemnity</w:t>
      </w:r>
      <w:r>
        <w:rPr>
          <w:rFonts w:ascii="Arial" w:cs="Arial" w:eastAsia="Arial" w:hAnsi="Arial"/>
          <w:sz w:val="17"/>
          <w:szCs w:val="17"/>
          <w:color w:val="auto"/>
        </w:rPr>
        <w:t>. Borrower shall indemnify, defend and hold harmless Lender (and for purposes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4.30</w:t>
      </w:r>
      <w:r>
        <w:rPr>
          <w:rFonts w:ascii="Arial" w:cs="Arial" w:eastAsia="Arial" w:hAnsi="Arial"/>
          <w:sz w:val="17"/>
          <w:szCs w:val="17"/>
          <w:color w:val="auto"/>
        </w:rPr>
        <w:t>, Lender shall also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the initial lender, its Affiliates, successors and assigns, and their respective officers and directors) from and against any and all liabilities, obligations, losses, damages, penalties, actions, judgments, suits, claims, costs, expenses and disbursements of any kind or nature whatsoever (including the reasonable fees and disbursements of counsel for Lender in connection with any investigative, administrative or judicial proceeding commenced or threatened, whether or not Lender shall be designated a party thereto), that may be imposed on, incurred by, or asserted against Lender in any manner relating to or arising out of (i) any breach by Borrower of its Obligations under, or any material misrepresentation by Borrower contained in, this Agreement or the other Loan Documents; (ii) the use or intended use of the proceeds of the Loan; (iii) any information provided by or on behalf of Borrower, or contained in any documentation approved by Borrower; (iv) ownership of the Mortgage, the Property or any interest therein, or receipt of any Rents or other Gross Revenue (including due to any Increased Costs, Special Taxes or Other Taxes); (v) any accident, injury to or death of persons or loss of or damage to property occurring in, on or about the Property or on the adjoining sidewalks, curbs, adjacent property or adjacent parking areas, streets or ways; (vi) any use, nonuse or condition in, on or about the Property or on adjoining sidewalks, curbs, adjacent property or adjacent parking areas, streets or ways; (vii) performance of any labor or services or the furnishing of any materials or other property in respect of the Property; (viii) any failure of the Property to comply with any Legal Requirement; (ix) any claim by brokers, finders or similar persons claiming to be entitled to a commission in connection with any Lease or other transaction involving the Property or any part thereof, or any liability asserted against Lender with respect thereto; and (x) the claims of any lessee of any portion of the Property or any Person acting through or under any lessee or otherwise arising under or as a consequence of any Lease (collectively, the “</w:t>
      </w:r>
      <w:r>
        <w:rPr>
          <w:rFonts w:ascii="Arial" w:cs="Arial" w:eastAsia="Arial" w:hAnsi="Arial"/>
          <w:sz w:val="17"/>
          <w:szCs w:val="17"/>
          <w:b w:val="1"/>
          <w:bCs w:val="1"/>
          <w:i w:val="1"/>
          <w:iCs w:val="1"/>
          <w:color w:val="auto"/>
        </w:rPr>
        <w:t>Indemnified Liabilities</w:t>
      </w:r>
      <w:r>
        <w:rPr>
          <w:rFonts w:ascii="Arial" w:cs="Arial" w:eastAsia="Arial" w:hAnsi="Arial"/>
          <w:sz w:val="17"/>
          <w:szCs w:val="17"/>
          <w:color w:val="auto"/>
        </w:rPr>
        <w:t>”); provided, however, that Borrower shall not have any obligation to Lender hereunder to the extent that such Indemnified Liabilities arise from the active gross negligence, illegal acts, fraud or willful misconduct of Lender. To the extent that the undertaking to indemnify, defend and hold harmless set forth in the preceding sentence may be unenforceable because it violates any law or public policy, Borrower shall pay the maximum portion that it is permitted to pay and satisfy under applicable law to the payment and satisfaction of all Indemnified Liabilities incurred by Lender.</w:t>
      </w:r>
    </w:p>
    <w:p>
      <w:pPr>
        <w:spacing w:after="0" w:line="18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4.31</w:t>
      </w:r>
      <w:r>
        <w:rPr>
          <w:sz w:val="20"/>
          <w:szCs w:val="20"/>
          <w:color w:val="auto"/>
        </w:rPr>
        <w:tab/>
      </w:r>
      <w:r>
        <w:rPr>
          <w:rFonts w:ascii="Arial" w:cs="Arial" w:eastAsia="Arial" w:hAnsi="Arial"/>
          <w:sz w:val="17"/>
          <w:szCs w:val="17"/>
          <w:b w:val="1"/>
          <w:bCs w:val="1"/>
          <w:u w:val="single" w:color="auto"/>
          <w:color w:val="auto"/>
        </w:rPr>
        <w:t>ERISA</w:t>
      </w:r>
      <w:r>
        <w:rPr>
          <w:rFonts w:ascii="Arial" w:cs="Arial" w:eastAsia="Arial" w:hAnsi="Arial"/>
          <w:sz w:val="17"/>
          <w:szCs w:val="17"/>
          <w:color w:val="auto"/>
        </w:rPr>
        <w:t>.</w:t>
      </w:r>
    </w:p>
    <w:p>
      <w:pPr>
        <w:spacing w:after="0" w:line="229" w:lineRule="exact"/>
        <w:rPr>
          <w:sz w:val="20"/>
          <w:szCs w:val="20"/>
          <w:color w:val="auto"/>
        </w:rPr>
      </w:pPr>
    </w:p>
    <w:p>
      <w:pPr>
        <w:jc w:val="both"/>
        <w:ind w:firstLine="1304"/>
        <w:spacing w:after="0" w:line="259" w:lineRule="auto"/>
        <w:tabs>
          <w:tab w:leader="none" w:pos="188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Borrower shall not engage in any transaction which would cause any obligation, or action taken or to be taken, hereunder (or the exercise by Lender or any assignee of any of its rights under the Note, this Agreement or the other Loan Documents) to be a non-exempt (under a statutory or administrative class exemption) prohibited transaction under the Employee Retirement Income Security Act of 1974, as amended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or Section 4975 of the Code.</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891" w:val="left"/>
        </w:tabs>
        <w:numPr>
          <w:ilvl w:val="0"/>
          <w:numId w:val="368"/>
        </w:numPr>
        <w:rPr>
          <w:rFonts w:ascii="Arial" w:cs="Arial" w:eastAsia="Arial" w:hAnsi="Arial"/>
          <w:sz w:val="17"/>
          <w:szCs w:val="17"/>
          <w:color w:val="auto"/>
        </w:rPr>
      </w:pPr>
      <w:r>
        <w:rPr>
          <w:rFonts w:ascii="Arial" w:cs="Arial" w:eastAsia="Arial" w:hAnsi="Arial"/>
          <w:sz w:val="17"/>
          <w:szCs w:val="17"/>
          <w:color w:val="auto"/>
        </w:rPr>
        <w:t>Borrower shall not maintain, sponsor, contribute to or become obligated to contribute to, or suffer or permit any ERISA Affiliate of Borrower to, maintain, sponsor, contribute to or become obligated to contribute to, any Plan or any Welfare Plan or permit the assets of Borrower to become “plan assets,” within the meaning of 29 C.F.R. 2510.3-101, as modified in application by Section 3(42) of ERISA.</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6" w:name="page347"/>
    <w:bookmarkEnd w:id="346"/>
    <w:p>
      <w:pPr>
        <w:jc w:val="both"/>
        <w:ind w:firstLine="1304"/>
        <w:spacing w:after="0" w:line="255" w:lineRule="auto"/>
        <w:tabs>
          <w:tab w:leader="none" w:pos="195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Borrower shall deliver to Lender such certifications or other evidence from time to time throughout the Term, as requested by Lender in its sole discretion, that (A) Borrower and Guarantor are not and do not maintain an “employee benefit plan” as defined in Section 3(32) of ERISA, which is subject to Title I of ERISA, or a “governmental plan” within the meaning of Section 3(32) of ERISA; (B) Borrower and Guarantor are not subject to state statutes regulating investments and fiduciary obligations with respect to governmental plans; and (C) the assets of Borrower and Guarantor do not constitute “plan assets” within the meaning of 29 C.F.R §2510.3-101 as modified in application by Section 3(42) of ERISA of any “benefit plan investor” as defined in Section 3(42) of ERISA.</w:t>
      </w:r>
    </w:p>
    <w:p>
      <w:pPr>
        <w:spacing w:after="0" w:line="18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4.32</w:t>
      </w:r>
      <w:r>
        <w:rPr>
          <w:sz w:val="20"/>
          <w:szCs w:val="20"/>
          <w:color w:val="auto"/>
        </w:rPr>
        <w:tab/>
      </w:r>
      <w:r>
        <w:rPr>
          <w:rFonts w:ascii="Arial" w:cs="Arial" w:eastAsia="Arial" w:hAnsi="Arial"/>
          <w:sz w:val="16"/>
          <w:szCs w:val="16"/>
          <w:b w:val="1"/>
          <w:bCs w:val="1"/>
          <w:u w:val="single" w:color="auto"/>
          <w:color w:val="auto"/>
        </w:rPr>
        <w:t>Patriot Act Compliance</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59" w:lineRule="auto"/>
        <w:tabs>
          <w:tab w:leader="none" w:pos="2011" w:val="left"/>
        </w:tabs>
        <w:numPr>
          <w:ilvl w:val="0"/>
          <w:numId w:val="370"/>
        </w:numPr>
        <w:rPr>
          <w:rFonts w:ascii="Arial" w:cs="Arial" w:eastAsia="Arial" w:hAnsi="Arial"/>
          <w:sz w:val="18"/>
          <w:szCs w:val="18"/>
          <w:color w:val="auto"/>
        </w:rPr>
      </w:pPr>
      <w:r>
        <w:rPr>
          <w:rFonts w:ascii="Arial" w:cs="Arial" w:eastAsia="Arial" w:hAnsi="Arial"/>
          <w:sz w:val="18"/>
          <w:szCs w:val="18"/>
          <w:color w:val="auto"/>
        </w:rPr>
        <w:t>Borrower will comply with the Patriot Act, Anti-Money Laundering Laws and all applicable requirements of Governmental Authorities having jurisdiction over Borrower and/or the Property, including those relating to money laundering and terrorism. Lender shall have the right to audit Borrower’s compliance with the Patriot Act and all applicable requirements of Governmental Authorities having jurisdiction over Borrower and/or the Property, including those relating to money laundering and terrorism.</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(b) Neither Borrower nor any owner of a direct or indirect interest in Borrower (i) is or will be a Person listed on any Government Lists, (ii) is or will be a Person listed in the annex to, or otherwise subject to the prohibitions of, Presidential Executive Order No. 13224 (Sept. 23, 2001) (“</w:t>
      </w:r>
      <w:r>
        <w:rPr>
          <w:rFonts w:ascii="Arial" w:cs="Arial" w:eastAsia="Arial" w:hAnsi="Arial"/>
          <w:sz w:val="16"/>
          <w:szCs w:val="16"/>
          <w:b w:val="1"/>
          <w:bCs w:val="1"/>
          <w:i w:val="1"/>
          <w:iCs w:val="1"/>
          <w:color w:val="auto"/>
        </w:rPr>
        <w:t>Executive Order 13224</w:t>
      </w:r>
      <w:r>
        <w:rPr>
          <w:rFonts w:ascii="Arial" w:cs="Arial" w:eastAsia="Arial" w:hAnsi="Arial"/>
          <w:sz w:val="16"/>
          <w:szCs w:val="16"/>
          <w:color w:val="auto"/>
        </w:rPr>
        <w:t>”), or subject to any other similar prohibitions contained in the rules and regulations of OFAC or in any enabling legislation or other executive orders in respect thereof, (iii) is a Person that has been previously or will be indicted for or convicted of any felony involving a crime or crimes of moral turpitude or for any Patriot Act Offense, or (iv) is a Person that is currently or will be under investigation by any Governmental Authority for any Patriot Act Offence or other alleged criminal activity (any Person described in any of the foregoing clauses (i)-(iv), a “</w:t>
      </w:r>
      <w:r>
        <w:rPr>
          <w:rFonts w:ascii="Arial" w:cs="Arial" w:eastAsia="Arial" w:hAnsi="Arial"/>
          <w:sz w:val="16"/>
          <w:szCs w:val="16"/>
          <w:b w:val="1"/>
          <w:bCs w:val="1"/>
          <w:i w:val="1"/>
          <w:iCs w:val="1"/>
          <w:color w:val="auto"/>
        </w:rPr>
        <w:t>Proscribed Person</w:t>
      </w:r>
      <w:r>
        <w:rPr>
          <w:rFonts w:ascii="Arial" w:cs="Arial" w:eastAsia="Arial" w:hAnsi="Arial"/>
          <w:sz w:val="16"/>
          <w:szCs w:val="16"/>
          <w:color w:val="auto"/>
        </w:rPr>
        <w:t>”). For purposes hereof, the term “</w:t>
      </w:r>
      <w:r>
        <w:rPr>
          <w:rFonts w:ascii="Arial" w:cs="Arial" w:eastAsia="Arial" w:hAnsi="Arial"/>
          <w:sz w:val="16"/>
          <w:szCs w:val="16"/>
          <w:b w:val="1"/>
          <w:bCs w:val="1"/>
          <w:i w:val="1"/>
          <w:iCs w:val="1"/>
          <w:color w:val="auto"/>
        </w:rPr>
        <w:t>Patriot Act Offense</w:t>
      </w:r>
      <w:r>
        <w:rPr>
          <w:rFonts w:ascii="Arial" w:cs="Arial" w:eastAsia="Arial" w:hAnsi="Arial"/>
          <w:sz w:val="16"/>
          <w:szCs w:val="16"/>
          <w:color w:val="auto"/>
        </w:rPr>
        <w:t>” means any violation of the criminal laws of the United States of America or of any of the several states, or that would be a criminal violation if committed within the jurisdiction of the United States of America or any of the several states, relating to terrorism or the laundering of monetary instruments, including any offense under any Anti-Money Laundering Laws. “</w:t>
      </w:r>
      <w:r>
        <w:rPr>
          <w:rFonts w:ascii="Arial" w:cs="Arial" w:eastAsia="Arial" w:hAnsi="Arial"/>
          <w:sz w:val="16"/>
          <w:szCs w:val="16"/>
          <w:b w:val="1"/>
          <w:bCs w:val="1"/>
          <w:i w:val="1"/>
          <w:iCs w:val="1"/>
          <w:color w:val="auto"/>
        </w:rPr>
        <w:t>Patriot Act Offense</w:t>
      </w:r>
      <w:r>
        <w:rPr>
          <w:rFonts w:ascii="Arial" w:cs="Arial" w:eastAsia="Arial" w:hAnsi="Arial"/>
          <w:sz w:val="16"/>
          <w:szCs w:val="16"/>
          <w:color w:val="auto"/>
        </w:rPr>
        <w:t>” also includes the crimes of conspiracy to commit, or aiding and abetting another to commit, a Patriot Act Offense. For purposes hereof, the term “</w:t>
      </w:r>
      <w:r>
        <w:rPr>
          <w:rFonts w:ascii="Arial" w:cs="Arial" w:eastAsia="Arial" w:hAnsi="Arial"/>
          <w:sz w:val="16"/>
          <w:szCs w:val="16"/>
          <w:b w:val="1"/>
          <w:bCs w:val="1"/>
          <w:i w:val="1"/>
          <w:iCs w:val="1"/>
          <w:color w:val="auto"/>
        </w:rPr>
        <w:t>Government Lists</w:t>
      </w:r>
      <w:r>
        <w:rPr>
          <w:rFonts w:ascii="Arial" w:cs="Arial" w:eastAsia="Arial" w:hAnsi="Arial"/>
          <w:sz w:val="16"/>
          <w:szCs w:val="16"/>
          <w:color w:val="auto"/>
        </w:rPr>
        <w:t>” means (1) the Specially Designated Nationals and Blocked Persons Lists and any replacement or other lists maintained by the Office of Foreign Assets Control or by any successor thereto (“</w:t>
      </w:r>
      <w:r>
        <w:rPr>
          <w:rFonts w:ascii="Arial" w:cs="Arial" w:eastAsia="Arial" w:hAnsi="Arial"/>
          <w:sz w:val="16"/>
          <w:szCs w:val="16"/>
          <w:b w:val="1"/>
          <w:bCs w:val="1"/>
          <w:i w:val="1"/>
          <w:iCs w:val="1"/>
          <w:color w:val="auto"/>
        </w:rPr>
        <w:t>OFAC</w:t>
      </w:r>
      <w:r>
        <w:rPr>
          <w:rFonts w:ascii="Arial" w:cs="Arial" w:eastAsia="Arial" w:hAnsi="Arial"/>
          <w:sz w:val="16"/>
          <w:szCs w:val="16"/>
          <w:color w:val="auto"/>
        </w:rPr>
        <w:t>”), (2) any other list of terrorists, terrorist organizations or narcotics traffickers maintained pursuant to any of the Rules and Regulations of OFAC, and (3) any similar lists maintained by the United States Department of State, the United States Department of Commerce or any other Governmental Authority or pursuant to any Executive Order of the President of the United States of America.</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7" w:name="page348"/>
    <w:bookmarkEnd w:id="347"/>
    <w:p>
      <w:pPr>
        <w:jc w:val="both"/>
        <w:ind w:firstLine="1304"/>
        <w:spacing w:after="0" w:line="287" w:lineRule="auto"/>
        <w:tabs>
          <w:tab w:leader="none" w:pos="202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xml:space="preserve">At all times throughout the term of the Loan, including after giving effect to any Transfers permitted pursuant to the Loan Documents, (i) none of the funds or other assets of Borrower, Key Principal or Guarantor shall constitute property of, or shall be beneficially owned, directly or indirectly, by any Person subject to trade restrictions under United States law, including, but not limited to, the International Emergency Economic Powers Act, 50 U.S.C. §§ 1701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as amended, The Trading with the Enemy Act, 50 U.S.C. App. 1 </w:t>
      </w:r>
      <w:r>
        <w:rPr>
          <w:rFonts w:ascii="Arial" w:cs="Arial" w:eastAsia="Arial" w:hAnsi="Arial"/>
          <w:sz w:val="16"/>
          <w:szCs w:val="16"/>
          <w:u w:val="single" w:color="auto"/>
          <w:color w:val="auto"/>
        </w:rPr>
        <w:t>et seq.</w:t>
      </w:r>
      <w:r>
        <w:rPr>
          <w:rFonts w:ascii="Arial" w:cs="Arial" w:eastAsia="Arial" w:hAnsi="Arial"/>
          <w:sz w:val="16"/>
          <w:szCs w:val="16"/>
          <w:color w:val="auto"/>
        </w:rPr>
        <w:t>, as amended, and each of the foreign assets control regulations of the United States Treasury Department (31 CFR, Subtitle B, Chapter V, as amended), the Patriot Act, Executive Order 13224, and any legislation, executive orders and rules and regulations, enabling or promulgated under any of the foregoing (each, an “</w:t>
      </w:r>
      <w:r>
        <w:rPr>
          <w:rFonts w:ascii="Arial" w:cs="Arial" w:eastAsia="Arial" w:hAnsi="Arial"/>
          <w:sz w:val="16"/>
          <w:szCs w:val="16"/>
          <w:b w:val="1"/>
          <w:bCs w:val="1"/>
          <w:i w:val="1"/>
          <w:iCs w:val="1"/>
          <w:color w:val="auto"/>
        </w:rPr>
        <w:t>Embargoed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with the result that the investment in Borrower, Key Principal or Guarantor, as applicable (whether directly or indirectly), would be prohibited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 or the Loan made by Lender would be in violation of law, (ii) no Embargoed Person or other Prohibited Person shall have any interest of any nature whatsoever in Borrower, Key Principal or Guarantor, as applicable, with the result that the investment in Borrower, Key Principal or Guarantor, as applicable (whether directly or indirectly), would be prohibited by law or the Loan would be in violation of law, and (iii) none of the funds of Borrower, Key Principal or Guarantor, as applicable, shall be derived from any unlawful activity with the result that the investment in Borrower, Key Principal or Guarantor, as applicable (whether directly or indirectly), would be prohibited by law or the Loan would be in violation of law.</w:t>
      </w:r>
    </w:p>
    <w:p>
      <w:pPr>
        <w:spacing w:after="0" w:line="1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4.33 </w:t>
      </w:r>
      <w:r>
        <w:rPr>
          <w:rFonts w:ascii="Arial" w:cs="Arial" w:eastAsia="Arial" w:hAnsi="Arial"/>
          <w:sz w:val="18"/>
          <w:szCs w:val="18"/>
          <w:b w:val="1"/>
          <w:bCs w:val="1"/>
          <w:u w:val="single" w:color="auto"/>
          <w:color w:val="auto"/>
        </w:rPr>
        <w:t>Anti-Corruption Obligations</w:t>
      </w:r>
      <w:r>
        <w:rPr>
          <w:rFonts w:ascii="Arial" w:cs="Arial" w:eastAsia="Arial" w:hAnsi="Arial"/>
          <w:sz w:val="18"/>
          <w:szCs w:val="18"/>
          <w:color w:val="auto"/>
        </w:rPr>
        <w:t>. Borrower represents and warrants that, in connection with this Agreement, Borrower and, to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knowledge, each Person that has an economic interest in Borrower, has complied with and will continue to comply with all applicable anti-bribery and corruption laws and regulations, including the U.S. Foreign Corrupt Practices Act of 1977 and the U.K. Bribery Act 2010 (the “</w:t>
      </w:r>
      <w:r>
        <w:rPr>
          <w:rFonts w:ascii="Arial" w:cs="Arial" w:eastAsia="Arial" w:hAnsi="Arial"/>
          <w:sz w:val="18"/>
          <w:szCs w:val="18"/>
          <w:b w:val="1"/>
          <w:bCs w:val="1"/>
          <w:i w:val="1"/>
          <w:iCs w:val="1"/>
          <w:color w:val="auto"/>
        </w:rPr>
        <w:t>Anti-Corruption Obligation</w:t>
      </w:r>
      <w:r>
        <w:rPr>
          <w:rFonts w:ascii="Arial" w:cs="Arial" w:eastAsia="Arial" w:hAnsi="Arial"/>
          <w:sz w:val="18"/>
          <w:szCs w:val="18"/>
          <w:color w:val="auto"/>
        </w:rPr>
        <w:t>”). Borrower shall, at all times throughout the Term, maintain and enforce appropriate policies, procedures and controls to ensure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with the Anti-Corruption Obligation.</w:t>
      </w:r>
    </w:p>
    <w:p>
      <w:pPr>
        <w:spacing w:after="0" w:line="18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4.34</w:t>
      </w:r>
      <w:r>
        <w:rPr>
          <w:sz w:val="20"/>
          <w:szCs w:val="20"/>
          <w:color w:val="auto"/>
        </w:rPr>
        <w:tab/>
      </w:r>
      <w:r>
        <w:rPr>
          <w:rFonts w:ascii="Arial" w:cs="Arial" w:eastAsia="Arial" w:hAnsi="Arial"/>
          <w:sz w:val="16"/>
          <w:szCs w:val="16"/>
          <w:b w:val="1"/>
          <w:bCs w:val="1"/>
          <w:u w:val="single" w:color="auto"/>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3" w:lineRule="auto"/>
        <w:tabs>
          <w:tab w:leader="none" w:pos="1438" w:val="left"/>
        </w:tabs>
        <w:numPr>
          <w:ilvl w:val="0"/>
          <w:numId w:val="372"/>
        </w:numPr>
        <w:rPr>
          <w:rFonts w:ascii="Arial" w:cs="Arial" w:eastAsia="Arial" w:hAnsi="Arial"/>
          <w:sz w:val="17"/>
          <w:szCs w:val="17"/>
          <w:color w:val="auto"/>
        </w:rPr>
      </w:pPr>
      <w:r>
        <w:rPr>
          <w:rFonts w:ascii="Arial" w:cs="Arial" w:eastAsia="Arial" w:hAnsi="Arial"/>
          <w:sz w:val="17"/>
          <w:szCs w:val="17"/>
          <w:color w:val="auto"/>
        </w:rPr>
        <w:t>All Letters of Credit delivered to Lender in connection with this Loan shall be held as collateral and additional security for the payment of the Debt. Upon the occurrence and during the continuance of an Event of Default, Lender shall have the right, at its option, to draw on all or any portion of any such Letter of Credit and to apply such amount drawn to payment of the Debt in such order, proportion or priority as Lender may determine. Any such application to the Debt after an Event of Default shall be subject to Prepayment Fee and/or Liquidated Damages Amount, if any, applicable thereto. On the Maturity Date, if the Debt has not otherwise been paid in full, any or all of such Letters of Credit may be applied to reduce the Debt. Neither Borrower nor the applicant/obligor under any Letter of Credit shall be entitled to draw upon any Letter of Credit.</w:t>
      </w:r>
    </w:p>
    <w:p>
      <w:pPr>
        <w:spacing w:after="0" w:line="177" w:lineRule="exact"/>
        <w:rPr>
          <w:rFonts w:ascii="Arial" w:cs="Arial" w:eastAsia="Arial" w:hAnsi="Arial"/>
          <w:sz w:val="17"/>
          <w:szCs w:val="17"/>
          <w:color w:val="auto"/>
        </w:rPr>
      </w:pPr>
    </w:p>
    <w:p>
      <w:pPr>
        <w:jc w:val="both"/>
        <w:ind w:firstLine="656"/>
        <w:spacing w:after="0" w:line="271" w:lineRule="auto"/>
        <w:tabs>
          <w:tab w:leader="none" w:pos="1489" w:val="left"/>
        </w:tabs>
        <w:numPr>
          <w:ilvl w:val="0"/>
          <w:numId w:val="372"/>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Borrower shall only be permitted to deliver a Letter of Credit hereunder to the extent the amount of such Letter of Credit, together with the amounts of all other outstanding Letters of Credit, does not exceed ten percent (10%) of the outstanding principal balance of the Loan. In no event shall Borrower be an account party to, or have or incur any reimbursement obligations in connection with, any Letter of Credit. With respect to any Letter of Credit delivered to Lender in connection with the Loan, such Letter of Credit must be accompanied by an instrument reasonably acceptable to Lender whereby the applicant/obligor under such Letter of Credit shall have waived all rights of subrogation against Borrower thereunder until the Debt has been paid in full. Borrower’s delivery of any Letter of Credit after the date hereof shall, at Lender’s option, be conditioned upon Lender’s receipt of an deliver an updated non-consolidation opinion in form and substance, and from counsel, reasonably satisfactory to Lender and satisfactory to the Rating Agencies.</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8" w:name="page349"/>
    <w:bookmarkEnd w:id="348"/>
    <w:p>
      <w:pPr>
        <w:jc w:val="both"/>
        <w:ind w:firstLine="656"/>
        <w:spacing w:after="0" w:line="273" w:lineRule="auto"/>
        <w:tabs>
          <w:tab w:leader="none" w:pos="1656" w:val="left"/>
        </w:tabs>
        <w:numPr>
          <w:ilvl w:val="0"/>
          <w:numId w:val="373"/>
        </w:numPr>
        <w:rPr>
          <w:rFonts w:ascii="Arial" w:cs="Arial" w:eastAsia="Arial" w:hAnsi="Arial"/>
          <w:sz w:val="17"/>
          <w:szCs w:val="17"/>
          <w:color w:val="auto"/>
        </w:rPr>
      </w:pPr>
      <w:r>
        <w:rPr>
          <w:rFonts w:ascii="Arial" w:cs="Arial" w:eastAsia="Arial" w:hAnsi="Arial"/>
          <w:sz w:val="17"/>
          <w:szCs w:val="17"/>
          <w:color w:val="auto"/>
        </w:rPr>
        <w:t>Lender shall have the right to transfer and/or assign any Letter of Credit delivered to Lender in connection with the Loan to any assignee or holder of all or any portion of the Loan or any successor to all or any portion of any interest in the Loan or any portion thereof, or to any Servicer, or to any designee of any of the foregoing. Borrower shall assist and cooperate with Lender in any such transfer or assignment of any Letter of Credit and shall reimburse Lender for any and all out-of-pocket costs and expenses (including reasonable attorneys’ fees and expenses) incurred by Lender in connection with any such transfer or assignment of a Letter of Credit and Borrower shall pay for any transfer fees and/or other charges which are payable to the bank issuing any such Letter of Credit as a result of any such transfer or assignment of a Letter of Credit.</w:t>
      </w:r>
    </w:p>
    <w:p>
      <w:pPr>
        <w:spacing w:after="0" w:line="177" w:lineRule="exact"/>
        <w:rPr>
          <w:rFonts w:ascii="Arial" w:cs="Arial" w:eastAsia="Arial" w:hAnsi="Arial"/>
          <w:sz w:val="17"/>
          <w:szCs w:val="17"/>
          <w:color w:val="auto"/>
        </w:rPr>
      </w:pPr>
    </w:p>
    <w:p>
      <w:pPr>
        <w:jc w:val="both"/>
        <w:ind w:firstLine="656"/>
        <w:spacing w:after="0" w:line="268" w:lineRule="auto"/>
        <w:tabs>
          <w:tab w:leader="none" w:pos="1728" w:val="left"/>
        </w:tabs>
        <w:numPr>
          <w:ilvl w:val="0"/>
          <w:numId w:val="373"/>
        </w:numPr>
        <w:rPr>
          <w:rFonts w:ascii="Arial" w:cs="Arial" w:eastAsia="Arial" w:hAnsi="Arial"/>
          <w:sz w:val="17"/>
          <w:szCs w:val="17"/>
          <w:color w:val="auto"/>
        </w:rPr>
      </w:pPr>
      <w:r>
        <w:rPr>
          <w:rFonts w:ascii="Arial" w:cs="Arial" w:eastAsia="Arial" w:hAnsi="Arial"/>
          <w:sz w:val="17"/>
          <w:szCs w:val="17"/>
          <w:color w:val="auto"/>
        </w:rPr>
        <w:t xml:space="preserve">In addition to any other right Lender may have to draw upon any Letter of Credit pursuant to the terms and conditions of this Agreement, Lender shall have the additional rights to draw in full any Letter of Credit: (i) with respect to any evergreen Letter of Credit, if Lender has received a notice from the issuing bank that the applicable Letter of Credit will not be renewed and a substitute Letter of Credit is not provided at least thirty (30) days prior to the date on which the outstanding Letter of Credit is scheduled to expire; (ii) with respect to any Letter of Credit with a stated expiration date, if Lender has not received a notice from the issuing bank that it has renewed the Letter of Credit at least thirty (30) days prior to the date on which such Letter of Credit is scheduled to expire and a substitute Letter of Credit is not provided at least twenty (20) days prior to the date on which the outstanding Letter of Credit is scheduled to expire; (iii) upon receipt of notice from the issuing bank that the Letter of Credit will be terminated (except if the termination of such Letter of Credit is permitted pursuant to the terms and conditions of this Agreement or a substitute Letter of Credit is provided at least ten (10) Business Days prior to such termination); or (iv) if the bank issuing the Letter of Credit shall cease to be an Approved LC Bank and Borrower shall not have replaced such Letter of Credit with a Letter of Credit issued by an Approved LC Bank within ten (10) Business Days after notice thereof. Notwithstanding anything to the contrary contained in the above, Lender is not obligated to draw any Letter of Credit upon the happening of an event specified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above and shall not be liable for any losses sustained by Borrower or applicant/obligor due to the insolvency of the bank issuing the Letter of Credit if Lender has not drawn the applicable Letter of Credit.</w:t>
      </w:r>
    </w:p>
    <w:p>
      <w:pPr>
        <w:spacing w:after="0" w:line="186" w:lineRule="exact"/>
        <w:rPr>
          <w:rFonts w:ascii="Arial" w:cs="Arial" w:eastAsia="Arial" w:hAnsi="Arial"/>
          <w:sz w:val="17"/>
          <w:szCs w:val="17"/>
          <w:color w:val="auto"/>
        </w:rPr>
      </w:pPr>
    </w:p>
    <w:p>
      <w:pPr>
        <w:ind w:firstLine="656"/>
        <w:spacing w:after="0" w:line="342" w:lineRule="auto"/>
        <w:tabs>
          <w:tab w:leader="none" w:pos="144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Borrower shall Borrower shall pay to Lender all of Lender’s out-of-pocket costs and expenses (including reasonable attorneys’ fees and expenses) incurred in connection with any Letter of Credit, including without limitation any review, issuance, transfer or draw of any Letter of Credit.</w:t>
      </w:r>
    </w:p>
    <w:p>
      <w:pPr>
        <w:spacing w:after="0" w:line="1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9" w:name="page350"/>
    <w:bookmarkEnd w:id="349"/>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4.35</w:t>
      </w:r>
      <w:r>
        <w:rPr>
          <w:sz w:val="20"/>
          <w:szCs w:val="20"/>
          <w:color w:val="auto"/>
        </w:rPr>
        <w:tab/>
      </w:r>
      <w:r>
        <w:rPr>
          <w:rFonts w:ascii="Arial" w:cs="Arial" w:eastAsia="Arial" w:hAnsi="Arial"/>
          <w:sz w:val="16"/>
          <w:szCs w:val="16"/>
          <w:b w:val="1"/>
          <w:bCs w:val="1"/>
          <w:u w:val="single" w:color="auto"/>
          <w:color w:val="auto"/>
        </w:rPr>
        <w:t>Ground Lease</w:t>
      </w:r>
      <w:r>
        <w:rPr>
          <w:rFonts w:ascii="Arial" w:cs="Arial" w:eastAsia="Arial" w:hAnsi="Arial"/>
          <w:sz w:val="16"/>
          <w:szCs w:val="16"/>
          <w:color w:val="auto"/>
        </w:rPr>
        <w:t>.</w:t>
      </w:r>
    </w:p>
    <w:p>
      <w:pPr>
        <w:spacing w:after="0" w:line="229" w:lineRule="exact"/>
        <w:rPr>
          <w:sz w:val="20"/>
          <w:szCs w:val="20"/>
          <w:color w:val="auto"/>
        </w:rPr>
      </w:pPr>
    </w:p>
    <w:p>
      <w:pPr>
        <w:ind w:left="1960" w:hanging="656"/>
        <w:spacing w:after="0"/>
        <w:tabs>
          <w:tab w:leader="none" w:pos="196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Borrower shall:</w:t>
      </w:r>
    </w:p>
    <w:p>
      <w:pPr>
        <w:spacing w:after="0" w:line="225" w:lineRule="exact"/>
        <w:rPr>
          <w:rFonts w:ascii="Arial" w:cs="Arial" w:eastAsia="Arial" w:hAnsi="Arial"/>
          <w:sz w:val="18"/>
          <w:szCs w:val="18"/>
          <w:color w:val="auto"/>
        </w:rPr>
      </w:pPr>
    </w:p>
    <w:p>
      <w:pPr>
        <w:ind w:left="660" w:firstLine="1292"/>
        <w:spacing w:after="0" w:line="277" w:lineRule="auto"/>
        <w:tabs>
          <w:tab w:leader="none" w:pos="2447" w:val="left"/>
        </w:tabs>
        <w:numPr>
          <w:ilvl w:val="2"/>
          <w:numId w:val="374"/>
        </w:numPr>
        <w:rPr>
          <w:rFonts w:ascii="Arial" w:cs="Arial" w:eastAsia="Arial" w:hAnsi="Arial"/>
          <w:sz w:val="18"/>
          <w:szCs w:val="18"/>
          <w:color w:val="auto"/>
        </w:rPr>
      </w:pPr>
      <w:r>
        <w:rPr>
          <w:rFonts w:ascii="Arial" w:cs="Arial" w:eastAsia="Arial" w:hAnsi="Arial"/>
          <w:sz w:val="18"/>
          <w:szCs w:val="18"/>
          <w:color w:val="auto"/>
        </w:rPr>
        <w:t>pay all rents, additional rents and other sums required to be paid by Borrower (if any), as tenant under and pursuant to the provisions of the Ground Lease, as and when such rent or other charge is payable,</w:t>
      </w:r>
    </w:p>
    <w:p>
      <w:pPr>
        <w:spacing w:after="0" w:line="170" w:lineRule="exact"/>
        <w:rPr>
          <w:rFonts w:ascii="Arial" w:cs="Arial" w:eastAsia="Arial" w:hAnsi="Arial"/>
          <w:sz w:val="18"/>
          <w:szCs w:val="18"/>
          <w:color w:val="auto"/>
        </w:rPr>
      </w:pPr>
    </w:p>
    <w:p>
      <w:pPr>
        <w:jc w:val="both"/>
        <w:ind w:left="660" w:firstLine="1292"/>
        <w:spacing w:after="0" w:line="342" w:lineRule="auto"/>
        <w:tabs>
          <w:tab w:leader="none" w:pos="2451" w:val="left"/>
        </w:tabs>
        <w:numPr>
          <w:ilvl w:val="2"/>
          <w:numId w:val="374"/>
        </w:numPr>
        <w:rPr>
          <w:rFonts w:ascii="Arial" w:cs="Arial" w:eastAsia="Arial" w:hAnsi="Arial"/>
          <w:sz w:val="16"/>
          <w:szCs w:val="16"/>
          <w:color w:val="auto"/>
        </w:rPr>
      </w:pPr>
      <w:r>
        <w:rPr>
          <w:rFonts w:ascii="Arial" w:cs="Arial" w:eastAsia="Arial" w:hAnsi="Arial"/>
          <w:sz w:val="16"/>
          <w:szCs w:val="16"/>
          <w:color w:val="auto"/>
        </w:rPr>
        <w:t>diligently perform and observe all of the terms, covenants and conditions of the Ground Lease on the part of Borrower, as tenant thereunder, to be performed and observed, at least three (3) days prior to the expiration of any applicable grace period therein provided; and</w:t>
      </w:r>
    </w:p>
    <w:p>
      <w:pPr>
        <w:spacing w:after="0" w:line="123" w:lineRule="exact"/>
        <w:rPr>
          <w:rFonts w:ascii="Arial" w:cs="Arial" w:eastAsia="Arial" w:hAnsi="Arial"/>
          <w:sz w:val="16"/>
          <w:szCs w:val="16"/>
          <w:color w:val="auto"/>
        </w:rPr>
      </w:pPr>
    </w:p>
    <w:p>
      <w:pPr>
        <w:jc w:val="both"/>
        <w:ind w:left="660" w:firstLine="1292"/>
        <w:spacing w:after="0" w:line="263" w:lineRule="auto"/>
        <w:tabs>
          <w:tab w:leader="none" w:pos="2538" w:val="left"/>
        </w:tabs>
        <w:numPr>
          <w:ilvl w:val="2"/>
          <w:numId w:val="374"/>
        </w:numPr>
        <w:rPr>
          <w:rFonts w:ascii="Arial" w:cs="Arial" w:eastAsia="Arial" w:hAnsi="Arial"/>
          <w:sz w:val="18"/>
          <w:szCs w:val="18"/>
          <w:color w:val="auto"/>
        </w:rPr>
      </w:pPr>
      <w:r>
        <w:rPr>
          <w:rFonts w:ascii="Arial" w:cs="Arial" w:eastAsia="Arial" w:hAnsi="Arial"/>
          <w:sz w:val="18"/>
          <w:szCs w:val="18"/>
          <w:color w:val="auto"/>
        </w:rPr>
        <w:t>promptly notify Lender of the giving of any written notice by the lessor under the Ground Lease to Borrower of any default by Borrower in the performance or observance of any of the terms, covenants or conditions of the Ground Lease on the part of Borrower, as tenant thereunder, to be performed or observed, and deliver to Lender a true copy of each such notice.</w:t>
      </w:r>
    </w:p>
    <w:p>
      <w:pPr>
        <w:spacing w:after="0" w:line="183" w:lineRule="exact"/>
        <w:rPr>
          <w:rFonts w:ascii="Arial" w:cs="Arial" w:eastAsia="Arial" w:hAnsi="Arial"/>
          <w:sz w:val="18"/>
          <w:szCs w:val="18"/>
          <w:color w:val="auto"/>
        </w:rPr>
      </w:pPr>
    </w:p>
    <w:p>
      <w:pPr>
        <w:jc w:val="both"/>
        <w:ind w:firstLine="1304"/>
        <w:spacing w:after="0" w:line="253" w:lineRule="auto"/>
        <w:tabs>
          <w:tab w:leader="none" w:pos="2099" w:val="left"/>
        </w:tabs>
        <w:numPr>
          <w:ilvl w:val="1"/>
          <w:numId w:val="374"/>
        </w:numPr>
        <w:rPr>
          <w:rFonts w:ascii="Arial" w:cs="Arial" w:eastAsia="Arial" w:hAnsi="Arial"/>
          <w:sz w:val="18"/>
          <w:szCs w:val="18"/>
          <w:color w:val="auto"/>
        </w:rPr>
      </w:pPr>
      <w:r>
        <w:rPr>
          <w:rFonts w:ascii="Arial" w:cs="Arial" w:eastAsia="Arial" w:hAnsi="Arial"/>
          <w:sz w:val="18"/>
          <w:szCs w:val="18"/>
          <w:color w:val="auto"/>
        </w:rPr>
        <w:t>Borrower shall not, without the prior consent of Lender, (i) surrender the leasehold estate created by the Ground Lease, (ii) terminate or cancel the Ground Lease, (iii) modify, change, supplement, alter or amend in any material respect the Ground Lease, or (iv) waive any rights under the Ground Lease, either orally or in writing. Borrower hereby assigns to Lender, as further security for the payment and performance of the Obligations and for the performance and observance of the terms, covenants and conditions of the Mortgage, this Agreement and the other Loan Documents, all of the rights, privileges and prerogatives of Borrower, as tenant under the Ground Lease, to surrender the leasehold estate created by the Ground Lease or to terminate, cancel, modify, change, supplement, alter, amend or waive any rights under the Ground Lease in any material respect, and any such surrender of the leasehold estate created by the Ground Lease or termination, cancellation, modification, change, supplement, alteration, amendment of or waiver of rights under the Ground Lease in any material respect without the prior consent of Lender shall be void and of no force and effect.</w:t>
      </w:r>
    </w:p>
    <w:p>
      <w:pPr>
        <w:spacing w:after="0" w:line="196" w:lineRule="exact"/>
        <w:rPr>
          <w:rFonts w:ascii="Arial" w:cs="Arial" w:eastAsia="Arial" w:hAnsi="Arial"/>
          <w:sz w:val="18"/>
          <w:szCs w:val="18"/>
          <w:color w:val="auto"/>
        </w:rPr>
      </w:pPr>
    </w:p>
    <w:p>
      <w:pPr>
        <w:jc w:val="both"/>
        <w:ind w:firstLine="1304"/>
        <w:spacing w:after="0" w:line="283" w:lineRule="auto"/>
        <w:tabs>
          <w:tab w:leader="none" w:pos="202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If Borrower shall default in the performance or observance of any material term, covenant or condition of the Ground Lease on the part of Borrower, as tenant thereunder, to be performed or observed, then, without limiting the generality of the other provisions of the Mortgage, this Agreement and the other Loan Documents, and without waiving or releasing Borrower from any of its Obligations hereunder, Lender shall have the right, but shall be under no obligation, to pay any sums and to perform any act or take any action as may be appropriate to cause all of the material terms, covenants and conditions of the Ground Lease on the part of Borrower, as tenant thereunder, to be performed or observed or to be promptly performed or observed on behalf of Borrower, to the end that the rights of Borrower in, to and under the Ground Lease shall be kept unimpaired as a result thereof and free from default, even though the existence of such event of default or the nature thereof be questioned or denied by Borrower or by any party on behalf of Borrower. If Lender shall make any payment or perform any act or take action in accordance with the preceding sentence, Lender will notify Borrower of the making of any such payment, the performance of any such act or the taking of any such action. In any such event, subject to the rights of Tenants, subtenants and other occupants under the Leases or of parties to any REA, Lender and any Person designated as Lender’s agent by Lender shall have, and are hereby granted, the right to enter upon the Property at any reasonable time, on reasonable notice (which may be given verbally) and from time to time for the purpose of taking any such action. Lender may pay and expend such sums of money as Lender reasonably deems necessary for any such purpose and upon so doing shall be subrogated to any and all rights of the landlord under the Ground Lease. Borrower hereby agrees to pay to Lender within five</w:t>
      </w:r>
    </w:p>
    <w:p>
      <w:pPr>
        <w:spacing w:after="0" w:line="1" w:lineRule="exact"/>
        <w:rPr>
          <w:rFonts w:ascii="Arial" w:cs="Arial" w:eastAsia="Arial" w:hAnsi="Arial"/>
          <w:sz w:val="16"/>
          <w:szCs w:val="16"/>
          <w:color w:val="auto"/>
        </w:rPr>
      </w:pPr>
    </w:p>
    <w:p>
      <w:pPr>
        <w:ind w:right="20" w:firstLine="8"/>
        <w:spacing w:after="0" w:line="290" w:lineRule="auto"/>
        <w:tabs>
          <w:tab w:leader="none" w:pos="258" w:val="left"/>
        </w:tabs>
        <w:numPr>
          <w:ilvl w:val="0"/>
          <w:numId w:val="375"/>
        </w:numPr>
        <w:rPr>
          <w:rFonts w:ascii="Arial" w:cs="Arial" w:eastAsia="Arial" w:hAnsi="Arial"/>
          <w:sz w:val="17"/>
          <w:szCs w:val="17"/>
          <w:color w:val="auto"/>
        </w:rPr>
      </w:pPr>
      <w:r>
        <w:rPr>
          <w:rFonts w:ascii="Arial" w:cs="Arial" w:eastAsia="Arial" w:hAnsi="Arial"/>
          <w:sz w:val="17"/>
          <w:szCs w:val="17"/>
          <w:color w:val="auto"/>
        </w:rPr>
        <w:t>days after demand, all such sums so paid and expended by Lender, together with interest thereon from the day of such payment at the Default Rate. All sums so paid and expended by Lender and the interest thereon shall be secured by the legal operation and effect of the Mortgage.</w:t>
      </w: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0" w:name="page351"/>
    <w:bookmarkEnd w:id="350"/>
    <w:p>
      <w:pPr>
        <w:jc w:val="both"/>
        <w:ind w:firstLine="1304"/>
        <w:spacing w:after="0" w:line="291" w:lineRule="auto"/>
        <w:tabs>
          <w:tab w:leader="none" w:pos="2055" w:val="left"/>
        </w:tabs>
        <w:numPr>
          <w:ilvl w:val="0"/>
          <w:numId w:val="376"/>
        </w:numPr>
        <w:rPr>
          <w:rFonts w:ascii="Arial" w:cs="Arial" w:eastAsia="Arial" w:hAnsi="Arial"/>
          <w:sz w:val="16"/>
          <w:szCs w:val="16"/>
          <w:color w:val="auto"/>
        </w:rPr>
      </w:pPr>
      <w:r>
        <w:rPr>
          <w:rFonts w:ascii="Arial" w:cs="Arial" w:eastAsia="Arial" w:hAnsi="Arial"/>
          <w:sz w:val="16"/>
          <w:szCs w:val="16"/>
          <w:color w:val="auto"/>
        </w:rPr>
        <w:t>If the lessor under the Ground Lease shall deliver to Lender a copy of any notice of default sent by said lessor to Borrower, as tenant under the Ground Lease, such notice shall constitute full protection to Lender for any action taken or omitted to be taken by Lender, in good faith, in reliance thereon. Borrower shall exercise each individual option, if any, to extend or renew the term of the Ground Lease upon demand by Lender made at any time within one (1) year prior to the last day upon which any such option may be exercised, and if Borrower shall fail to do so, Borrower hereby expressly authorizes and appoints Lender its attorney-in-fact to exercise any such option in the name of and upon behalf of Borrower, which power of attorney shall be irrevocable and shall be deemed to be coupled with an interest. Borrower will not subordinate or consent to the subordination of the Ground Lease to any mortgage, security deed, lease or other interest on or in the landlord’s interest in all or any part of the Property.</w:t>
      </w:r>
    </w:p>
    <w:p>
      <w:pPr>
        <w:spacing w:after="0" w:line="166" w:lineRule="exact"/>
        <w:rPr>
          <w:rFonts w:ascii="Arial" w:cs="Arial" w:eastAsia="Arial" w:hAnsi="Arial"/>
          <w:sz w:val="16"/>
          <w:szCs w:val="16"/>
          <w:color w:val="auto"/>
        </w:rPr>
      </w:pPr>
    </w:p>
    <w:p>
      <w:pPr>
        <w:jc w:val="both"/>
        <w:ind w:firstLine="1304"/>
        <w:spacing w:after="0" w:line="259" w:lineRule="auto"/>
        <w:tabs>
          <w:tab w:leader="none" w:pos="2037" w:val="left"/>
        </w:tabs>
        <w:numPr>
          <w:ilvl w:val="0"/>
          <w:numId w:val="376"/>
        </w:numPr>
        <w:rPr>
          <w:rFonts w:ascii="Arial" w:cs="Arial" w:eastAsia="Arial" w:hAnsi="Arial"/>
          <w:sz w:val="18"/>
          <w:szCs w:val="18"/>
          <w:color w:val="auto"/>
        </w:rPr>
      </w:pPr>
      <w:r>
        <w:rPr>
          <w:rFonts w:ascii="Arial" w:cs="Arial" w:eastAsia="Arial" w:hAnsi="Arial"/>
          <w:sz w:val="18"/>
          <w:szCs w:val="18"/>
          <w:color w:val="auto"/>
        </w:rPr>
        <w:t>Unless Lender shall otherwise expressly consent in writing, there shall be no merger of the Ground Lease, nor of the leasehold estate or other estate created thereby, with the fee estate in the land demised thereunder by reason of the fact that the Ground Lease, or the leasehold estate or other estate created thereby, may be held directly or indirectly by or for the account of any person or entity who or which also holds the fee estate in the land demised thereunder.</w:t>
      </w:r>
    </w:p>
    <w:p>
      <w:pPr>
        <w:spacing w:after="0" w:line="186" w:lineRule="exact"/>
        <w:rPr>
          <w:rFonts w:ascii="Arial" w:cs="Arial" w:eastAsia="Arial" w:hAnsi="Arial"/>
          <w:sz w:val="18"/>
          <w:szCs w:val="18"/>
          <w:color w:val="auto"/>
        </w:rPr>
      </w:pPr>
    </w:p>
    <w:p>
      <w:pPr>
        <w:jc w:val="both"/>
        <w:ind w:firstLine="1304"/>
        <w:spacing w:after="0" w:line="285" w:lineRule="auto"/>
        <w:tabs>
          <w:tab w:leader="none" w:pos="2185" w:val="left"/>
        </w:tabs>
        <w:numPr>
          <w:ilvl w:val="0"/>
          <w:numId w:val="376"/>
        </w:numPr>
        <w:rPr>
          <w:rFonts w:ascii="Arial" w:cs="Arial" w:eastAsia="Arial" w:hAnsi="Arial"/>
          <w:sz w:val="16"/>
          <w:szCs w:val="16"/>
          <w:color w:val="auto"/>
        </w:rPr>
      </w:pPr>
      <w:r>
        <w:rPr>
          <w:rFonts w:ascii="Arial" w:cs="Arial" w:eastAsia="Arial" w:hAnsi="Arial"/>
          <w:sz w:val="16"/>
          <w:szCs w:val="16"/>
          <w:color w:val="auto"/>
        </w:rPr>
        <w:t>Borrower acknowledges that pursuant to Section 365 of the Bankruptcy Code, it is possible that a trustee in bankruptcy of ground lessor, or ground lessor as a debtor-in-possession, could reject the Ground Lease, in which case, Borrower, as tenant, would have the election described in Section 365(h) of the Bankruptcy Code (which election, as the same may be amended from time to time, and together with any comparable right under any other state or federal law relating to bankruptcy, reorganization or other relief for debtors, whether now or hereafter in effect, is herein called the “</w:t>
      </w:r>
      <w:r>
        <w:rPr>
          <w:rFonts w:ascii="Arial" w:cs="Arial" w:eastAsia="Arial" w:hAnsi="Arial"/>
          <w:sz w:val="16"/>
          <w:szCs w:val="16"/>
          <w:b w:val="1"/>
          <w:bCs w:val="1"/>
          <w:i w:val="1"/>
          <w:iCs w:val="1"/>
          <w:color w:val="auto"/>
        </w:rPr>
        <w:t>Election</w:t>
      </w:r>
      <w:r>
        <w:rPr>
          <w:rFonts w:ascii="Arial" w:cs="Arial" w:eastAsia="Arial" w:hAnsi="Arial"/>
          <w:sz w:val="16"/>
          <w:szCs w:val="16"/>
          <w:color w:val="auto"/>
        </w:rPr>
        <w:t>”) to treat the Ground Lease as terminated by such rejection or, in the alternative, to remain in possession for the balance of the term of the Ground Lease and any renewal or extension thereof that is enforceable by the tenant under applicable non-bankruptcy law. Borrower shall not permit the termination of the Ground Lease by exercise of the Election or otherwise without the prior written consent of Lender, which consent may be withheld, conditioned or delayed for any reason in Lender’s sole and absolute discretion. Borrower acknowledges that since the Ground Lease is a primary part of the security for the Obligations, it is not anticipated that Lender would consent to termination of the Ground Lease. In order to secure the covenant made in this paragraph and as security for the Obligations, Borrower assigns the Election and all rights related thereto to Lender. Borrower acknowledges and agrees that the foregoing assignment of the Election and related rights is one of the rights which Lender may use at any time in order to protect and preserve the other rights and interests of Lender under this Agreement and the other Loan Documents, since exercise of the Election in favor of terminating the Ground Lease would constitute waste hereunder. Borrower agrees that exercise of the Election in favor of preserving the right to possession under the Ground Lease shall not be deemed to constitute a taking or sale of the Property by Lender and shall not entitle Borrower to any credit against the Obligations. Borrower acknowledges and agrees that in the event the Election is exercised in favor of Borrower remaining in possession, Borrower’s resulting rights under the Ground Lease, as adjusted by the effect of Section 365 of the Bankruptcy Code, shall then be part of the Property and shall be subject to the Liens created by this Agreement, the Mortgage and the other Loan Documents.</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1" w:name="page352"/>
    <w:bookmarkEnd w:id="351"/>
    <w:p>
      <w:pPr>
        <w:jc w:val="both"/>
        <w:ind w:firstLine="1304"/>
        <w:spacing w:after="0" w:line="291" w:lineRule="auto"/>
        <w:tabs>
          <w:tab w:leader="none" w:pos="1871" w:val="left"/>
        </w:tabs>
        <w:numPr>
          <w:ilvl w:val="1"/>
          <w:numId w:val="377"/>
        </w:numPr>
        <w:rPr>
          <w:rFonts w:ascii="Arial" w:cs="Arial" w:eastAsia="Arial" w:hAnsi="Arial"/>
          <w:sz w:val="16"/>
          <w:szCs w:val="16"/>
          <w:color w:val="auto"/>
        </w:rPr>
      </w:pPr>
      <w:r>
        <w:rPr>
          <w:rFonts w:ascii="Arial" w:cs="Arial" w:eastAsia="Arial" w:hAnsi="Arial"/>
          <w:sz w:val="16"/>
          <w:szCs w:val="16"/>
          <w:color w:val="auto"/>
        </w:rPr>
        <w:t>If there shall be filed by or against Borrower a petition under the Bankruptcy Code, and Borrower, as the tenant under the Ground Lease, shall determine to reject the Ground Lease pursuant to Section 365(a) of the Bankruptcy Code, then Borrower shall give Lender not less than ten</w:t>
      </w:r>
    </w:p>
    <w:p>
      <w:pPr>
        <w:jc w:val="both"/>
        <w:ind w:firstLine="8"/>
        <w:spacing w:after="0" w:line="286" w:lineRule="auto"/>
        <w:tabs>
          <w:tab w:leader="none" w:pos="354"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days’ prior notice of the date on which Borrower shall apply to the bankruptcy court for authority to reject the Ground Lease. Lender shall have the right, but not the obligation, to serve upon Borrower within such ten (10) day period a notice stating that (i) Lender demands that Borrower assume and assign the Ground Lease to Lender pursuant to Section 365 of the Bankruptcy Code and (ii) Lender agrees to cure or provide adequate assurance of prompt cure of all defaults and provide adequate assurance of future performance under the Ground Lease; provided, that such defaults are susceptible to cure. If Lender serves upon Borrower the notice described in the preceding sentence, Borrower shall not seek to reject the Ground Lease and shall comply with the demand provided for in clause (i) of the preceding sentence within thirty (30) days after the notice shall have been given, subject to the performance by Lender of the agreement provided for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preceding sentence. Effective upon the entry of an order for relief in respect of Borrower under the Bankruptcy Code, Borrower hereby assigns and transfers to Lender a non-exclusive right to apply to the bankruptcy court under Section 365(d)(4) of the Bankruptcy Code for an order extending the period during which the Ground Lease may be rejected or assumed.</w:t>
      </w:r>
    </w:p>
    <w:p>
      <w:pPr>
        <w:spacing w:after="0" w:line="16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color w:val="auto"/>
        </w:rPr>
        <w:t xml:space="preserve">Section 4.36 </w:t>
      </w:r>
      <w:r>
        <w:rPr>
          <w:rFonts w:ascii="Arial" w:cs="Arial" w:eastAsia="Arial" w:hAnsi="Arial"/>
          <w:sz w:val="16"/>
          <w:szCs w:val="16"/>
          <w:b w:val="1"/>
          <w:bCs w:val="1"/>
          <w:u w:val="single" w:color="auto"/>
          <w:color w:val="auto"/>
        </w:rPr>
        <w:t>Scheduled Capital Expenditures Work</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shall complete all of the Scheduled Capital Expenditures Work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plans and specifications attached hereto as Schedule XI and all applicable Legal Requirements, on or prior to the date that is one hundred eighty</w:t>
      </w:r>
    </w:p>
    <w:p>
      <w:pPr>
        <w:spacing w:after="0" w:line="1" w:lineRule="exact"/>
        <w:rPr>
          <w:sz w:val="20"/>
          <w:szCs w:val="20"/>
          <w:color w:val="auto"/>
        </w:rPr>
      </w:pPr>
    </w:p>
    <w:p>
      <w:pPr>
        <w:jc w:val="both"/>
        <w:ind w:firstLine="8"/>
        <w:spacing w:after="0" w:line="253" w:lineRule="auto"/>
        <w:tabs>
          <w:tab w:leader="none" w:pos="44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days following the Closing Date (the “</w:t>
      </w:r>
      <w:r>
        <w:rPr>
          <w:rFonts w:ascii="Arial" w:cs="Arial" w:eastAsia="Arial" w:hAnsi="Arial"/>
          <w:sz w:val="18"/>
          <w:szCs w:val="18"/>
          <w:b w:val="1"/>
          <w:bCs w:val="1"/>
          <w:i w:val="1"/>
          <w:iCs w:val="1"/>
          <w:color w:val="auto"/>
        </w:rPr>
        <w:t>Scheduled Capital Expenditures Work Completion Outside Date</w:t>
      </w:r>
      <w:r>
        <w:rPr>
          <w:rFonts w:ascii="Arial" w:cs="Arial" w:eastAsia="Arial" w:hAnsi="Arial"/>
          <w:sz w:val="18"/>
          <w:szCs w:val="18"/>
          <w:color w:val="auto"/>
        </w:rPr>
        <w:t>”), provided that such 180-day period shall be automatically extended for successive 30-day periods so long as (a) no Event of Default has occurred and is continuing and (b) Borrower diligently pursuing completion of the Scheduled Capital Expenditures Work in good faith, provided further, however, that, notwithstanding the foregoing, the Scheduled Capital Expenditures Work Completion Outside Date shall not be extended beyond the date that is eighteen (18) months following the Closing Date.</w:t>
      </w:r>
    </w:p>
    <w:p>
      <w:pPr>
        <w:spacing w:after="0" w:line="18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4.37</w:t>
      </w:r>
      <w:r>
        <w:rPr>
          <w:sz w:val="20"/>
          <w:szCs w:val="20"/>
          <w:color w:val="auto"/>
        </w:rPr>
        <w:tab/>
      </w:r>
      <w:r>
        <w:rPr>
          <w:rFonts w:ascii="Arial" w:cs="Arial" w:eastAsia="Arial" w:hAnsi="Arial"/>
          <w:sz w:val="16"/>
          <w:szCs w:val="16"/>
          <w:b w:val="1"/>
          <w:bCs w:val="1"/>
          <w:u w:val="single" w:color="auto"/>
          <w:color w:val="auto"/>
        </w:rPr>
        <w:t>Required Repairs</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304"/>
        <w:spacing w:after="0" w:line="266" w:lineRule="auto"/>
        <w:tabs>
          <w:tab w:leader="none" w:pos="196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Borrower shall perform the repairs and other work at the Property as set forth on </w:t>
      </w:r>
      <w:r>
        <w:rPr>
          <w:rFonts w:ascii="Arial" w:cs="Arial" w:eastAsia="Arial" w:hAnsi="Arial"/>
          <w:sz w:val="18"/>
          <w:szCs w:val="18"/>
          <w:b w:val="1"/>
          <w:bCs w:val="1"/>
          <w:u w:val="single" w:color="auto"/>
          <w:color w:val="auto"/>
        </w:rPr>
        <w:t>Schedule II</w:t>
      </w:r>
      <w:r>
        <w:rPr>
          <w:rFonts w:ascii="Arial" w:cs="Arial" w:eastAsia="Arial" w:hAnsi="Arial"/>
          <w:sz w:val="18"/>
          <w:szCs w:val="18"/>
          <w:color w:val="auto"/>
        </w:rPr>
        <w:t xml:space="preserve"> (such repairs and other work hereinafter referred to as “</w:t>
      </w:r>
      <w:r>
        <w:rPr>
          <w:rFonts w:ascii="Arial" w:cs="Arial" w:eastAsia="Arial" w:hAnsi="Arial"/>
          <w:sz w:val="18"/>
          <w:szCs w:val="18"/>
          <w:b w:val="1"/>
          <w:bCs w:val="1"/>
          <w:i w:val="1"/>
          <w:iCs w:val="1"/>
          <w:color w:val="auto"/>
        </w:rPr>
        <w:t>Required Repairs</w:t>
      </w:r>
      <w:r>
        <w:rPr>
          <w:rFonts w:ascii="Arial" w:cs="Arial" w:eastAsia="Arial" w:hAnsi="Arial"/>
          <w:sz w:val="18"/>
          <w:szCs w:val="18"/>
          <w:color w:val="auto"/>
        </w:rPr>
        <w:t xml:space="preserve">”) and shall complete each of the Required Repairs on or before the respective deadline for each repair as set forth on </w:t>
      </w:r>
      <w:r>
        <w:rPr>
          <w:rFonts w:ascii="Arial" w:cs="Arial" w:eastAsia="Arial" w:hAnsi="Arial"/>
          <w:sz w:val="18"/>
          <w:szCs w:val="18"/>
          <w:b w:val="1"/>
          <w:bCs w:val="1"/>
          <w:u w:val="single" w:color="auto"/>
          <w:color w:val="auto"/>
        </w:rPr>
        <w:t>Schedule II</w:t>
      </w:r>
      <w:r>
        <w:rPr>
          <w:rFonts w:ascii="Arial" w:cs="Arial" w:eastAsia="Arial" w:hAnsi="Arial"/>
          <w:sz w:val="18"/>
          <w:szCs w:val="18"/>
          <w:color w:val="auto"/>
        </w:rPr>
        <w:t>, which may be extended at Lender’s option if diligently pursued.</w:t>
      </w: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2" w:name="page353"/>
    <w:bookmarkEnd w:id="352"/>
    <w:p>
      <w:pPr>
        <w:jc w:val="both"/>
        <w:ind w:right="20" w:firstLine="1304"/>
        <w:spacing w:after="0" w:line="263" w:lineRule="auto"/>
        <w:tabs>
          <w:tab w:leader="none" w:pos="183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Without limitation of the foregoing, Borrower shall cause an additional 136 parking spaces to be striped at the Property (such that the Property has 167 total parking spaces) in compliance with all applicable Legal Requirements within 180 days of the Closing Date (which such deadline may be extended at Lender’s option if diligently pursued).</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4.38 </w:t>
      </w:r>
      <w:r>
        <w:rPr>
          <w:rFonts w:ascii="Arial" w:cs="Arial" w:eastAsia="Arial" w:hAnsi="Arial"/>
          <w:sz w:val="17"/>
          <w:szCs w:val="17"/>
          <w:b w:val="1"/>
          <w:bCs w:val="1"/>
          <w:u w:val="single" w:color="auto"/>
          <w:color w:val="auto"/>
        </w:rPr>
        <w:t>Alternative Access with Respect to Affected Underground Utilities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Affected Underground Utilities are curtailed and/or</w:t>
      </w:r>
      <w:r>
        <w:rPr>
          <w:rFonts w:ascii="Arial" w:cs="Arial" w:eastAsia="Arial" w:hAnsi="Arial"/>
          <w:sz w:val="17"/>
          <w:szCs w:val="17"/>
          <w:b w:val="1"/>
          <w:bCs w:val="1"/>
          <w:color w:val="auto"/>
        </w:rPr>
        <w:t xml:space="preserve"> </w:t>
      </w:r>
      <w:r>
        <w:rPr>
          <w:rFonts w:ascii="Arial" w:cs="Arial" w:eastAsia="Arial" w:hAnsi="Arial"/>
          <w:sz w:val="17"/>
          <w:szCs w:val="17"/>
          <w:color w:val="auto"/>
        </w:rPr>
        <w:t>are no longer accessible and/or otherwise available, then Borrower (a) shall promptly notify Lender of the same and (b) shall diligently and promptly implement (or shall cause to be diligently and promptly implemented) alternative access to the relevant public utilities necessary or convenient to the full use and enjoyment of the Property for the Borrower’s and/or any Tenant’s intended uses via one or more public rights-of-way abutting the Property, or pass through private property and be subject to a valid irrevocable easement to which the Property has uninhibited access rights, in each case, in compliance with all applicable Legal Requirements and all of the applicable terms and conditions 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INSURANCE, CASUALTY AND CONDEMNATION</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5"/>
          <w:szCs w:val="15"/>
          <w:b w:val="1"/>
          <w:bCs w:val="1"/>
          <w:u w:val="single" w:color="auto"/>
          <w:color w:val="auto"/>
        </w:rPr>
        <w:t>Insurance Policies</w:t>
      </w:r>
      <w:r>
        <w:rPr>
          <w:rFonts w:ascii="Arial" w:cs="Arial" w:eastAsia="Arial" w:hAnsi="Arial"/>
          <w:sz w:val="15"/>
          <w:szCs w:val="15"/>
          <w:color w:val="auto"/>
        </w:rPr>
        <w:t>.</w:t>
      </w:r>
    </w:p>
    <w:p>
      <w:pPr>
        <w:spacing w:after="0" w:line="229" w:lineRule="exact"/>
        <w:rPr>
          <w:sz w:val="20"/>
          <w:szCs w:val="20"/>
          <w:color w:val="auto"/>
        </w:rPr>
      </w:pPr>
    </w:p>
    <w:p>
      <w:pPr>
        <w:ind w:right="20" w:firstLine="1304"/>
        <w:spacing w:after="0" w:line="277" w:lineRule="auto"/>
        <w:tabs>
          <w:tab w:leader="none" w:pos="200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Borrower, at its sole cost and expense, shall obtain and maintain during the entire Term, or cause to be maintained, insurance policies for Borrower and the Property providing at least the following coverages:</w:t>
      </w:r>
    </w:p>
    <w:p>
      <w:pPr>
        <w:spacing w:after="0" w:line="170" w:lineRule="exact"/>
        <w:rPr>
          <w:rFonts w:ascii="Arial" w:cs="Arial" w:eastAsia="Arial" w:hAnsi="Arial"/>
          <w:sz w:val="18"/>
          <w:szCs w:val="18"/>
          <w:color w:val="auto"/>
        </w:rPr>
      </w:pPr>
    </w:p>
    <w:p>
      <w:pPr>
        <w:jc w:val="both"/>
        <w:ind w:left="660" w:firstLine="1292"/>
        <w:spacing w:after="0" w:line="284" w:lineRule="auto"/>
        <w:tabs>
          <w:tab w:leader="none" w:pos="2488" w:val="left"/>
        </w:tabs>
        <w:numPr>
          <w:ilvl w:val="1"/>
          <w:numId w:val="382"/>
        </w:numPr>
        <w:rPr>
          <w:rFonts w:ascii="Arial" w:cs="Arial" w:eastAsia="Arial" w:hAnsi="Arial"/>
          <w:sz w:val="16"/>
          <w:szCs w:val="16"/>
          <w:color w:val="auto"/>
        </w:rPr>
      </w:pPr>
      <w:r>
        <w:rPr>
          <w:rFonts w:ascii="Arial" w:cs="Arial" w:eastAsia="Arial" w:hAnsi="Arial"/>
          <w:sz w:val="16"/>
          <w:szCs w:val="16"/>
          <w:color w:val="auto"/>
        </w:rPr>
        <w:t xml:space="preserve">Property insurance against loss or damage by fire, any type of wind (including named storms), lightning, and such other perils as are included in a standard “special form” or “all-risk” policy, and against loss or damage by all other risks and hazards covered by a standard extended coverage insurance policy, with no exclusion for damage or destruction caused by acts of terrorism (or, subject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5.1.1(i)</w:t>
      </w:r>
      <w:r>
        <w:rPr>
          <w:rFonts w:ascii="Arial" w:cs="Arial" w:eastAsia="Arial" w:hAnsi="Arial"/>
          <w:sz w:val="16"/>
          <w:szCs w:val="16"/>
          <w:color w:val="auto"/>
        </w:rPr>
        <w:t xml:space="preserve"> below, standalone coverage with respect thereto) riot and civil commotion, vandalism, malicious mischief, burglary and theft (A) in an amount equal to one hundred percent (100%) of the “</w:t>
      </w:r>
      <w:r>
        <w:rPr>
          <w:rFonts w:ascii="Arial" w:cs="Arial" w:eastAsia="Arial" w:hAnsi="Arial"/>
          <w:sz w:val="16"/>
          <w:szCs w:val="16"/>
          <w:b w:val="1"/>
          <w:bCs w:val="1"/>
          <w:i w:val="1"/>
          <w:iCs w:val="1"/>
          <w:color w:val="auto"/>
        </w:rPr>
        <w:t>Full Replacement Cost</w:t>
      </w:r>
      <w:r>
        <w:rPr>
          <w:rFonts w:ascii="Arial" w:cs="Arial" w:eastAsia="Arial" w:hAnsi="Arial"/>
          <w:sz w:val="16"/>
          <w:szCs w:val="16"/>
          <w:color w:val="auto"/>
        </w:rPr>
        <w:t>” of the Property, which for purposes of this Agreement shall mean actual replacement value (exclusive of costs of excavations, foundations, underground utilities and footings) with a waiver of depreciation; (B) have deductibles no greater than $500,000, with the exception of windstorm or earthquake, which may have deductibles not to exceed five percent (5%) of the total insurable value of the Property per occurrence; (C) to be written on a no coinsurance form or containing an agreed amount endorsement with respect to the Improvements and personal property at the Property waiving all co-insurance provisions; and (D) containing “</w:t>
      </w:r>
      <w:r>
        <w:rPr>
          <w:rFonts w:ascii="Arial" w:cs="Arial" w:eastAsia="Arial" w:hAnsi="Arial"/>
          <w:sz w:val="16"/>
          <w:szCs w:val="16"/>
          <w:b w:val="1"/>
          <w:bCs w:val="1"/>
          <w:i w:val="1"/>
          <w:iCs w:val="1"/>
          <w:color w:val="auto"/>
        </w:rPr>
        <w:t>Ordinance or Law Coverage</w:t>
      </w:r>
      <w:r>
        <w:rPr>
          <w:rFonts w:ascii="Arial" w:cs="Arial" w:eastAsia="Arial" w:hAnsi="Arial"/>
          <w:sz w:val="16"/>
          <w:szCs w:val="16"/>
          <w:color w:val="auto"/>
        </w:rPr>
        <w:t>” coverage if any of the Improvements or the use of the Property shall at any time constitute legal non-conforming structures or uses, and compensating for loss to the undamaged portion of the building, the cost of demolition and the increased costs of construction, each in amounts as required by Lender. In addition, Borrower shall obtain: (y) if any portion of the Improvements or Personal Property is currently or at any time in the future located in a federally designated special flood hazard area (“</w:t>
      </w:r>
      <w:r>
        <w:rPr>
          <w:rFonts w:ascii="Arial" w:cs="Arial" w:eastAsia="Arial" w:hAnsi="Arial"/>
          <w:sz w:val="16"/>
          <w:szCs w:val="16"/>
          <w:b w:val="1"/>
          <w:bCs w:val="1"/>
          <w:i w:val="1"/>
          <w:iCs w:val="1"/>
          <w:color w:val="auto"/>
        </w:rPr>
        <w:t>SFHA</w:t>
      </w:r>
      <w:r>
        <w:rPr>
          <w:rFonts w:ascii="Arial" w:cs="Arial" w:eastAsia="Arial" w:hAnsi="Arial"/>
          <w:sz w:val="16"/>
          <w:szCs w:val="16"/>
          <w:color w:val="auto"/>
        </w:rPr>
        <w:t>”), flood hazard insurance for all such Improvements and/or Personal Property located in the SFHA in an amount equal to the (1) the maximum amount of building and, if applicable, contents insurance available under the National Flood Insurance Act of 1968, the Flood Disaster Protection Act of 1973 or the National Flood Insurance Reform Act of 1994, as each may be amended (the “Flood Insurance Acts”) plus (2) such additional coverage as Lender shall require, subject to a deductible not to exceed an amount equal to the maximum available through the Flood Insurance Acts; and (z) earthquake insurance in amounts and in form and substance satisfactory to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Lender shall not require earthquake insurance unless the Property is located in an area with a high degree of seismic activity and a Probable Maximum Loss (“</w:t>
      </w:r>
      <w:r>
        <w:rPr>
          <w:rFonts w:ascii="Arial" w:cs="Arial" w:eastAsia="Arial" w:hAnsi="Arial"/>
          <w:sz w:val="16"/>
          <w:szCs w:val="16"/>
          <w:b w:val="1"/>
          <w:bCs w:val="1"/>
          <w:i w:val="1"/>
          <w:iCs w:val="1"/>
          <w:color w:val="auto"/>
        </w:rPr>
        <w:t>PML</w:t>
      </w:r>
      <w:r>
        <w:rPr>
          <w:rFonts w:ascii="Arial" w:cs="Arial" w:eastAsia="Arial" w:hAnsi="Arial"/>
          <w:sz w:val="16"/>
          <w:szCs w:val="16"/>
          <w:color w:val="auto"/>
        </w:rPr>
        <w:t>”) or Scenario Expected Loss (“</w:t>
      </w:r>
      <w:r>
        <w:rPr>
          <w:rFonts w:ascii="Arial" w:cs="Arial" w:eastAsia="Arial" w:hAnsi="Arial"/>
          <w:sz w:val="16"/>
          <w:szCs w:val="16"/>
          <w:b w:val="1"/>
          <w:bCs w:val="1"/>
          <w:i w:val="1"/>
          <w:iCs w:val="1"/>
          <w:color w:val="auto"/>
        </w:rPr>
        <w:t>SEL</w:t>
      </w:r>
      <w:r>
        <w:rPr>
          <w:rFonts w:ascii="Arial" w:cs="Arial" w:eastAsia="Arial" w:hAnsi="Arial"/>
          <w:sz w:val="16"/>
          <w:szCs w:val="16"/>
          <w:color w:val="auto"/>
        </w:rPr>
        <w:t xml:space="preserve">”) of greater than 20%), provided that the insurance pursuant to </w:t>
      </w:r>
      <w:r>
        <w:rPr>
          <w:rFonts w:ascii="Arial" w:cs="Arial" w:eastAsia="Arial" w:hAnsi="Arial"/>
          <w:sz w:val="16"/>
          <w:szCs w:val="16"/>
          <w:u w:val="single" w:color="auto"/>
          <w:color w:val="auto"/>
        </w:rPr>
        <w:t>clauses (y) and (z)</w:t>
      </w:r>
      <w:r>
        <w:rPr>
          <w:rFonts w:ascii="Arial" w:cs="Arial" w:eastAsia="Arial" w:hAnsi="Arial"/>
          <w:sz w:val="16"/>
          <w:szCs w:val="16"/>
          <w:color w:val="auto"/>
        </w:rPr>
        <w:t xml:space="preserve"> hereof shall be on terms consistent with the comprehensive all risk insurance policy required under this </w:t>
      </w:r>
      <w:r>
        <w:rPr>
          <w:rFonts w:ascii="Arial" w:cs="Arial" w:eastAsia="Arial" w:hAnsi="Arial"/>
          <w:sz w:val="16"/>
          <w:szCs w:val="16"/>
          <w:u w:val="single" w:color="auto"/>
          <w:color w:val="auto"/>
        </w:rPr>
        <w:t>subsection (i)</w:t>
      </w:r>
      <w:r>
        <w:rPr>
          <w:rFonts w:ascii="Arial" w:cs="Arial" w:eastAsia="Arial" w:hAnsi="Arial"/>
          <w:sz w:val="16"/>
          <w:szCs w:val="16"/>
          <w:color w:val="auto"/>
        </w:rPr>
        <w:t>;</w:t>
      </w:r>
    </w:p>
    <w:p>
      <w:pPr>
        <w:spacing w:after="0" w:line="200" w:lineRule="exact"/>
        <w:rPr>
          <w:sz w:val="20"/>
          <w:szCs w:val="20"/>
          <w:color w:val="auto"/>
        </w:rPr>
      </w:pP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3" w:name="page354"/>
    <w:bookmarkEnd w:id="353"/>
    <w:p>
      <w:pPr>
        <w:jc w:val="both"/>
        <w:ind w:left="-460" w:firstLine="1292"/>
        <w:spacing w:after="0" w:line="254" w:lineRule="auto"/>
        <w:tabs>
          <w:tab w:leader="none" w:pos="143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commercial general liability insurance, including coverages against claims for personal injury, bodily injury, death or property damage occurring upon, in or about the Property, such insurance (A) to be on the so-called “occurrence” form and containing minimum limits per occurrence of One Million and No/100 Dollars ($1,000,000.00), with a combined limit per policy year, excluding umbrella coverage, of not less than Two Million and No/100 Dollars ($2,000,000.00); (B) to continue at not less than the aforesaid limit until required to be changed by Lender by reason of changed economic conditions making such protection inadequate; and (C) to cover at least the following hazards: (1) premises and operations; (2) products and completed operations on an “if any” basis; (3) independent contractors; and (4) contractual liability for all insured contracts to the extent the same is available;</w:t>
      </w:r>
    </w:p>
    <w:p>
      <w:pPr>
        <w:spacing w:after="0" w:line="194" w:lineRule="exact"/>
        <w:rPr>
          <w:rFonts w:ascii="Arial" w:cs="Arial" w:eastAsia="Arial" w:hAnsi="Arial"/>
          <w:sz w:val="18"/>
          <w:szCs w:val="18"/>
          <w:color w:val="auto"/>
        </w:rPr>
      </w:pPr>
    </w:p>
    <w:p>
      <w:pPr>
        <w:jc w:val="both"/>
        <w:ind w:left="-460" w:firstLine="1292"/>
        <w:spacing w:after="0" w:line="287" w:lineRule="auto"/>
        <w:tabs>
          <w:tab w:leader="none" w:pos="1349"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rental loss and/or business income interruption insurance (A) with loss payable to Lender; (B) covering all risks required to be covered by the insurance provided for in </w:t>
      </w:r>
      <w:r>
        <w:rPr>
          <w:rFonts w:ascii="Arial" w:cs="Arial" w:eastAsia="Arial" w:hAnsi="Arial"/>
          <w:sz w:val="16"/>
          <w:szCs w:val="16"/>
          <w:u w:val="single" w:color="auto"/>
          <w:color w:val="auto"/>
        </w:rPr>
        <w:t>subsection (i)</w:t>
      </w:r>
      <w:r>
        <w:rPr>
          <w:rFonts w:ascii="Arial" w:cs="Arial" w:eastAsia="Arial" w:hAnsi="Arial"/>
          <w:sz w:val="16"/>
          <w:szCs w:val="16"/>
          <w:color w:val="auto"/>
        </w:rPr>
        <w:t xml:space="preserve"> above, subsection (vi) below and </w:t>
      </w:r>
      <w:r>
        <w:rPr>
          <w:rFonts w:ascii="Arial" w:cs="Arial" w:eastAsia="Arial" w:hAnsi="Arial"/>
          <w:sz w:val="16"/>
          <w:szCs w:val="16"/>
          <w:u w:val="single" w:color="auto"/>
          <w:color w:val="auto"/>
        </w:rPr>
        <w:t>Section 5.1.1(h)</w:t>
      </w:r>
      <w:r>
        <w:rPr>
          <w:rFonts w:ascii="Arial" w:cs="Arial" w:eastAsia="Arial" w:hAnsi="Arial"/>
          <w:sz w:val="16"/>
          <w:szCs w:val="16"/>
          <w:color w:val="auto"/>
        </w:rPr>
        <w:t xml:space="preserve"> below; (C) covering a period of restoration of eighteen (18) months; and (D) in an amount no less than Three Million and No/100 Dollars ($3,000,000.00), provided, however, the amount of such loss of rents or business income insurance shall be increased each year at renewal during the Term, as and when the estimated or actual Rents or business income exposure increases, equal to a period of eighteen (18) months. The amount of such business income insurance shall be determined prior to the date hereof and at least once each year thereafter based on Borrower’s reasonable estimate of the actual Rents or Gross Revenue from the Property (less non-continuing expenses) for the succeeding eighteen (18) month period. All proceeds payable to Lender pursuant to this subsection shall be held by Lender and shall be applied to the Obligations secured by the Loan Documents from time to time due and payable hereunder and under the Note; provided, however, that nothing herein contained shall be deemed to relieve Borrower of its Obligations to pay the Debt on the respective dates of payment provided for in the Note and the other Loan Documents except to the extent such amounts are actually paid out of the proceeds of such business income insurance;</w:t>
      </w:r>
    </w:p>
    <w:p>
      <w:pPr>
        <w:spacing w:after="0" w:line="37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54" w:name="page355"/>
    <w:bookmarkEnd w:id="354"/>
    <w:p>
      <w:pPr>
        <w:jc w:val="both"/>
        <w:ind w:left="660" w:firstLine="1292"/>
        <w:spacing w:after="0" w:line="254" w:lineRule="auto"/>
        <w:tabs>
          <w:tab w:leader="none" w:pos="2576" w:val="left"/>
        </w:tabs>
        <w:numPr>
          <w:ilvl w:val="1"/>
          <w:numId w:val="384"/>
        </w:numPr>
        <w:rPr>
          <w:rFonts w:ascii="Arial" w:cs="Arial" w:eastAsia="Arial" w:hAnsi="Arial"/>
          <w:sz w:val="18"/>
          <w:szCs w:val="18"/>
          <w:color w:val="auto"/>
        </w:rPr>
      </w:pPr>
      <w:r>
        <w:rPr>
          <w:rFonts w:ascii="Arial" w:cs="Arial" w:eastAsia="Arial" w:hAnsi="Arial"/>
          <w:sz w:val="18"/>
          <w:szCs w:val="18"/>
          <w:color w:val="auto"/>
        </w:rPr>
        <w:t xml:space="preserve">at all times during which structural construction, repairs or alterations are being made with respect to the Improvements, and only if the property or liability coverage forms do not otherwise apply, (A) commercial general liability and umbrella liability insurance covering claims related to the construction, repairs or alterations being made which are not covered by or under the terms or provisions of the commercial general liability and umbrella liability insurance policy required as set forth in </w:t>
      </w:r>
      <w:r>
        <w:rPr>
          <w:rFonts w:ascii="Arial" w:cs="Arial" w:eastAsia="Arial" w:hAnsi="Arial"/>
          <w:sz w:val="18"/>
          <w:szCs w:val="18"/>
          <w:u w:val="single" w:color="auto"/>
          <w:color w:val="auto"/>
        </w:rPr>
        <w:t>Section 5.1.1(a)</w:t>
      </w:r>
      <w:r>
        <w:rPr>
          <w:rFonts w:ascii="Arial" w:cs="Arial" w:eastAsia="Arial" w:hAnsi="Arial"/>
          <w:sz w:val="18"/>
          <w:szCs w:val="18"/>
          <w:color w:val="auto"/>
        </w:rPr>
        <w:t xml:space="preserve">; and (B) the insurance provided for in </w:t>
      </w:r>
      <w:r>
        <w:rPr>
          <w:rFonts w:ascii="Arial" w:cs="Arial" w:eastAsia="Arial" w:hAnsi="Arial"/>
          <w:sz w:val="18"/>
          <w:szCs w:val="18"/>
          <w:u w:val="single" w:color="auto"/>
          <w:color w:val="auto"/>
        </w:rPr>
        <w:t>subsection (i)</w:t>
      </w:r>
      <w:r>
        <w:rPr>
          <w:rFonts w:ascii="Arial" w:cs="Arial" w:eastAsia="Arial" w:hAnsi="Arial"/>
          <w:sz w:val="18"/>
          <w:szCs w:val="18"/>
          <w:color w:val="auto"/>
        </w:rPr>
        <w:t xml:space="preserve"> above written in a so-called builder’s risk completed value form (1) on a non-reporting basis, (2) against all risks insured against pursuant to </w:t>
      </w:r>
      <w:r>
        <w:rPr>
          <w:rFonts w:ascii="Arial" w:cs="Arial" w:eastAsia="Arial" w:hAnsi="Arial"/>
          <w:sz w:val="18"/>
          <w:szCs w:val="18"/>
          <w:u w:val="single" w:color="auto"/>
          <w:color w:val="auto"/>
        </w:rPr>
        <w:t>subsection (i)</w:t>
      </w:r>
      <w:r>
        <w:rPr>
          <w:rFonts w:ascii="Arial" w:cs="Arial" w:eastAsia="Arial" w:hAnsi="Arial"/>
          <w:sz w:val="18"/>
          <w:szCs w:val="18"/>
          <w:color w:val="auto"/>
        </w:rPr>
        <w:t xml:space="preserve"> above, (3) including permission to occupy the Property, and (4) with an agreed amount endorsement waiving co-insurance provisions;</w:t>
      </w:r>
    </w:p>
    <w:p>
      <w:pPr>
        <w:spacing w:after="0" w:line="194" w:lineRule="exact"/>
        <w:rPr>
          <w:rFonts w:ascii="Arial" w:cs="Arial" w:eastAsia="Arial" w:hAnsi="Arial"/>
          <w:sz w:val="18"/>
          <w:szCs w:val="18"/>
          <w:color w:val="auto"/>
        </w:rPr>
      </w:pPr>
    </w:p>
    <w:p>
      <w:pPr>
        <w:jc w:val="both"/>
        <w:ind w:left="660" w:firstLine="1292"/>
        <w:spacing w:after="0" w:line="263" w:lineRule="auto"/>
        <w:tabs>
          <w:tab w:leader="none" w:pos="26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workers’ compensation, subject to the statutory limits of the state in which the Property is located, and employer’s liability insurance with limits which are required from time to time by Lender in respect of any work or operations on or about the Property, or in connection with the Property or its operation (if applicable);</w:t>
      </w:r>
    </w:p>
    <w:p>
      <w:pPr>
        <w:spacing w:after="0" w:line="183" w:lineRule="exact"/>
        <w:rPr>
          <w:rFonts w:ascii="Arial" w:cs="Arial" w:eastAsia="Arial" w:hAnsi="Arial"/>
          <w:sz w:val="18"/>
          <w:szCs w:val="18"/>
          <w:color w:val="auto"/>
        </w:rPr>
      </w:pPr>
    </w:p>
    <w:p>
      <w:pPr>
        <w:ind w:left="660" w:firstLine="1292"/>
        <w:spacing w:after="0" w:line="308" w:lineRule="auto"/>
        <w:tabs>
          <w:tab w:leader="none" w:pos="2552" w:val="left"/>
        </w:tabs>
        <w:numPr>
          <w:ilvl w:val="1"/>
          <w:numId w:val="384"/>
        </w:numPr>
        <w:rPr>
          <w:rFonts w:ascii="Arial" w:cs="Arial" w:eastAsia="Arial" w:hAnsi="Arial"/>
          <w:sz w:val="17"/>
          <w:szCs w:val="17"/>
          <w:color w:val="auto"/>
        </w:rPr>
      </w:pPr>
      <w:r>
        <w:rPr>
          <w:rFonts w:ascii="Arial" w:cs="Arial" w:eastAsia="Arial" w:hAnsi="Arial"/>
          <w:sz w:val="17"/>
          <w:szCs w:val="17"/>
          <w:color w:val="auto"/>
        </w:rPr>
        <w:t xml:space="preserve">comprehensive boiler and machinery/equipment breakdown insurance, if applicable, in amounts as shall be reasonably required by Lender on terms consistent with the commercial property insurance policy required under </w:t>
      </w:r>
      <w:r>
        <w:rPr>
          <w:rFonts w:ascii="Arial" w:cs="Arial" w:eastAsia="Arial" w:hAnsi="Arial"/>
          <w:sz w:val="17"/>
          <w:szCs w:val="17"/>
          <w:u w:val="single" w:color="auto"/>
          <w:color w:val="auto"/>
        </w:rPr>
        <w:t>subsection (i)</w:t>
      </w:r>
      <w:r>
        <w:rPr>
          <w:rFonts w:ascii="Arial" w:cs="Arial" w:eastAsia="Arial" w:hAnsi="Arial"/>
          <w:sz w:val="17"/>
          <w:szCs w:val="17"/>
          <w:color w:val="auto"/>
        </w:rPr>
        <w:t xml:space="preserve"> above;</w:t>
      </w:r>
    </w:p>
    <w:p>
      <w:pPr>
        <w:spacing w:after="0" w:line="146" w:lineRule="exact"/>
        <w:rPr>
          <w:rFonts w:ascii="Arial" w:cs="Arial" w:eastAsia="Arial" w:hAnsi="Arial"/>
          <w:sz w:val="17"/>
          <w:szCs w:val="17"/>
          <w:color w:val="auto"/>
        </w:rPr>
      </w:pPr>
    </w:p>
    <w:p>
      <w:pPr>
        <w:ind w:left="660" w:firstLine="1292"/>
        <w:spacing w:after="0" w:line="308" w:lineRule="auto"/>
        <w:tabs>
          <w:tab w:leader="none" w:pos="2628" w:val="left"/>
        </w:tabs>
        <w:numPr>
          <w:ilvl w:val="1"/>
          <w:numId w:val="384"/>
        </w:numPr>
        <w:rPr>
          <w:rFonts w:ascii="Arial" w:cs="Arial" w:eastAsia="Arial" w:hAnsi="Arial"/>
          <w:sz w:val="17"/>
          <w:szCs w:val="17"/>
          <w:color w:val="auto"/>
        </w:rPr>
      </w:pPr>
      <w:r>
        <w:rPr>
          <w:rFonts w:ascii="Arial" w:cs="Arial" w:eastAsia="Arial" w:hAnsi="Arial"/>
          <w:sz w:val="17"/>
          <w:szCs w:val="17"/>
          <w:color w:val="auto"/>
        </w:rPr>
        <w:t xml:space="preserve">umbrella liability insurance in addition to primary coverage in an amount not less than $10,000,000 per occurrence on terms consistent with the commercial general liability insurance policy required under </w:t>
      </w:r>
      <w:r>
        <w:rPr>
          <w:rFonts w:ascii="Arial" w:cs="Arial" w:eastAsia="Arial" w:hAnsi="Arial"/>
          <w:sz w:val="17"/>
          <w:szCs w:val="17"/>
          <w:u w:val="single" w:color="auto"/>
          <w:color w:val="auto"/>
        </w:rPr>
        <w:t>subsection (ii)</w:t>
      </w:r>
      <w:r>
        <w:rPr>
          <w:rFonts w:ascii="Arial" w:cs="Arial" w:eastAsia="Arial" w:hAnsi="Arial"/>
          <w:sz w:val="17"/>
          <w:szCs w:val="17"/>
          <w:color w:val="auto"/>
        </w:rPr>
        <w:t xml:space="preserve"> above and </w:t>
      </w:r>
      <w:r>
        <w:rPr>
          <w:rFonts w:ascii="Arial" w:cs="Arial" w:eastAsia="Arial" w:hAnsi="Arial"/>
          <w:sz w:val="17"/>
          <w:szCs w:val="17"/>
          <w:u w:val="single" w:color="auto"/>
          <w:color w:val="auto"/>
        </w:rPr>
        <w:t>subsection (viii)</w:t>
      </w:r>
      <w:r>
        <w:rPr>
          <w:rFonts w:ascii="Arial" w:cs="Arial" w:eastAsia="Arial" w:hAnsi="Arial"/>
          <w:sz w:val="17"/>
          <w:szCs w:val="17"/>
          <w:color w:val="auto"/>
        </w:rPr>
        <w:t xml:space="preserve"> below;</w:t>
      </w:r>
    </w:p>
    <w:p>
      <w:pPr>
        <w:spacing w:after="0" w:line="146" w:lineRule="exact"/>
        <w:rPr>
          <w:rFonts w:ascii="Arial" w:cs="Arial" w:eastAsia="Arial" w:hAnsi="Arial"/>
          <w:sz w:val="17"/>
          <w:szCs w:val="17"/>
          <w:color w:val="auto"/>
        </w:rPr>
      </w:pPr>
    </w:p>
    <w:p>
      <w:pPr>
        <w:ind w:left="660" w:firstLine="1292"/>
        <w:spacing w:after="0" w:line="342" w:lineRule="auto"/>
        <w:tabs>
          <w:tab w:leader="none" w:pos="2567" w:val="left"/>
        </w:tabs>
        <w:numPr>
          <w:ilvl w:val="1"/>
          <w:numId w:val="384"/>
        </w:numPr>
        <w:rPr>
          <w:rFonts w:ascii="Arial" w:cs="Arial" w:eastAsia="Arial" w:hAnsi="Arial"/>
          <w:sz w:val="16"/>
          <w:szCs w:val="16"/>
          <w:color w:val="auto"/>
        </w:rPr>
      </w:pPr>
      <w:r>
        <w:rPr>
          <w:rFonts w:ascii="Arial" w:cs="Arial" w:eastAsia="Arial" w:hAnsi="Arial"/>
          <w:sz w:val="16"/>
          <w:szCs w:val="16"/>
          <w:color w:val="auto"/>
        </w:rPr>
        <w:t>motor vehicle liability coverage for all owned and non-owned vehicles, including rented and leased vehicles containing minimum limits per occurrence, including umbrella coverage, with limits which are required from time to time by Lender (if applicable);</w:t>
      </w:r>
    </w:p>
    <w:p>
      <w:pPr>
        <w:spacing w:after="0" w:line="123" w:lineRule="exact"/>
        <w:rPr>
          <w:rFonts w:ascii="Arial" w:cs="Arial" w:eastAsia="Arial" w:hAnsi="Arial"/>
          <w:sz w:val="16"/>
          <w:szCs w:val="16"/>
          <w:color w:val="auto"/>
        </w:rPr>
      </w:pPr>
    </w:p>
    <w:p>
      <w:pPr>
        <w:ind w:left="660" w:firstLine="1292"/>
        <w:spacing w:after="0" w:line="277" w:lineRule="auto"/>
        <w:tabs>
          <w:tab w:leader="none" w:pos="2742" w:val="left"/>
        </w:tabs>
        <w:numPr>
          <w:ilvl w:val="1"/>
          <w:numId w:val="384"/>
        </w:numPr>
        <w:rPr>
          <w:rFonts w:ascii="Arial" w:cs="Arial" w:eastAsia="Arial" w:hAnsi="Arial"/>
          <w:sz w:val="18"/>
          <w:szCs w:val="18"/>
          <w:color w:val="auto"/>
        </w:rPr>
      </w:pPr>
      <w:r>
        <w:rPr>
          <w:rFonts w:ascii="Arial" w:cs="Arial" w:eastAsia="Arial" w:hAnsi="Arial"/>
          <w:sz w:val="18"/>
          <w:szCs w:val="18"/>
          <w:color w:val="auto"/>
        </w:rPr>
        <w:t>pollution legal liability insurance against claims for pollution and remediation legal liability resulting from existing conditions and new pollution events related to the Property in form and substance acceptable to Lender;</w:t>
      </w:r>
    </w:p>
    <w:p>
      <w:pPr>
        <w:spacing w:after="0" w:line="170" w:lineRule="exact"/>
        <w:rPr>
          <w:rFonts w:ascii="Arial" w:cs="Arial" w:eastAsia="Arial" w:hAnsi="Arial"/>
          <w:sz w:val="18"/>
          <w:szCs w:val="18"/>
          <w:color w:val="auto"/>
        </w:rPr>
      </w:pPr>
    </w:p>
    <w:p>
      <w:pPr>
        <w:ind w:left="660" w:firstLine="1292"/>
        <w:spacing w:after="0" w:line="342" w:lineRule="auto"/>
        <w:tabs>
          <w:tab w:leader="none" w:pos="2675" w:val="left"/>
        </w:tabs>
        <w:numPr>
          <w:ilvl w:val="1"/>
          <w:numId w:val="384"/>
        </w:numPr>
        <w:rPr>
          <w:rFonts w:ascii="Arial" w:cs="Arial" w:eastAsia="Arial" w:hAnsi="Arial"/>
          <w:sz w:val="16"/>
          <w:szCs w:val="16"/>
          <w:color w:val="auto"/>
        </w:rPr>
      </w:pPr>
      <w:r>
        <w:rPr>
          <w:rFonts w:ascii="Arial" w:cs="Arial" w:eastAsia="Arial" w:hAnsi="Arial"/>
          <w:sz w:val="16"/>
          <w:szCs w:val="16"/>
          <w:color w:val="auto"/>
        </w:rPr>
        <w:t>insurance against employee dishonesty with respect to any employees of Borrower in an amount not less than one (1) month of Gross Revenue from the Property and with a deductible not greater than Twenty Five Thousand and No/100 Dollars ($25,000.00); and</w:t>
      </w:r>
    </w:p>
    <w:p>
      <w:pPr>
        <w:spacing w:after="0" w:line="123" w:lineRule="exact"/>
        <w:rPr>
          <w:rFonts w:ascii="Arial" w:cs="Arial" w:eastAsia="Arial" w:hAnsi="Arial"/>
          <w:sz w:val="16"/>
          <w:szCs w:val="16"/>
          <w:color w:val="auto"/>
        </w:rPr>
      </w:pPr>
    </w:p>
    <w:p>
      <w:pPr>
        <w:jc w:val="both"/>
        <w:ind w:left="660" w:firstLine="1292"/>
        <w:spacing w:after="0" w:line="263" w:lineRule="auto"/>
        <w:tabs>
          <w:tab w:leader="none" w:pos="2643" w:val="left"/>
        </w:tabs>
        <w:numPr>
          <w:ilvl w:val="1"/>
          <w:numId w:val="384"/>
        </w:numPr>
        <w:rPr>
          <w:rFonts w:ascii="Arial" w:cs="Arial" w:eastAsia="Arial" w:hAnsi="Arial"/>
          <w:sz w:val="18"/>
          <w:szCs w:val="18"/>
          <w:color w:val="auto"/>
        </w:rPr>
      </w:pPr>
      <w:r>
        <w:rPr>
          <w:rFonts w:ascii="Arial" w:cs="Arial" w:eastAsia="Arial" w:hAnsi="Arial"/>
          <w:sz w:val="18"/>
          <w:szCs w:val="18"/>
          <w:color w:val="auto"/>
        </w:rPr>
        <w:t>upon sixty (60) days’ notice, such other reasonable insurance and in such reasonable amounts as Lender from time to time may reasonably request against such other insurable hazards which at the time are commonly insured against for properties similar to the Property located in or around the region in which the Property is located.</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964"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All insurance provided for in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shall be obtained under valid and enforceable policies (collectively, the “</w:t>
      </w:r>
      <w:r>
        <w:rPr>
          <w:rFonts w:ascii="Arial" w:cs="Arial" w:eastAsia="Arial" w:hAnsi="Arial"/>
          <w:sz w:val="17"/>
          <w:szCs w:val="17"/>
          <w:b w:val="1"/>
          <w:bCs w:val="1"/>
          <w:i w:val="1"/>
          <w:iCs w:val="1"/>
          <w:color w:val="auto"/>
        </w:rPr>
        <w:t>Policies</w:t>
      </w:r>
      <w:r>
        <w:rPr>
          <w:rFonts w:ascii="Arial" w:cs="Arial" w:eastAsia="Arial" w:hAnsi="Arial"/>
          <w:sz w:val="17"/>
          <w:szCs w:val="17"/>
          <w:color w:val="auto"/>
        </w:rPr>
        <w:t>” or in the singular, the “</w:t>
      </w:r>
      <w:r>
        <w:rPr>
          <w:rFonts w:ascii="Arial" w:cs="Arial" w:eastAsia="Arial" w:hAnsi="Arial"/>
          <w:sz w:val="17"/>
          <w:szCs w:val="17"/>
          <w:b w:val="1"/>
          <w:bCs w:val="1"/>
          <w:i w:val="1"/>
          <w:iCs w:val="1"/>
          <w:color w:val="auto"/>
        </w:rPr>
        <w:t>Policy</w:t>
      </w:r>
      <w:r>
        <w:rPr>
          <w:rFonts w:ascii="Arial" w:cs="Arial" w:eastAsia="Arial" w:hAnsi="Arial"/>
          <w:sz w:val="17"/>
          <w:szCs w:val="17"/>
          <w:color w:val="auto"/>
        </w:rPr>
        <w:t>”) and shall be subject to the approval of Lender as to form and substance, including insurance companies, amounts, deductibles, loss payees and insureds. Not less than ten (10) days prior to the expiration dates of the Policies theretofore furnished to Lender, certificates of insurance evidencing the Policies (and, upon the written request of Lender, copies of such Policies) accompanied by evidence satisfactory to Lender of payment of the premiums then due thereunder (the “</w:t>
      </w:r>
      <w:r>
        <w:rPr>
          <w:rFonts w:ascii="Arial" w:cs="Arial" w:eastAsia="Arial" w:hAnsi="Arial"/>
          <w:sz w:val="17"/>
          <w:szCs w:val="17"/>
          <w:b w:val="1"/>
          <w:bCs w:val="1"/>
          <w:i w:val="1"/>
          <w:iCs w:val="1"/>
          <w:color w:val="auto"/>
        </w:rPr>
        <w:t>Insurance Premiums</w:t>
      </w:r>
      <w:r>
        <w:rPr>
          <w:rFonts w:ascii="Arial" w:cs="Arial" w:eastAsia="Arial" w:hAnsi="Arial"/>
          <w:sz w:val="17"/>
          <w:szCs w:val="17"/>
          <w:color w:val="auto"/>
        </w:rPr>
        <w:t>”), shall be delivered by Borrower to Lender.</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5" w:name="page356"/>
    <w:bookmarkEnd w:id="355"/>
    <w:p>
      <w:pPr>
        <w:jc w:val="both"/>
        <w:ind w:firstLine="1304"/>
        <w:spacing w:after="0" w:line="272" w:lineRule="auto"/>
        <w:tabs>
          <w:tab w:leader="none" w:pos="207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 xml:space="preserve">Any blanket insurance Policy shall be subject to Lender approval and shall otherwise provide the same protection as would a separate Policy insuring only the Property in compliance with the provisions of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(any such blanket policy, an “</w:t>
      </w:r>
      <w:r>
        <w:rPr>
          <w:rFonts w:ascii="Arial" w:cs="Arial" w:eastAsia="Arial" w:hAnsi="Arial"/>
          <w:sz w:val="17"/>
          <w:szCs w:val="17"/>
          <w:b w:val="1"/>
          <w:bCs w:val="1"/>
          <w:i w:val="1"/>
          <w:iCs w:val="1"/>
          <w:color w:val="auto"/>
        </w:rPr>
        <w:t>Acceptable Blanket Policy</w:t>
      </w:r>
      <w:r>
        <w:rPr>
          <w:rFonts w:ascii="Arial" w:cs="Arial" w:eastAsia="Arial" w:hAnsi="Arial"/>
          <w:sz w:val="17"/>
          <w:szCs w:val="17"/>
          <w:color w:val="auto"/>
        </w:rPr>
        <w:t>”). To the extent that the Policies are maintained pursuant to an Acceptable Blanket Policy that covers more than one location within a one thousand foot radius of the Property (the “</w:t>
      </w:r>
      <w:r>
        <w:rPr>
          <w:rFonts w:ascii="Arial" w:cs="Arial" w:eastAsia="Arial" w:hAnsi="Arial"/>
          <w:sz w:val="17"/>
          <w:szCs w:val="17"/>
          <w:b w:val="1"/>
          <w:bCs w:val="1"/>
          <w:i w:val="1"/>
          <w:iCs w:val="1"/>
          <w:color w:val="auto"/>
        </w:rPr>
        <w:t>Radius</w:t>
      </w:r>
      <w:r>
        <w:rPr>
          <w:rFonts w:ascii="Arial" w:cs="Arial" w:eastAsia="Arial" w:hAnsi="Arial"/>
          <w:sz w:val="17"/>
          <w:szCs w:val="17"/>
          <w:color w:val="auto"/>
        </w:rPr>
        <w:t xml:space="preserve">”), the limits of such Acceptable Blanket Policy must be sufficient to maintain coverage as set forth in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for the Property and any and all other locations combined within the Radius that are covered by such blanket policy calculated on a total insured value basis. Borrower shall notify Lender of any changes to the Acceptable Blanket Policy, including changes to the limits and the insured values covered under the Acceptable Blanket Policy, which such changes shall be subject Lender’s approval.</w:t>
      </w:r>
    </w:p>
    <w:p>
      <w:pPr>
        <w:spacing w:after="0" w:line="177" w:lineRule="exact"/>
        <w:rPr>
          <w:rFonts w:ascii="Arial" w:cs="Arial" w:eastAsia="Arial" w:hAnsi="Arial"/>
          <w:sz w:val="17"/>
          <w:szCs w:val="17"/>
          <w:color w:val="auto"/>
        </w:rPr>
      </w:pPr>
    </w:p>
    <w:p>
      <w:pPr>
        <w:jc w:val="both"/>
        <w:ind w:firstLine="1304"/>
        <w:spacing w:after="0" w:line="271" w:lineRule="auto"/>
        <w:tabs>
          <w:tab w:leader="none" w:pos="2031" w:val="left"/>
        </w:tabs>
        <w:numPr>
          <w:ilvl w:val="0"/>
          <w:numId w:val="386"/>
        </w:numPr>
        <w:rPr>
          <w:rFonts w:ascii="Arial" w:cs="Arial" w:eastAsia="Arial" w:hAnsi="Arial"/>
          <w:sz w:val="17"/>
          <w:szCs w:val="17"/>
          <w:color w:val="auto"/>
        </w:rPr>
      </w:pPr>
      <w:r>
        <w:rPr>
          <w:rFonts w:ascii="Arial" w:cs="Arial" w:eastAsia="Arial" w:hAnsi="Arial"/>
          <w:sz w:val="17"/>
          <w:szCs w:val="17"/>
          <w:color w:val="auto"/>
        </w:rPr>
        <w:t xml:space="preserve">All Policies of insurance provided for or contemplated by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shall name Borrower as a named insured and, with respect to Policies of liability insurance, except for the Policies referenced in </w:t>
      </w:r>
      <w:r>
        <w:rPr>
          <w:rFonts w:ascii="Arial" w:cs="Arial" w:eastAsia="Arial" w:hAnsi="Arial"/>
          <w:sz w:val="17"/>
          <w:szCs w:val="17"/>
          <w:u w:val="single" w:color="auto"/>
          <w:color w:val="auto"/>
        </w:rPr>
        <w:t>Section 5.1.1(a)(v)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shall name Lender and its successors and/or assigns as additional insured, as its interests may appear, and in the case of Policies of property insurance, including but not limited to special form/all-risk, boiler and machinery, terrorism, windstorm, flood, rental loss and/or business interruption and earthquake insurance, shall contain a standard non-contributing mortgagee clause in favor of Lender providing that the loss thereunder shall be payable to Lender unless below the threshold for Borrower to handle such claim without Lender intervention as provided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below. Additionally, if Borrower obtains property insurance coverage in addition to or in excess of that required by </w:t>
      </w:r>
      <w:r>
        <w:rPr>
          <w:rFonts w:ascii="Arial" w:cs="Arial" w:eastAsia="Arial" w:hAnsi="Arial"/>
          <w:sz w:val="17"/>
          <w:szCs w:val="17"/>
          <w:u w:val="single" w:color="auto"/>
          <w:color w:val="auto"/>
        </w:rPr>
        <w:t>Section 5.1.1(a)(i)</w:t>
      </w:r>
      <w:r>
        <w:rPr>
          <w:rFonts w:ascii="Arial" w:cs="Arial" w:eastAsia="Arial" w:hAnsi="Arial"/>
          <w:sz w:val="17"/>
          <w:szCs w:val="17"/>
          <w:color w:val="auto"/>
        </w:rPr>
        <w:t>, then such insurance policies shall also contain a standard non-contributing mortgagee clause in favor of Lender providing that the loss thereunder shall be payable to Lender.</w:t>
      </w:r>
    </w:p>
    <w:p>
      <w:pPr>
        <w:spacing w:after="0" w:line="178" w:lineRule="exact"/>
        <w:rPr>
          <w:rFonts w:ascii="Arial" w:cs="Arial" w:eastAsia="Arial" w:hAnsi="Arial"/>
          <w:sz w:val="17"/>
          <w:szCs w:val="17"/>
          <w:color w:val="auto"/>
        </w:rPr>
      </w:pPr>
    </w:p>
    <w:p>
      <w:pPr>
        <w:ind w:left="1960" w:hanging="656"/>
        <w:spacing w:after="0"/>
        <w:tabs>
          <w:tab w:leader="none" w:pos="19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All Policies of insurance provided for in </w:t>
      </w:r>
      <w:r>
        <w:rPr>
          <w:rFonts w:ascii="Arial" w:cs="Arial" w:eastAsia="Arial" w:hAnsi="Arial"/>
          <w:sz w:val="18"/>
          <w:szCs w:val="18"/>
          <w:u w:val="single" w:color="auto"/>
          <w:color w:val="auto"/>
        </w:rPr>
        <w:t>Section 5.1.1(a)</w:t>
      </w:r>
      <w:r>
        <w:rPr>
          <w:rFonts w:ascii="Arial" w:cs="Arial" w:eastAsia="Arial" w:hAnsi="Arial"/>
          <w:sz w:val="18"/>
          <w:szCs w:val="18"/>
          <w:color w:val="auto"/>
        </w:rPr>
        <w:t xml:space="preserve"> shall:</w:t>
      </w:r>
    </w:p>
    <w:p>
      <w:pPr>
        <w:spacing w:after="0" w:line="225" w:lineRule="exact"/>
        <w:rPr>
          <w:rFonts w:ascii="Arial" w:cs="Arial" w:eastAsia="Arial" w:hAnsi="Arial"/>
          <w:sz w:val="18"/>
          <w:szCs w:val="18"/>
          <w:color w:val="auto"/>
        </w:rPr>
      </w:pPr>
    </w:p>
    <w:p>
      <w:pPr>
        <w:jc w:val="both"/>
        <w:ind w:left="660" w:firstLine="1292"/>
        <w:spacing w:after="0" w:line="255" w:lineRule="auto"/>
        <w:tabs>
          <w:tab w:leader="none" w:pos="2617" w:val="left"/>
        </w:tabs>
        <w:numPr>
          <w:ilvl w:val="1"/>
          <w:numId w:val="386"/>
        </w:numPr>
        <w:rPr>
          <w:rFonts w:ascii="Arial" w:cs="Arial" w:eastAsia="Arial" w:hAnsi="Arial"/>
          <w:sz w:val="18"/>
          <w:szCs w:val="18"/>
          <w:color w:val="auto"/>
        </w:rPr>
      </w:pPr>
      <w:r>
        <w:rPr>
          <w:rFonts w:ascii="Arial" w:cs="Arial" w:eastAsia="Arial" w:hAnsi="Arial"/>
          <w:sz w:val="18"/>
          <w:szCs w:val="18"/>
          <w:color w:val="auto"/>
        </w:rPr>
        <w:t>with respect to the Policies of property insurance, contain clauses or endorsements to the effect that, (1) no act or negligence of Borrower, or anyone acting for Borrower, or of any Tenant or other occupant, or failure to comply with the provisions of any Policy, which might otherwise result in a forfeiture of the insurance or any part thereof, or foreclosure or similar action, shall in any way affect the validity or enforceability of the insurance insofar as Lender is concerned, (2) the Policies shall not be cancelled without at least 30 days’ written notice to Lender, except ten (10) days’ notice for non-payment of premium and (3) the issuer(s) of the Policies shall give written notice to Lender if the issuers elect not to renew the Policies prior to its expiration;</w:t>
      </w:r>
    </w:p>
    <w:p>
      <w:pPr>
        <w:spacing w:after="0" w:line="192" w:lineRule="exact"/>
        <w:rPr>
          <w:rFonts w:ascii="Arial" w:cs="Arial" w:eastAsia="Arial" w:hAnsi="Arial"/>
          <w:sz w:val="18"/>
          <w:szCs w:val="18"/>
          <w:color w:val="auto"/>
        </w:rPr>
      </w:pPr>
    </w:p>
    <w:p>
      <w:pPr>
        <w:jc w:val="both"/>
        <w:ind w:left="660" w:firstLine="1292"/>
        <w:spacing w:after="0" w:line="254" w:lineRule="auto"/>
        <w:tabs>
          <w:tab w:leader="none" w:pos="2608" w:val="left"/>
        </w:tabs>
        <w:numPr>
          <w:ilvl w:val="1"/>
          <w:numId w:val="386"/>
        </w:numPr>
        <w:rPr>
          <w:rFonts w:ascii="Arial" w:cs="Arial" w:eastAsia="Arial" w:hAnsi="Arial"/>
          <w:sz w:val="18"/>
          <w:szCs w:val="18"/>
          <w:color w:val="auto"/>
        </w:rPr>
      </w:pPr>
      <w:r>
        <w:rPr>
          <w:rFonts w:ascii="Arial" w:cs="Arial" w:eastAsia="Arial" w:hAnsi="Arial"/>
          <w:sz w:val="18"/>
          <w:szCs w:val="18"/>
          <w:color w:val="auto"/>
        </w:rPr>
        <w:t>with respect to all Policies of liability insurance, if obtainable by Borrower using commercially reasonable efforts, contain clauses or endorsements to the effect that, (1) the Policy shall not be canceled without at least thirty (30) days’ written notice to Lender and any other party named therein as an additional insured (other than in the case of non-payment in which case only ten days prior notice, or the shortest time allowed by applicable Legal Requirement (whichever is longer), will be required) and shall not be materially changed (other than to increase the coverage provided thereby) without such a thirty (30) day notice and (2) the issuers thereof shall give notice to Lender if the issuers elect not to renew such Policies prior to its expiration. If the issuers cannot or will not provide notice, the Borrower shall be obligated to provide such notice; and</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6" w:name="page357"/>
    <w:bookmarkEnd w:id="356"/>
    <w:p>
      <w:pPr>
        <w:ind w:left="2700" w:hanging="748"/>
        <w:spacing w:after="0"/>
        <w:tabs>
          <w:tab w:leader="none" w:pos="2700" w:val="left"/>
        </w:tabs>
        <w:numPr>
          <w:ilvl w:val="1"/>
          <w:numId w:val="387"/>
        </w:numPr>
        <w:rPr>
          <w:rFonts w:ascii="Arial" w:cs="Arial" w:eastAsia="Arial" w:hAnsi="Arial"/>
          <w:sz w:val="16"/>
          <w:szCs w:val="16"/>
          <w:color w:val="auto"/>
        </w:rPr>
      </w:pPr>
      <w:r>
        <w:rPr>
          <w:rFonts w:ascii="Arial" w:cs="Arial" w:eastAsia="Arial" w:hAnsi="Arial"/>
          <w:sz w:val="16"/>
          <w:szCs w:val="16"/>
          <w:color w:val="auto"/>
        </w:rPr>
        <w:t>not contain any clause or provision that would make Lender liable for any Insurance Premiums thereon or subject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any assessments thereunder.</w:t>
      </w:r>
    </w:p>
    <w:p>
      <w:pPr>
        <w:spacing w:after="0" w:line="210" w:lineRule="exact"/>
        <w:rPr>
          <w:rFonts w:ascii="Arial" w:cs="Arial" w:eastAsia="Arial" w:hAnsi="Arial"/>
          <w:sz w:val="16"/>
          <w:szCs w:val="16"/>
          <w:color w:val="auto"/>
        </w:rPr>
      </w:pPr>
    </w:p>
    <w:p>
      <w:pPr>
        <w:jc w:val="both"/>
        <w:ind w:firstLine="1304"/>
        <w:spacing w:after="0" w:line="257" w:lineRule="auto"/>
        <w:tabs>
          <w:tab w:leader="none" w:pos="1983"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If at any time Lender is not in receipt of written evidence that all insurance required hereunder is in full force and effect, Lender shall have the right, without notice to Borrower, to take such action as Lender deems necessary to protect its interest in the Property, including the obtaining of such insurance coverage as Lender in its sole discretion deems appropriate and all premiums incurred by Lender in connection with such action or in obtaining such insurance and keeping it in effect shall be paid by Borrower to Lender upon demand and until paid shall be secured by the Mortgage and shall bear interest at the Default Rate.</w:t>
      </w:r>
    </w:p>
    <w:p>
      <w:pPr>
        <w:spacing w:after="0" w:line="187" w:lineRule="exact"/>
        <w:rPr>
          <w:rFonts w:ascii="Arial" w:cs="Arial" w:eastAsia="Arial" w:hAnsi="Arial"/>
          <w:sz w:val="18"/>
          <w:szCs w:val="18"/>
          <w:color w:val="auto"/>
        </w:rPr>
      </w:pPr>
    </w:p>
    <w:p>
      <w:pPr>
        <w:jc w:val="both"/>
        <w:ind w:firstLine="1304"/>
        <w:spacing w:after="0" w:line="311" w:lineRule="auto"/>
        <w:tabs>
          <w:tab w:leader="none" w:pos="2036" w:val="left"/>
        </w:tabs>
        <w:numPr>
          <w:ilvl w:val="0"/>
          <w:numId w:val="388"/>
        </w:numPr>
        <w:rPr>
          <w:rFonts w:ascii="Arial" w:cs="Arial" w:eastAsia="Arial" w:hAnsi="Arial"/>
          <w:sz w:val="16"/>
          <w:szCs w:val="16"/>
          <w:color w:val="auto"/>
        </w:rPr>
      </w:pPr>
      <w:r>
        <w:rPr>
          <w:rFonts w:ascii="Arial" w:cs="Arial" w:eastAsia="Arial" w:hAnsi="Arial"/>
          <w:sz w:val="16"/>
          <w:szCs w:val="16"/>
          <w:color w:val="auto"/>
        </w:rPr>
        <w:t>In the event of foreclosure of the Mortgage or other transfer of title to the Property in extinguishment in whole or in part of the Obligations, all right, title and interest of Borrower in and to the Policies that are not blanket Policies then in force concerning the Property and all proceeds payable thereunder shall thereupon vest in the purchaser at such foreclosure or Lender or other transferee in the event of such other transfer of title.</w:t>
      </w:r>
    </w:p>
    <w:p>
      <w:pPr>
        <w:spacing w:after="0" w:line="148" w:lineRule="exact"/>
        <w:rPr>
          <w:rFonts w:ascii="Arial" w:cs="Arial" w:eastAsia="Arial" w:hAnsi="Arial"/>
          <w:sz w:val="16"/>
          <w:szCs w:val="16"/>
          <w:color w:val="auto"/>
        </w:rPr>
      </w:pPr>
    </w:p>
    <w:p>
      <w:pPr>
        <w:jc w:val="both"/>
        <w:ind w:firstLine="1304"/>
        <w:spacing w:after="0" w:line="254" w:lineRule="auto"/>
        <w:tabs>
          <w:tab w:leader="none" w:pos="210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The property insurance, commercial general liability, umbrella liability insurance and rental loss and/or business interruption insurance required under </w:t>
      </w:r>
      <w:r>
        <w:rPr>
          <w:rFonts w:ascii="Arial" w:cs="Arial" w:eastAsia="Arial" w:hAnsi="Arial"/>
          <w:sz w:val="18"/>
          <w:szCs w:val="18"/>
          <w:u w:val="single" w:color="auto"/>
          <w:color w:val="auto"/>
        </w:rPr>
        <w:t>Sections 5.1.1(a)(i)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above shall cover perils of terrorism and acts of terrorism (or at least not specifically exclude same) and Borrower shall maintain property insurance, commercial general liability, umbrella liability insurance and rental loss and/or business interruption insurance for loss resulting from perils and acts of terrorism on terms (including amounts and deductibles) consistent with those required under </w:t>
      </w:r>
      <w:r>
        <w:rPr>
          <w:rFonts w:ascii="Arial" w:cs="Arial" w:eastAsia="Arial" w:hAnsi="Arial"/>
          <w:sz w:val="18"/>
          <w:szCs w:val="18"/>
          <w:u w:val="single" w:color="auto"/>
          <w:color w:val="auto"/>
        </w:rPr>
        <w:t>Sections 5.1.1(a)(i)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(vii) above (or at least not specifically excluding same) at all times during the term of the Loan. For so long as TRIPRA is in effect and continues to cover both foreign and domestic acts, Lender shall accept terrorism insurance with coverage against acts which are “certified” within the meaning of TRIPRA.</w:t>
      </w:r>
    </w:p>
    <w:p>
      <w:pPr>
        <w:spacing w:after="0" w:line="194" w:lineRule="exact"/>
        <w:rPr>
          <w:rFonts w:ascii="Arial" w:cs="Arial" w:eastAsia="Arial" w:hAnsi="Arial"/>
          <w:sz w:val="18"/>
          <w:szCs w:val="18"/>
          <w:color w:val="auto"/>
        </w:rPr>
      </w:pPr>
    </w:p>
    <w:p>
      <w:pPr>
        <w:jc w:val="both"/>
        <w:ind w:firstLine="1304"/>
        <w:spacing w:after="0" w:line="289" w:lineRule="auto"/>
        <w:tabs>
          <w:tab w:leader="none" w:pos="2103"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Notwithstanding anything in </w:t>
      </w:r>
      <w:r>
        <w:rPr>
          <w:rFonts w:ascii="Arial" w:cs="Arial" w:eastAsia="Arial" w:hAnsi="Arial"/>
          <w:sz w:val="16"/>
          <w:szCs w:val="16"/>
          <w:u w:val="single" w:color="auto"/>
          <w:color w:val="auto"/>
        </w:rPr>
        <w:t>subsection (a)(i)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to the contrary, Borrower shall be required to obtain and maintain coverage in its property insurance Policy (or by a separate Policy) against loss or damage by terrorist acts in an amount equal to one hundred percent (100%) of the “Full Replacement Cost” of the Property plus the rental loss and/or business interruption coverage under </w:t>
      </w:r>
      <w:r>
        <w:rPr>
          <w:rFonts w:ascii="Arial" w:cs="Arial" w:eastAsia="Arial" w:hAnsi="Arial"/>
          <w:sz w:val="16"/>
          <w:szCs w:val="16"/>
          <w:u w:val="single" w:color="auto"/>
          <w:color w:val="auto"/>
        </w:rPr>
        <w:t>subsection (a)(iii)</w:t>
      </w:r>
      <w:r>
        <w:rPr>
          <w:rFonts w:ascii="Arial" w:cs="Arial" w:eastAsia="Arial" w:hAnsi="Arial"/>
          <w:sz w:val="16"/>
          <w:szCs w:val="16"/>
          <w:color w:val="auto"/>
        </w:rPr>
        <w:t xml:space="preserve"> above; provided that such coverage is available. In the event that such coverage with respect to terrorist acts is not included as part of the “all risk” property policy required by </w:t>
      </w:r>
      <w:r>
        <w:rPr>
          <w:rFonts w:ascii="Arial" w:cs="Arial" w:eastAsia="Arial" w:hAnsi="Arial"/>
          <w:sz w:val="16"/>
          <w:szCs w:val="16"/>
          <w:u w:val="single" w:color="auto"/>
          <w:color w:val="auto"/>
        </w:rPr>
        <w:t>subsection (a)(i)</w:t>
      </w:r>
      <w:r>
        <w:rPr>
          <w:rFonts w:ascii="Arial" w:cs="Arial" w:eastAsia="Arial" w:hAnsi="Arial"/>
          <w:sz w:val="16"/>
          <w:szCs w:val="16"/>
          <w:color w:val="auto"/>
        </w:rPr>
        <w:t xml:space="preserve"> above, Borrower shall, nevertheless be required to obtain coverage for terrorism (as standalone coverage) in an amount equal to one hundred percent (100%) of the “Full Replacement Cost” of the Property plus the rental loss and/or business interruption coverage under </w:t>
      </w:r>
      <w:r>
        <w:rPr>
          <w:rFonts w:ascii="Arial" w:cs="Arial" w:eastAsia="Arial" w:hAnsi="Arial"/>
          <w:sz w:val="16"/>
          <w:szCs w:val="16"/>
          <w:u w:val="single" w:color="auto"/>
          <w:color w:val="auto"/>
        </w:rPr>
        <w:t>subsection (a)(iii)</w:t>
      </w:r>
      <w:r>
        <w:rPr>
          <w:rFonts w:ascii="Arial" w:cs="Arial" w:eastAsia="Arial" w:hAnsi="Arial"/>
          <w:sz w:val="16"/>
          <w:szCs w:val="16"/>
          <w:color w:val="auto"/>
        </w:rPr>
        <w:t xml:space="preserve"> above; provided that such coverage is available. Borrower shall obtain the coverage required under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from a carrier which otherwise satisfies the rating criteria specified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below (a “</w:t>
      </w:r>
      <w:r>
        <w:rPr>
          <w:rFonts w:ascii="Arial" w:cs="Arial" w:eastAsia="Arial" w:hAnsi="Arial"/>
          <w:sz w:val="16"/>
          <w:szCs w:val="16"/>
          <w:b w:val="1"/>
          <w:bCs w:val="1"/>
          <w:i w:val="1"/>
          <w:iCs w:val="1"/>
          <w:color w:val="auto"/>
        </w:rPr>
        <w:t>Qualified Carrier</w:t>
      </w:r>
      <w:r>
        <w:rPr>
          <w:rFonts w:ascii="Arial" w:cs="Arial" w:eastAsia="Arial" w:hAnsi="Arial"/>
          <w:sz w:val="16"/>
          <w:szCs w:val="16"/>
          <w:color w:val="auto"/>
        </w:rPr>
        <w:t>”) or in the event that such coverage is not available from a Qualified Carrier, Borrower shall obtain such coverage from the highest rated insurance company providing such coverage.</w:t>
      </w: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7" w:name="page358"/>
    <w:bookmarkEnd w:id="357"/>
    <w:p>
      <w:pPr>
        <w:jc w:val="both"/>
        <w:ind w:firstLine="1304"/>
        <w:spacing w:after="0" w:line="257" w:lineRule="auto"/>
        <w:tabs>
          <w:tab w:leader="none" w:pos="205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Without limitation of the foregoing, on or prior to August 18, 2021, Borrower shall deliver to Lender evidence of excess flood coverage satisfactory to Lender with a limit no less than $2,000,000 and on terms consistent with the comprehensive all-risk policy required pursuant to </w:t>
      </w:r>
      <w:r>
        <w:rPr>
          <w:rFonts w:ascii="Arial" w:cs="Arial" w:eastAsia="Arial" w:hAnsi="Arial"/>
          <w:sz w:val="18"/>
          <w:szCs w:val="18"/>
          <w:u w:val="single" w:color="auto"/>
          <w:color w:val="auto"/>
        </w:rPr>
        <w:t>Section 5.1.1(a)(i)</w:t>
      </w:r>
      <w:r>
        <w:rPr>
          <w:rFonts w:ascii="Arial" w:cs="Arial" w:eastAsia="Arial" w:hAnsi="Arial"/>
          <w:sz w:val="18"/>
          <w:szCs w:val="18"/>
          <w:color w:val="auto"/>
        </w:rPr>
        <w:t xml:space="preserve"> above, except subject to a deductible not to exceed an amount equal to the maximum available through the Flood Insurance Acts (the “</w:t>
      </w:r>
      <w:r>
        <w:rPr>
          <w:rFonts w:ascii="Arial" w:cs="Arial" w:eastAsia="Arial" w:hAnsi="Arial"/>
          <w:sz w:val="18"/>
          <w:szCs w:val="18"/>
          <w:b w:val="1"/>
          <w:bCs w:val="1"/>
          <w:i w:val="1"/>
          <w:iCs w:val="1"/>
          <w:color w:val="auto"/>
        </w:rPr>
        <w:t>Required Excess Flood Coverage Policy</w:t>
      </w:r>
      <w:r>
        <w:rPr>
          <w:rFonts w:ascii="Arial" w:cs="Arial" w:eastAsia="Arial" w:hAnsi="Arial"/>
          <w:sz w:val="18"/>
          <w:szCs w:val="18"/>
          <w:color w:val="auto"/>
        </w:rPr>
        <w:t>”), which such Required Excess Flood Coverage Policy shall, for the avoidance of doubt, be deemed to be a Policy for all purposes hereunder.</w:t>
      </w:r>
    </w:p>
    <w:p>
      <w:pPr>
        <w:spacing w:after="0" w:line="18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b w:val="1"/>
          <w:bCs w:val="1"/>
          <w:color w:val="auto"/>
        </w:rPr>
        <w:t xml:space="preserve">5.1.2 </w:t>
      </w:r>
      <w:r>
        <w:rPr>
          <w:rFonts w:ascii="Arial" w:cs="Arial" w:eastAsia="Arial" w:hAnsi="Arial"/>
          <w:sz w:val="17"/>
          <w:szCs w:val="17"/>
          <w:b w:val="1"/>
          <w:bCs w:val="1"/>
          <w:u w:val="single" w:color="auto"/>
          <w:color w:val="auto"/>
        </w:rPr>
        <w:t>Insurance Company</w:t>
      </w:r>
      <w:r>
        <w:rPr>
          <w:rFonts w:ascii="Arial" w:cs="Arial" w:eastAsia="Arial" w:hAnsi="Arial"/>
          <w:sz w:val="17"/>
          <w:szCs w:val="17"/>
          <w:color w:val="auto"/>
        </w:rPr>
        <w:t>. All Policies required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5.1.1</w:t>
      </w:r>
      <w:r>
        <w:rPr>
          <w:rFonts w:ascii="Arial" w:cs="Arial" w:eastAsia="Arial" w:hAnsi="Arial"/>
          <w:sz w:val="17"/>
          <w:szCs w:val="17"/>
          <w:color w:val="auto"/>
        </w:rPr>
        <w:t>: (i) shall be issued by companies authorized or licensed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 business in the state where the Property is located, with a financial strength and claims paying ability rating of “A-” or better by S&amp;P and “A:X” or better by in the current Best’s Insurance Reports; provided, however for multi-layered policies, all carriers must have an “A:X” or better rating in the current Best’s Insurance Reports, and (A) if four (4) or fewer insurance companies issue the Policies, then at least 75% of the insurance coverage represented by the Policies must be provided by insurance companies with a rating of “A-” or better by S&amp;P and “A2” or better by Moody’s, to the extent Moody’s rates the insurance companies, with no carrier below “BBB” with S&amp;P and “Baa2” by Moody’s, to the extent Moody’s rates the insurance companies, or (B) if five (5) or more insurance companies issue the Policies, then at least sixty percent (60%) of the insurance coverage represented by the Policies must be provided by insurance companies with a rating of “A-” or better by S&amp;P and “A2” or better by Moody’s, to the extent Moody’s rates the insurance companies, with no carrier below “BBB” with S&amp;P and “Baa2” by Moody’s, to the extent Moody’s rates the insurance companies; (ii) shall, with respect to all property insurance policies and rental loss and/or business interruption insurance policies, contain a Standard Mortgagee Clause/Lender’s Loss Payable Endorsement, or their equivalents, naming Lender as the person to whom all payments made by such insurance company shall be paid; (iii) shall contain a waiver of subrogation against Lender; (iv) shall contain such provisions as Lender deems reasonably necessary or desirable to protect its interest including endorsements providing (A) that neither Borrower, Lender nor any other party shall be a co-insurer under said Policies and (B) in addition to complying with any other requirements expressly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for a deductible per loss of an amount not more than that which is customarily maintained by prudent owners of properties with a standard of operation and maintenance comparable to and in the general vicinity of the Property, but in no event in excess of an amount reasonably acceptable to Lender; and (v) shall be satisfactory in form and substance to Lender and shall be approved by Lender as to amounts, form, risk coverage, deductibles, loss payees and insureds. In addition to the insurance coverages described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above, Borrower shall obtain such other insurance as may from time to time be reasonably required by Lender in order to protect its interests. Complete copies of the Policies shall be delivered to Lender at the address below (or to such other address or Person as Lender shall designate from time to time by notice to Borrower) on the date hereof with respect to the current Policies and within thirty (30) days after the effective date thereof with respect to all renewal Policies:</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DBR INVESTMENTS CO. LIMITED</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 Wall Street, 10th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Joanne Marcino</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8" w:name="page359"/>
    <w:bookmarkEnd w:id="358"/>
    <w:p>
      <w:pPr>
        <w:jc w:val="both"/>
        <w:spacing w:after="0" w:line="293" w:lineRule="auto"/>
        <w:rPr>
          <w:sz w:val="20"/>
          <w:szCs w:val="20"/>
          <w:color w:val="auto"/>
        </w:rPr>
      </w:pPr>
      <w:r>
        <w:rPr>
          <w:rFonts w:ascii="Arial" w:cs="Arial" w:eastAsia="Arial" w:hAnsi="Arial"/>
          <w:sz w:val="16"/>
          <w:szCs w:val="16"/>
          <w:color w:val="auto"/>
        </w:rPr>
        <w:t xml:space="preserve">Borrower shall pay the Insurance Premiums annually in advance as the same become due and payable and shall furnish to Lender evidence of the renewal of each of the Policies with receipts for the payment of the Insurance Premiums or other evidence of such payment reasonably satisfactory to Lender (provided, however, that Borrower shall not be required to pay such Insurance Premiums nor furnish such evidence of payment to Lender in the event that the amounts required to pay such Insurance Premiums have been deposited into the Insurance Account pursuant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Within thirty (30) days after request by Lender, Borrower shall obtain such increases in the amounts of coverage required hereunder as may be reasonably requested by Lender, taking into consideration changes in the value of money over time, changes in liability laws, changes in prudent customs and practices.</w:t>
      </w:r>
    </w:p>
    <w:p>
      <w:pPr>
        <w:spacing w:after="0" w:line="1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Casualty</w:t>
      </w:r>
      <w:r>
        <w:rPr>
          <w:rFonts w:ascii="Arial" w:cs="Arial" w:eastAsia="Arial" w:hAnsi="Arial"/>
          <w:sz w:val="17"/>
          <w:szCs w:val="17"/>
          <w:color w:val="auto"/>
        </w:rPr>
        <w:t>. If the Property shall be damaged or destroyed, in whole or in part, by fire or other casualty (a “</w:t>
      </w:r>
      <w:r>
        <w:rPr>
          <w:rFonts w:ascii="Arial" w:cs="Arial" w:eastAsia="Arial" w:hAnsi="Arial"/>
          <w:sz w:val="17"/>
          <w:szCs w:val="17"/>
          <w:b w:val="1"/>
          <w:bCs w:val="1"/>
          <w:i w:val="1"/>
          <w:iCs w:val="1"/>
          <w:color w:val="auto"/>
        </w:rPr>
        <w:t>Casualty</w:t>
      </w:r>
      <w:r>
        <w:rPr>
          <w:rFonts w:ascii="Arial" w:cs="Arial" w:eastAsia="Arial" w:hAnsi="Arial"/>
          <w:sz w:val="17"/>
          <w:szCs w:val="17"/>
          <w:color w:val="auto"/>
        </w:rPr>
        <w:t>”),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give prompt notice thereof to Lender. Following the occurrence of a Casualty, Borrower, regardless of whether insurance proceeds are available, shall promptly proceed to restore, repair, replace or rebuild the Property in accordance with Legal Requirements to be of at least equal value and of substantially the same character as prior to such damage or destruction. Lender may, but shall not be obligated to make proof of loss if not made promptly by Borrower. In addition, Lender may participate in any settlement discussions with any insurance companies (and shall approve any final settlement) (i) if an Event of Default is continuing or (ii) with respect to any Casualty in which the Net Proceeds or the costs of completing the Restoration are equal to or greater than One Million and No/100 Dollars ($1,000,000) and Borrower shall deliver to Lender all instruments required by Lender to permit such participation. Any Insurance Proceeds in connection with any Casualty (whether or not Lender elects to settle and adjust the claim or Borrower settles such claim) shall be due and payable solely to Lender and held by Lender in accordance with the terms of this Agreement. In the event Borrower or any party other than Lender is a payee on any check representing Insurance Proceeds with respect to any Casualty, Borrower shall immediately endorse, and cause all such third parties to endorse, such check payable to the order of Lender. Borrower hereby irrevocably appoints Lender as its attorney-in-fact, coupled with an interest, to endorse any such check payable to the order of Lender. Borrower hereby releases Lender from any and all liability with respect to the settlement and adjustment by Lender of any claims in respect of any Casualty.</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5.3 </w:t>
      </w:r>
      <w:r>
        <w:rPr>
          <w:rFonts w:ascii="Arial" w:cs="Arial" w:eastAsia="Arial" w:hAnsi="Arial"/>
          <w:sz w:val="17"/>
          <w:szCs w:val="17"/>
          <w:b w:val="1"/>
          <w:bCs w:val="1"/>
          <w:u w:val="single" w:color="auto"/>
          <w:color w:val="auto"/>
        </w:rPr>
        <w:t>Condemnation</w:t>
      </w:r>
      <w:r>
        <w:rPr>
          <w:rFonts w:ascii="Arial" w:cs="Arial" w:eastAsia="Arial" w:hAnsi="Arial"/>
          <w:sz w:val="17"/>
          <w:szCs w:val="17"/>
          <w:color w:val="auto"/>
        </w:rPr>
        <w:t>. Borrower shall promptly give Lender notice of the actual or threatened commencement of any proceeding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Condemnation of all or any portion of the Property and shall deliver to Lender copies of any and all papers served in connection with such proceedings. Lender may participate in any such proceedings, and Borrower shall from time to time deliver to Lender all instruments requested by it to permit such participation. Borrower shall, at its expense, diligently prosecute any such proceedings, and shall consult with Lender, its attorneys and experts, and cooperate with them in the carrying on or defense of any such proceedings. Notwithstanding any taking by any public or quasi-public authority through Condemnation or otherwise (including, but not limited to, any transfer made in lieu of or in anticipation of the exercise of such taking), Borrower shall continue to pay the Debt at the time and in the manner provided for its payment in the Note and in this Agreement and the Debt shall not be reduced until any Award shall have been actually received and applied by Lender, after the deduction of expenses of collection, to the reduction or discharge of the Debt. Lender shall not be limited to the interest paid on the Award by the condemning authority but shall be entitled to receive out of the Award interest at the rate or rates provided herein or in the Note. If the Property or any portion thereof is taken by a condemning authority, Borrower shall promptly commence and diligently prosecute the Restoration of the Property and otherwise comply with the provisions of </w:t>
      </w:r>
      <w:r>
        <w:rPr>
          <w:rFonts w:ascii="Arial" w:cs="Arial" w:eastAsia="Arial" w:hAnsi="Arial"/>
          <w:sz w:val="17"/>
          <w:szCs w:val="17"/>
          <w:u w:val="single" w:color="auto"/>
          <w:color w:val="auto"/>
        </w:rPr>
        <w:t>Section 5.4</w:t>
      </w:r>
      <w:r>
        <w:rPr>
          <w:rFonts w:ascii="Arial" w:cs="Arial" w:eastAsia="Arial" w:hAnsi="Arial"/>
          <w:sz w:val="17"/>
          <w:szCs w:val="17"/>
          <w:color w:val="auto"/>
        </w:rPr>
        <w:t>, whether or not an Award is available to pay the costs of such Restoration. If the Property is sold, through foreclosure or otherwise, prior to the receipt by Lender of the Award, Lender shall have the right, whether or not a deficiency judgment on the Note shall have been sought, recovered or denied, to receive the Award, or a portion thereof sufficient to pay the Debt.</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9" w:name="page360"/>
    <w:bookmarkEnd w:id="359"/>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u w:val="single" w:color="auto"/>
          <w:color w:val="auto"/>
        </w:rPr>
        <w:t>Restoration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following provisions shall apply in connection with the Restoration:</w:t>
      </w:r>
    </w:p>
    <w:p>
      <w:pPr>
        <w:spacing w:after="0" w:line="229" w:lineRule="exact"/>
        <w:rPr>
          <w:sz w:val="20"/>
          <w:szCs w:val="20"/>
          <w:color w:val="auto"/>
        </w:rPr>
      </w:pPr>
    </w:p>
    <w:p>
      <w:pPr>
        <w:jc w:val="both"/>
        <w:ind w:firstLine="1304"/>
        <w:spacing w:after="0" w:line="279" w:lineRule="auto"/>
        <w:tabs>
          <w:tab w:leader="none" w:pos="192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If the Net Proceeds shall be less than the Restoration Threshold and the costs of completing the Restoration shall be less than the Restoration Threshold, and provided no Event of Default is continuing, the Net Proceeds will be disbursed by Lender to Borrower upon receipt, provided that all of the conditions set forth in </w:t>
      </w:r>
      <w:r>
        <w:rPr>
          <w:rFonts w:ascii="Arial" w:cs="Arial" w:eastAsia="Arial" w:hAnsi="Arial"/>
          <w:sz w:val="17"/>
          <w:szCs w:val="17"/>
          <w:u w:val="single" w:color="auto"/>
          <w:color w:val="auto"/>
        </w:rPr>
        <w:t>Section 5.4(b)(i)</w:t>
      </w:r>
      <w:r>
        <w:rPr>
          <w:rFonts w:ascii="Arial" w:cs="Arial" w:eastAsia="Arial" w:hAnsi="Arial"/>
          <w:sz w:val="17"/>
          <w:szCs w:val="17"/>
          <w:color w:val="auto"/>
        </w:rPr>
        <w:t xml:space="preserve"> are met and Borrower delivers to Lender a written undertaking to expeditiously commence and to satisfactorily complete with due diligence the Restoration in accordance with the terms of this Agreement.</w:t>
      </w:r>
    </w:p>
    <w:p>
      <w:pPr>
        <w:spacing w:after="0" w:line="171" w:lineRule="exact"/>
        <w:rPr>
          <w:rFonts w:ascii="Arial" w:cs="Arial" w:eastAsia="Arial" w:hAnsi="Arial"/>
          <w:sz w:val="17"/>
          <w:szCs w:val="17"/>
          <w:color w:val="auto"/>
        </w:rPr>
      </w:pPr>
    </w:p>
    <w:p>
      <w:pPr>
        <w:jc w:val="both"/>
        <w:ind w:firstLine="1304"/>
        <w:spacing w:after="0" w:line="254" w:lineRule="auto"/>
        <w:tabs>
          <w:tab w:leader="none" w:pos="194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If the Net Proceeds are equal to or greater than the Restoration Threshold or the costs of completing the Restoration are equal to or greater than the Restoration Threshold, the Net Proceeds will be held by Lender and Lender shall make the Net Proceeds available for the Restoration in accordance with the provisions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Net Proceeds</w:t>
      </w:r>
      <w:r>
        <w:rPr>
          <w:rFonts w:ascii="Arial" w:cs="Arial" w:eastAsia="Arial" w:hAnsi="Arial"/>
          <w:sz w:val="18"/>
          <w:szCs w:val="18"/>
          <w:color w:val="auto"/>
        </w:rPr>
        <w:t xml:space="preserve">” shall mean: (i) the net amount of all insurance proceeds received by Lender pursuant to </w:t>
      </w:r>
      <w:r>
        <w:rPr>
          <w:rFonts w:ascii="Arial" w:cs="Arial" w:eastAsia="Arial" w:hAnsi="Arial"/>
          <w:sz w:val="18"/>
          <w:szCs w:val="18"/>
          <w:u w:val="single" w:color="auto"/>
          <w:color w:val="auto"/>
        </w:rPr>
        <w:t>Section 5.1.1(a)(i)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5.1.1(h)</w:t>
      </w:r>
      <w:r>
        <w:rPr>
          <w:rFonts w:ascii="Arial" w:cs="Arial" w:eastAsia="Arial" w:hAnsi="Arial"/>
          <w:sz w:val="18"/>
          <w:szCs w:val="18"/>
          <w:color w:val="auto"/>
        </w:rPr>
        <w:t xml:space="preserve"> as a result of such damage or destruction, after deduction of its reasonable costs and expenses (including, but not limited to, reasonable counsel fees), if any, in collecting same (“</w:t>
      </w:r>
      <w:r>
        <w:rPr>
          <w:rFonts w:ascii="Arial" w:cs="Arial" w:eastAsia="Arial" w:hAnsi="Arial"/>
          <w:sz w:val="18"/>
          <w:szCs w:val="18"/>
          <w:b w:val="1"/>
          <w:bCs w:val="1"/>
          <w:i w:val="1"/>
          <w:iCs w:val="1"/>
          <w:color w:val="auto"/>
        </w:rPr>
        <w:t>Insurance Proceeds</w:t>
      </w:r>
      <w:r>
        <w:rPr>
          <w:rFonts w:ascii="Arial" w:cs="Arial" w:eastAsia="Arial" w:hAnsi="Arial"/>
          <w:sz w:val="18"/>
          <w:szCs w:val="18"/>
          <w:color w:val="auto"/>
        </w:rPr>
        <w:t>”), or (ii) the net amount of the Award, after deduction of its reasonable costs and expenses (including, but not limited to, reasonable counsel fees), if any, in collecting same (“</w:t>
      </w:r>
      <w:r>
        <w:rPr>
          <w:rFonts w:ascii="Arial" w:cs="Arial" w:eastAsia="Arial" w:hAnsi="Arial"/>
          <w:sz w:val="18"/>
          <w:szCs w:val="18"/>
          <w:b w:val="1"/>
          <w:bCs w:val="1"/>
          <w:i w:val="1"/>
          <w:iCs w:val="1"/>
          <w:color w:val="auto"/>
        </w:rPr>
        <w:t>Condemnation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Proceeds</w:t>
      </w:r>
      <w:r>
        <w:rPr>
          <w:rFonts w:ascii="Arial" w:cs="Arial" w:eastAsia="Arial" w:hAnsi="Arial"/>
          <w:sz w:val="18"/>
          <w:szCs w:val="18"/>
          <w:color w:val="auto"/>
        </w:rPr>
        <w:t>”), whichever the case may be.</w:t>
      </w:r>
    </w:p>
    <w:p>
      <w:pPr>
        <w:spacing w:after="0" w:line="194" w:lineRule="exact"/>
        <w:rPr>
          <w:rFonts w:ascii="Arial" w:cs="Arial" w:eastAsia="Arial" w:hAnsi="Arial"/>
          <w:sz w:val="18"/>
          <w:szCs w:val="18"/>
          <w:color w:val="auto"/>
        </w:rPr>
      </w:pPr>
    </w:p>
    <w:p>
      <w:pPr>
        <w:ind w:left="520" w:firstLine="1464"/>
        <w:spacing w:after="0" w:line="277" w:lineRule="auto"/>
        <w:tabs>
          <w:tab w:leader="none" w:pos="262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Net Proceeds shall be made available to Borrower for Restoration upon the determination of Lender, in its sole but reasonable discretion, that the following conditions are met:</w:t>
      </w:r>
    </w:p>
    <w:p>
      <w:pPr>
        <w:spacing w:after="0" w:line="170" w:lineRule="exact"/>
        <w:rPr>
          <w:rFonts w:ascii="Arial" w:cs="Arial" w:eastAsia="Arial" w:hAnsi="Arial"/>
          <w:sz w:val="18"/>
          <w:szCs w:val="18"/>
          <w:color w:val="auto"/>
        </w:rPr>
      </w:pPr>
    </w:p>
    <w:p>
      <w:pPr>
        <w:ind w:left="3160" w:hanging="560"/>
        <w:spacing w:after="0"/>
        <w:tabs>
          <w:tab w:leader="none" w:pos="3160" w:val="left"/>
        </w:tabs>
        <w:numPr>
          <w:ilvl w:val="2"/>
          <w:numId w:val="390"/>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w:t>
      </w:r>
    </w:p>
    <w:p>
      <w:pPr>
        <w:spacing w:after="0" w:line="225" w:lineRule="exact"/>
        <w:rPr>
          <w:rFonts w:ascii="Arial" w:cs="Arial" w:eastAsia="Arial" w:hAnsi="Arial"/>
          <w:sz w:val="18"/>
          <w:szCs w:val="18"/>
          <w:color w:val="auto"/>
        </w:rPr>
      </w:pPr>
    </w:p>
    <w:p>
      <w:pPr>
        <w:jc w:val="both"/>
        <w:ind w:left="1300" w:firstLine="1300"/>
        <w:spacing w:after="0" w:line="301" w:lineRule="auto"/>
        <w:tabs>
          <w:tab w:leader="none" w:pos="3221" w:val="left"/>
        </w:tabs>
        <w:numPr>
          <w:ilvl w:val="2"/>
          <w:numId w:val="390"/>
        </w:numPr>
        <w:rPr>
          <w:rFonts w:ascii="Arial" w:cs="Arial" w:eastAsia="Arial" w:hAnsi="Arial"/>
          <w:sz w:val="16"/>
          <w:szCs w:val="16"/>
          <w:color w:val="auto"/>
        </w:rPr>
      </w:pPr>
      <w:r>
        <w:rPr>
          <w:rFonts w:ascii="Arial" w:cs="Arial" w:eastAsia="Arial" w:hAnsi="Arial"/>
          <w:sz w:val="16"/>
          <w:szCs w:val="16"/>
          <w:color w:val="auto"/>
        </w:rPr>
        <w:t>(1) in the event the Net Proceeds are Insurance Proceeds, less than twenty-five percent (25%) of the total floor area of the Improvements on the Property has been damaged, destroyed or rendered unusable as a result of such Casualty or (2) in the event the Net Proceeds are Condemnation Proceeds, less than ten percent (10%) of the land constituting the Property is taken, and such land is located along the perimeter or periphery of the Property, and no portion of the Improvements is located on such land;</w:t>
      </w: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0" w:name="page361"/>
    <w:bookmarkEnd w:id="360"/>
    <w:p>
      <w:pPr>
        <w:jc w:val="both"/>
        <w:ind w:left="180" w:firstLine="1300"/>
        <w:spacing w:after="0" w:line="273" w:lineRule="auto"/>
        <w:tabs>
          <w:tab w:leader="none" w:pos="2106" w:val="left"/>
        </w:tabs>
        <w:numPr>
          <w:ilvl w:val="1"/>
          <w:numId w:val="391"/>
        </w:numPr>
        <w:rPr>
          <w:rFonts w:ascii="Arial" w:cs="Arial" w:eastAsia="Arial" w:hAnsi="Arial"/>
          <w:sz w:val="17"/>
          <w:szCs w:val="17"/>
          <w:color w:val="auto"/>
        </w:rPr>
      </w:pPr>
      <w:r>
        <w:rPr>
          <w:rFonts w:ascii="Arial" w:cs="Arial" w:eastAsia="Arial" w:hAnsi="Arial"/>
          <w:sz w:val="17"/>
          <w:szCs w:val="17"/>
          <w:color w:val="auto"/>
        </w:rPr>
        <w:t>Leases demising in the aggregate a percentage amount equal to or greater than seventy-five percent (75%) of the total rentable space in the Property which has been demised under executed and delivered Leases in effect as of the date of the occurrence of such Casualty or Condemnation, whichever the case may be, shall remain in full force and effect during and after the completion of the Restoration without abatement of rent beyond the time required for Restoration, notwithstanding the occurrence of any such Casualty or Condemnation, whichever the case may be, and will make all necessary repairs and restorations thereto that are not being made by Borrower as part of the Restoration at their sole cost and expense;</w:t>
      </w:r>
    </w:p>
    <w:p>
      <w:pPr>
        <w:spacing w:after="0" w:line="177" w:lineRule="exact"/>
        <w:rPr>
          <w:rFonts w:ascii="Arial" w:cs="Arial" w:eastAsia="Arial" w:hAnsi="Arial"/>
          <w:sz w:val="17"/>
          <w:szCs w:val="17"/>
          <w:color w:val="auto"/>
        </w:rPr>
      </w:pPr>
    </w:p>
    <w:p>
      <w:pPr>
        <w:ind w:left="2140" w:hanging="659"/>
        <w:spacing w:after="0"/>
        <w:tabs>
          <w:tab w:leader="none" w:pos="214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Borrower shall commence the Restoration as soon as reasonably practicable (but in no event later than sixty</w:t>
      </w:r>
    </w:p>
    <w:p>
      <w:pPr>
        <w:spacing w:after="0" w:line="46" w:lineRule="exact"/>
        <w:rPr>
          <w:rFonts w:ascii="Arial" w:cs="Arial" w:eastAsia="Arial" w:hAnsi="Arial"/>
          <w:sz w:val="16"/>
          <w:szCs w:val="16"/>
          <w:color w:val="auto"/>
        </w:rPr>
      </w:pPr>
    </w:p>
    <w:p>
      <w:pPr>
        <w:ind w:left="180" w:firstLine="4"/>
        <w:spacing w:after="0" w:line="260" w:lineRule="auto"/>
        <w:tabs>
          <w:tab w:leader="none" w:pos="53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days after such Casualty or Condemnation, whichever the case may be, occurs) and shall diligently pursue the same to satisfactory completion;</w:t>
      </w:r>
    </w:p>
    <w:p>
      <w:pPr>
        <w:spacing w:after="0" w:line="185" w:lineRule="exact"/>
        <w:rPr>
          <w:rFonts w:ascii="Arial" w:cs="Arial" w:eastAsia="Arial" w:hAnsi="Arial"/>
          <w:sz w:val="18"/>
          <w:szCs w:val="18"/>
          <w:color w:val="auto"/>
        </w:rPr>
      </w:pPr>
    </w:p>
    <w:p>
      <w:pPr>
        <w:jc w:val="both"/>
        <w:ind w:left="180" w:firstLine="1301"/>
        <w:spacing w:after="0" w:line="259" w:lineRule="auto"/>
        <w:tabs>
          <w:tab w:leader="none" w:pos="2131" w:val="left"/>
        </w:tabs>
        <w:numPr>
          <w:ilvl w:val="1"/>
          <w:numId w:val="392"/>
        </w:numPr>
        <w:rPr>
          <w:rFonts w:ascii="Arial" w:cs="Arial" w:eastAsia="Arial" w:hAnsi="Arial"/>
          <w:sz w:val="18"/>
          <w:szCs w:val="18"/>
          <w:color w:val="auto"/>
        </w:rPr>
      </w:pPr>
      <w:r>
        <w:rPr>
          <w:rFonts w:ascii="Arial" w:cs="Arial" w:eastAsia="Arial" w:hAnsi="Arial"/>
          <w:sz w:val="18"/>
          <w:szCs w:val="18"/>
          <w:color w:val="auto"/>
        </w:rPr>
        <w:t xml:space="preserve">Lender shall be reasonably satisfied that any operating deficits, including all scheduled payments of principal and interest under the Note, which will be incurred with respect to the Property as a result of the occurrence of any such Casualty or Condemnation, whichever the case may be, will be covered out of (1) the Net Proceeds, (2) the insurance coverage referred to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5.1.1(a)(iii)</w:t>
      </w:r>
      <w:r>
        <w:rPr>
          <w:rFonts w:ascii="Arial" w:cs="Arial" w:eastAsia="Arial" w:hAnsi="Arial"/>
          <w:sz w:val="18"/>
          <w:szCs w:val="18"/>
          <w:color w:val="auto"/>
        </w:rPr>
        <w:t>, if applicable, or (3) by other funds of Borrower;</w:t>
      </w:r>
    </w:p>
    <w:p>
      <w:pPr>
        <w:spacing w:after="0" w:line="186" w:lineRule="exact"/>
        <w:rPr>
          <w:rFonts w:ascii="Arial" w:cs="Arial" w:eastAsia="Arial" w:hAnsi="Arial"/>
          <w:sz w:val="18"/>
          <w:szCs w:val="18"/>
          <w:color w:val="auto"/>
        </w:rPr>
      </w:pPr>
    </w:p>
    <w:p>
      <w:pPr>
        <w:jc w:val="both"/>
        <w:ind w:left="180" w:firstLine="1301"/>
        <w:spacing w:after="0" w:line="273" w:lineRule="auto"/>
        <w:tabs>
          <w:tab w:leader="none" w:pos="207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 xml:space="preserve">Lender shall be reasonably satisfied that (x) the Restoration will be completed on or before the earliest to occur of (1) the date six (6) months prior to the Stated Maturity Date, (2) the earliest date required for such completion under the terms of any Lease, (3) such time as may be required under applicable Legal Requirements or (4) six (6) months prior to the expiration of the insurance coverage referred to in </w:t>
      </w:r>
      <w:r>
        <w:rPr>
          <w:rFonts w:ascii="Arial" w:cs="Arial" w:eastAsia="Arial" w:hAnsi="Arial"/>
          <w:sz w:val="17"/>
          <w:szCs w:val="17"/>
          <w:u w:val="single" w:color="auto"/>
          <w:color w:val="auto"/>
        </w:rPr>
        <w:t>Section 5.1.1(a)(iii)</w:t>
      </w:r>
      <w:r>
        <w:rPr>
          <w:rFonts w:ascii="Arial" w:cs="Arial" w:eastAsia="Arial" w:hAnsi="Arial"/>
          <w:sz w:val="17"/>
          <w:szCs w:val="17"/>
          <w:color w:val="auto"/>
        </w:rPr>
        <w:t xml:space="preserve"> and (y) the Property can be restored to the Property’s pre-existing condition and utility as existed immediately prior to such Casualty or Condemnation, and to an economic unit not less valuable and not less useful than the same was immediately prior to the Casualty or Condemnation;</w:t>
      </w:r>
    </w:p>
    <w:p>
      <w:pPr>
        <w:spacing w:after="0" w:line="177" w:lineRule="exact"/>
        <w:rPr>
          <w:rFonts w:ascii="Arial" w:cs="Arial" w:eastAsia="Arial" w:hAnsi="Arial"/>
          <w:sz w:val="17"/>
          <w:szCs w:val="17"/>
          <w:color w:val="auto"/>
        </w:rPr>
      </w:pPr>
    </w:p>
    <w:p>
      <w:pPr>
        <w:ind w:left="2080" w:hanging="600"/>
        <w:spacing w:after="0"/>
        <w:tabs>
          <w:tab w:leader="none" w:pos="208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80" w:firstLine="1301"/>
        <w:spacing w:after="0" w:line="277" w:lineRule="auto"/>
        <w:tabs>
          <w:tab w:leader="none" w:pos="2212"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Property and the use thereof after the Restoration will be in compliance with and permitted under all applicable Legal Requirements;</w:t>
      </w:r>
    </w:p>
    <w:p>
      <w:pPr>
        <w:spacing w:after="0" w:line="170" w:lineRule="exact"/>
        <w:rPr>
          <w:rFonts w:ascii="Arial" w:cs="Arial" w:eastAsia="Arial" w:hAnsi="Arial"/>
          <w:sz w:val="18"/>
          <w:szCs w:val="18"/>
          <w:color w:val="auto"/>
        </w:rPr>
      </w:pPr>
    </w:p>
    <w:p>
      <w:pPr>
        <w:ind w:left="180" w:firstLine="1301"/>
        <w:spacing w:after="0" w:line="277" w:lineRule="auto"/>
        <w:tabs>
          <w:tab w:leader="none" w:pos="2297"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Restoration shall be done and completed by Borrower in an expeditious and diligent fashion and in compliance with all applicable Legal Requirements and all requirements under the Ground Lease;</w:t>
      </w:r>
    </w:p>
    <w:p>
      <w:pPr>
        <w:spacing w:after="0" w:line="170" w:lineRule="exact"/>
        <w:rPr>
          <w:rFonts w:ascii="Arial" w:cs="Arial" w:eastAsia="Arial" w:hAnsi="Arial"/>
          <w:sz w:val="18"/>
          <w:szCs w:val="18"/>
          <w:color w:val="auto"/>
        </w:rPr>
      </w:pPr>
    </w:p>
    <w:p>
      <w:pPr>
        <w:ind w:left="2080" w:hanging="599"/>
        <w:spacing w:after="0"/>
        <w:tabs>
          <w:tab w:leader="none" w:pos="208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such Casualty or Condemnation, as applicable, does not result in any material loss of access to the Property or</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the related Improvements;</w:t>
      </w:r>
    </w:p>
    <w:p>
      <w:pPr>
        <w:spacing w:after="0" w:line="210" w:lineRule="exact"/>
        <w:rPr>
          <w:rFonts w:ascii="Arial" w:cs="Arial" w:eastAsia="Arial" w:hAnsi="Arial"/>
          <w:sz w:val="16"/>
          <w:szCs w:val="16"/>
          <w:color w:val="auto"/>
        </w:rPr>
      </w:pPr>
    </w:p>
    <w:p>
      <w:pPr>
        <w:ind w:left="2040" w:hanging="559"/>
        <w:spacing w:after="0"/>
        <w:tabs>
          <w:tab w:leader="none" w:pos="204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the Restoration DSCR, after giving effect to the Restoration, shall be equal to or greater than 1.27:1.00;</w:t>
      </w:r>
    </w:p>
    <w:p>
      <w:pPr>
        <w:spacing w:after="0" w:line="200" w:lineRule="exact"/>
        <w:rPr>
          <w:sz w:val="20"/>
          <w:szCs w:val="20"/>
          <w:color w:val="auto"/>
        </w:rPr>
      </w:pPr>
    </w:p>
    <w:p>
      <w:pPr>
        <w:spacing w:after="0" w:line="23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61" w:name="page362"/>
    <w:bookmarkEnd w:id="361"/>
    <w:p>
      <w:pPr>
        <w:ind w:left="180" w:firstLine="1301"/>
        <w:spacing w:after="0" w:line="277" w:lineRule="auto"/>
        <w:tabs>
          <w:tab w:leader="none" w:pos="216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Loan to Value Ratio after giving effect to the Restoration, shall be equal to or less than seventy-one and sixty-six hundredths percent (71.66%);</w:t>
      </w:r>
    </w:p>
    <w:p>
      <w:pPr>
        <w:spacing w:after="0" w:line="170" w:lineRule="exact"/>
        <w:rPr>
          <w:rFonts w:ascii="Arial" w:cs="Arial" w:eastAsia="Arial" w:hAnsi="Arial"/>
          <w:sz w:val="18"/>
          <w:szCs w:val="18"/>
          <w:color w:val="auto"/>
        </w:rPr>
      </w:pPr>
    </w:p>
    <w:p>
      <w:pPr>
        <w:jc w:val="both"/>
        <w:ind w:left="180" w:firstLine="1301"/>
        <w:spacing w:after="0" w:line="263" w:lineRule="auto"/>
        <w:tabs>
          <w:tab w:leader="none" w:pos="2178" w:val="left"/>
        </w:tabs>
        <w:numPr>
          <w:ilvl w:val="1"/>
          <w:numId w:val="393"/>
        </w:numPr>
        <w:rPr>
          <w:rFonts w:ascii="Arial" w:cs="Arial" w:eastAsia="Arial" w:hAnsi="Arial"/>
          <w:sz w:val="18"/>
          <w:szCs w:val="18"/>
          <w:color w:val="auto"/>
        </w:rPr>
      </w:pPr>
      <w:r>
        <w:rPr>
          <w:rFonts w:ascii="Arial" w:cs="Arial" w:eastAsia="Arial" w:hAnsi="Arial"/>
          <w:sz w:val="18"/>
          <w:szCs w:val="18"/>
          <w:color w:val="auto"/>
        </w:rPr>
        <w:t>Borrower shall deliver, or cause to be delivered, to Lender a signed detailed budget approved in writing by Borrower’s architect or engineer stating the entire cost of completing the Restoration, which budget shall be reasonably acceptable to Lender; and</w:t>
      </w:r>
    </w:p>
    <w:p>
      <w:pPr>
        <w:spacing w:after="0" w:line="183" w:lineRule="exact"/>
        <w:rPr>
          <w:rFonts w:ascii="Arial" w:cs="Arial" w:eastAsia="Arial" w:hAnsi="Arial"/>
          <w:sz w:val="18"/>
          <w:szCs w:val="18"/>
          <w:color w:val="auto"/>
        </w:rPr>
      </w:pPr>
    </w:p>
    <w:p>
      <w:pPr>
        <w:ind w:left="180" w:firstLine="1301"/>
        <w:spacing w:after="0" w:line="277" w:lineRule="auto"/>
        <w:tabs>
          <w:tab w:leader="none" w:pos="2053"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Net Proceeds together with any cash or cash equivalent deposited by Borrower with Lender are sufficient in Lender’s reasonable discretion to cover the cost of the Restoration.</w:t>
      </w:r>
    </w:p>
    <w:p>
      <w:pPr>
        <w:spacing w:after="0" w:line="170" w:lineRule="exact"/>
        <w:rPr>
          <w:rFonts w:ascii="Arial" w:cs="Arial" w:eastAsia="Arial" w:hAnsi="Arial"/>
          <w:sz w:val="18"/>
          <w:szCs w:val="18"/>
          <w:color w:val="auto"/>
        </w:rPr>
      </w:pPr>
    </w:p>
    <w:p>
      <w:pPr>
        <w:jc w:val="both"/>
        <w:ind w:left="-460" w:firstLine="1292"/>
        <w:spacing w:after="0" w:line="271" w:lineRule="auto"/>
        <w:tabs>
          <w:tab w:leader="none" w:pos="1379" w:val="left"/>
        </w:tabs>
        <w:numPr>
          <w:ilvl w:val="0"/>
          <w:numId w:val="394"/>
        </w:numPr>
        <w:rPr>
          <w:rFonts w:ascii="Arial" w:cs="Arial" w:eastAsia="Arial" w:hAnsi="Arial"/>
          <w:sz w:val="17"/>
          <w:szCs w:val="17"/>
          <w:color w:val="auto"/>
        </w:rPr>
      </w:pPr>
      <w:r>
        <w:rPr>
          <w:rFonts w:ascii="Arial" w:cs="Arial" w:eastAsia="Arial" w:hAnsi="Arial"/>
          <w:sz w:val="17"/>
          <w:szCs w:val="17"/>
          <w:color w:val="auto"/>
        </w:rPr>
        <w:t xml:space="preserve">The Net Proceeds shall be held by Lender in the Casualty and Condemnation Account and, until disbursed in accordance with the provisions of this </w:t>
      </w:r>
      <w:r>
        <w:rPr>
          <w:rFonts w:ascii="Arial" w:cs="Arial" w:eastAsia="Arial" w:hAnsi="Arial"/>
          <w:sz w:val="17"/>
          <w:szCs w:val="17"/>
          <w:u w:val="single" w:color="auto"/>
          <w:color w:val="auto"/>
        </w:rPr>
        <w:t>Section 5.4(b)</w:t>
      </w:r>
      <w:r>
        <w:rPr>
          <w:rFonts w:ascii="Arial" w:cs="Arial" w:eastAsia="Arial" w:hAnsi="Arial"/>
          <w:sz w:val="17"/>
          <w:szCs w:val="17"/>
          <w:color w:val="auto"/>
        </w:rPr>
        <w:t>, shall constitute additional security for the Debt and other obligations under the Loan Documents. The Net Proceeds shall be disbursed by Lender to, or as directed by, Borrower from time to time during the course of the Restoration, upon receipt of evidence satisfactory to Lender that (A) all materials installed and work and labor performed (except to the extent that they are to be paid for out of the requested disbursement) in connection with the Restoration have been paid for in full, and (B) there exist no notices of pendency, stop orders, mechanic’s or materialman’s liens or notices of intention to file same, or any other liens or encumbrances of any nature whatsoever on the Property which have not either been fully bonded to the satisfaction of Lender and discharged of record or in the alternative fully insured to the satisfaction of Lender by the title company issuing the Title Insurance Policy.</w:t>
      </w:r>
    </w:p>
    <w:p>
      <w:pPr>
        <w:spacing w:after="0" w:line="178" w:lineRule="exact"/>
        <w:rPr>
          <w:rFonts w:ascii="Arial" w:cs="Arial" w:eastAsia="Arial" w:hAnsi="Arial"/>
          <w:sz w:val="17"/>
          <w:szCs w:val="17"/>
          <w:color w:val="auto"/>
        </w:rPr>
      </w:pPr>
    </w:p>
    <w:p>
      <w:pPr>
        <w:jc w:val="both"/>
        <w:ind w:left="-460" w:firstLine="1292"/>
        <w:spacing w:after="0" w:line="270" w:lineRule="auto"/>
        <w:tabs>
          <w:tab w:leader="none" w:pos="1403"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All plans and specifications required in connection with the Restoration shall be subject to the prior approval of Lender and an independent consulting engineer selected by Lender (the “</w:t>
      </w:r>
      <w:r>
        <w:rPr>
          <w:rFonts w:ascii="Arial" w:cs="Arial" w:eastAsia="Arial" w:hAnsi="Arial"/>
          <w:sz w:val="17"/>
          <w:szCs w:val="17"/>
          <w:b w:val="1"/>
          <w:bCs w:val="1"/>
          <w:i w:val="1"/>
          <w:iCs w:val="1"/>
          <w:color w:val="auto"/>
        </w:rPr>
        <w:t>Casualty Consultant</w:t>
      </w:r>
      <w:r>
        <w:rPr>
          <w:rFonts w:ascii="Arial" w:cs="Arial" w:eastAsia="Arial" w:hAnsi="Arial"/>
          <w:sz w:val="17"/>
          <w:szCs w:val="17"/>
          <w:color w:val="auto"/>
        </w:rPr>
        <w:t>”), which approval shall not, so long as no Event of Default has occurred and is continuing, be unreasonably withheld, conditioned or delayed. Lender shall have the use of the plans and specifications and all permits, licenses and approvals required or obtained in connection with the Restoration. The identity of the contractors, subcontractors and materialmen engaged in the Restoration, as well as the contracts under which they have been engaged, shall be subject to the approval of Lender and the Casualty Consultant, which approval shall not, so long as no Event of Default has occurred and is continuing, be unreasonably withheld, conditioned or delayed. All costs and expenses incurred by Lender in connection with recovering, holding and advancing the Net Proceeds for the Restoration including, without limitation, reasonable attorneys’ fees and disbursements and the Casualty Consultant’s fees and disbursements, shall be paid by Borrower.</w:t>
      </w:r>
    </w:p>
    <w:p>
      <w:pPr>
        <w:spacing w:after="0" w:line="180" w:lineRule="exact"/>
        <w:rPr>
          <w:rFonts w:ascii="Arial" w:cs="Arial" w:eastAsia="Arial" w:hAnsi="Arial"/>
          <w:sz w:val="17"/>
          <w:szCs w:val="17"/>
          <w:color w:val="auto"/>
        </w:rPr>
      </w:pPr>
    </w:p>
    <w:p>
      <w:pPr>
        <w:jc w:val="both"/>
        <w:ind w:left="-460" w:firstLine="1292"/>
        <w:spacing w:after="0" w:line="285" w:lineRule="auto"/>
        <w:tabs>
          <w:tab w:leader="none" w:pos="1441" w:val="left"/>
        </w:tabs>
        <w:numPr>
          <w:ilvl w:val="0"/>
          <w:numId w:val="394"/>
        </w:numPr>
        <w:rPr>
          <w:rFonts w:ascii="Arial" w:cs="Arial" w:eastAsia="Arial" w:hAnsi="Arial"/>
          <w:sz w:val="16"/>
          <w:szCs w:val="16"/>
          <w:color w:val="auto"/>
        </w:rPr>
      </w:pPr>
      <w:r>
        <w:rPr>
          <w:rFonts w:ascii="Arial" w:cs="Arial" w:eastAsia="Arial" w:hAnsi="Arial"/>
          <w:sz w:val="16"/>
          <w:szCs w:val="16"/>
          <w:color w:val="auto"/>
        </w:rPr>
        <w:t>In no event shall Lender be obligated to make disbursements of the Net Proceeds in excess of an amount equal to the costs actually incurred from time to time for work in place as part of the Restoration, as certified by the Casualty Consultant, less the Casualty Retainage. The term “</w:t>
      </w:r>
      <w:r>
        <w:rPr>
          <w:rFonts w:ascii="Arial" w:cs="Arial" w:eastAsia="Arial" w:hAnsi="Arial"/>
          <w:sz w:val="16"/>
          <w:szCs w:val="16"/>
          <w:b w:val="1"/>
          <w:bCs w:val="1"/>
          <w:i w:val="1"/>
          <w:iCs w:val="1"/>
          <w:color w:val="auto"/>
        </w:rPr>
        <w:t>Casualty Retainage</w:t>
      </w:r>
      <w:r>
        <w:rPr>
          <w:rFonts w:ascii="Arial" w:cs="Arial" w:eastAsia="Arial" w:hAnsi="Arial"/>
          <w:sz w:val="16"/>
          <w:szCs w:val="16"/>
          <w:color w:val="auto"/>
        </w:rPr>
        <w:t xml:space="preserve">” shall mean, as to each contractor, subcontractor or materialman engaged in the Restoration, an amount equal to ten percent (10%) of the costs actually incurred for work in place as part of the Restoration, as certified by the Casualty Consultant, until the Restoration has been completed. The Casualty Retainage shall in no event, and notwithstanding anything to the contrary set forth above in this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be less than the amount actually held back by Borrower from contractors, subcontractors and materialmen engaged in the Restoration. The Casualty Retainage shall not be released until the Casualty Consultant certifies to Lender that the Restoration has been completed in accordance with the provisions of this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and that all approvals necessary for the re-occupancy and use of the Property have been obtained from all appropriate Governmental Authorities, and Lender receives evidence reasonably satisfactory to Lender that the costs of the Restoration have been paid in full or will be paid in full out of the Casualty Retainage; provided, however, that Lender will release the portion of the Casualty Retainage being held with respect to any contractor, subcontractor or materialman engaged in the Restoration as of the date upon which (i) the Casualty Consultant certifies to Lender that such contractor, subcontractor or materialman has satisfactorily completed all work and has supplied all materials in accordance with the provisions of such contractor’s, subcontractor’s or materialman’s contract, (ii) the contractor, subcontractor or materialman delivers the lien waivers and evidence of payment in full of all sums due to the contractor, subcontractor or materialman as may be reasonably requested by Lender or by the title company issuing the Title Insurance Policy, and (iii) Lender receives an endorsement to the Title Insurance Policy insuring the continued priority of the Lien of the Mortgage and evidence of payment of any premium payable for such endorsement. If required by Lender, the release of any such portion of the Casualty Retainage shall be approved by the surety company, if any, which has issued a payment or performance bond with respect to the contractor, subcontractor or materialman.</w:t>
      </w:r>
    </w:p>
    <w:p>
      <w:pPr>
        <w:spacing w:after="0" w:line="37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62" w:name="page363"/>
    <w:bookmarkEnd w:id="362"/>
    <w:p>
      <w:pPr>
        <w:ind w:left="1820" w:hanging="528"/>
        <w:spacing w:after="0"/>
        <w:tabs>
          <w:tab w:leader="none" w:pos="182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Lender shall not be obligated to make disbursements of the Net Proceeds more frequently than once every calendar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month.</w:t>
      </w:r>
    </w:p>
    <w:p>
      <w:pPr>
        <w:spacing w:after="0" w:line="211" w:lineRule="exact"/>
        <w:rPr>
          <w:sz w:val="20"/>
          <w:szCs w:val="20"/>
          <w:color w:val="auto"/>
        </w:rPr>
      </w:pPr>
    </w:p>
    <w:p>
      <w:pPr>
        <w:jc w:val="both"/>
        <w:ind w:firstLine="1292"/>
        <w:spacing w:after="0" w:line="291" w:lineRule="auto"/>
        <w:tabs>
          <w:tab w:leader="none" w:pos="1987" w:val="left"/>
        </w:tabs>
        <w:numPr>
          <w:ilvl w:val="0"/>
          <w:numId w:val="396"/>
        </w:numPr>
        <w:rPr>
          <w:rFonts w:ascii="Arial" w:cs="Arial" w:eastAsia="Arial" w:hAnsi="Arial"/>
          <w:sz w:val="16"/>
          <w:szCs w:val="16"/>
          <w:color w:val="auto"/>
        </w:rPr>
      </w:pPr>
      <w:r>
        <w:rPr>
          <w:rFonts w:ascii="Arial" w:cs="Arial" w:eastAsia="Arial" w:hAnsi="Arial"/>
          <w:sz w:val="16"/>
          <w:szCs w:val="16"/>
          <w:color w:val="auto"/>
        </w:rPr>
        <w:t>If at any time the Net Proceeds or the undisbursed balance thereof shall not, in the reasonable opinion of Lender in consultation with the Casualty Consultant, be sufficient to pay in full the balance of the costs which are estimated by the Casualty Consultant to be incurred in connection with the completion of the Restoration, Borrower shall deposit the deficiency (the “</w:t>
      </w:r>
      <w:r>
        <w:rPr>
          <w:rFonts w:ascii="Arial" w:cs="Arial" w:eastAsia="Arial" w:hAnsi="Arial"/>
          <w:sz w:val="16"/>
          <w:szCs w:val="16"/>
          <w:b w:val="1"/>
          <w:bCs w:val="1"/>
          <w:i w:val="1"/>
          <w:iCs w:val="1"/>
          <w:color w:val="auto"/>
        </w:rPr>
        <w:t>Net Proceeds Deficiency</w:t>
      </w:r>
      <w:r>
        <w:rPr>
          <w:rFonts w:ascii="Arial" w:cs="Arial" w:eastAsia="Arial" w:hAnsi="Arial"/>
          <w:sz w:val="16"/>
          <w:szCs w:val="16"/>
          <w:color w:val="auto"/>
        </w:rPr>
        <w:t xml:space="preserve">”) with Lender (for deposit into the Casualty and Condemnation Account) before any further disbursement of the Net Proceeds shall be made. The Net Proceeds Deficiency deposited with Lender shall be deposited by Lender into the Casualty and Condemnation Account and shall be disbursed for costs actually incurred in connection with the Restoration on the same conditions applicable to the disbursement of the Net Proceeds, and until so disbursed pursuant to this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shall constitute additional security for the Obligations.</w:t>
      </w:r>
    </w:p>
    <w:p>
      <w:pPr>
        <w:spacing w:after="0" w:line="166" w:lineRule="exact"/>
        <w:rPr>
          <w:rFonts w:ascii="Arial" w:cs="Arial" w:eastAsia="Arial" w:hAnsi="Arial"/>
          <w:sz w:val="16"/>
          <w:szCs w:val="16"/>
          <w:color w:val="auto"/>
        </w:rPr>
      </w:pPr>
    </w:p>
    <w:p>
      <w:pPr>
        <w:jc w:val="both"/>
        <w:ind w:firstLine="1292"/>
        <w:spacing w:after="0" w:line="301" w:lineRule="auto"/>
        <w:tabs>
          <w:tab w:leader="none" w:pos="1845" w:val="left"/>
        </w:tabs>
        <w:numPr>
          <w:ilvl w:val="0"/>
          <w:numId w:val="396"/>
        </w:numPr>
        <w:rPr>
          <w:rFonts w:ascii="Arial" w:cs="Arial" w:eastAsia="Arial" w:hAnsi="Arial"/>
          <w:sz w:val="16"/>
          <w:szCs w:val="16"/>
          <w:color w:val="auto"/>
        </w:rPr>
      </w:pPr>
      <w:r>
        <w:rPr>
          <w:rFonts w:ascii="Arial" w:cs="Arial" w:eastAsia="Arial" w:hAnsi="Arial"/>
          <w:sz w:val="16"/>
          <w:szCs w:val="16"/>
          <w:color w:val="auto"/>
        </w:rPr>
        <w:t xml:space="preserve">The excess, if any, of the Net Proceeds and the remaining balance, if any, of the Net Proceeds Deficiency deposited with Lender after the Casualty Consultant certifies to Lender that the Restoration has been completed in accordance with the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5.4(b)</w:t>
      </w:r>
      <w:r>
        <w:rPr>
          <w:rFonts w:ascii="Arial" w:cs="Arial" w:eastAsia="Arial" w:hAnsi="Arial"/>
          <w:sz w:val="16"/>
          <w:szCs w:val="16"/>
          <w:color w:val="auto"/>
        </w:rPr>
        <w:t>, and the receipt by Lender of evidence reasonably satisfactory to Lender that all costs incurred in connection with the Restoration have been paid in full, shall be remitted by Lender to Borrower, provided no Event of Default shall have occurred and shall be continuing.</w:t>
      </w:r>
    </w:p>
    <w:p>
      <w:pPr>
        <w:spacing w:after="0" w:line="36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363" w:name="page364"/>
    <w:bookmarkEnd w:id="363"/>
    <w:p>
      <w:pPr>
        <w:jc w:val="both"/>
        <w:ind w:firstLine="1304"/>
        <w:spacing w:after="0" w:line="268" w:lineRule="auto"/>
        <w:tabs>
          <w:tab w:leader="none" w:pos="2013" w:val="left"/>
        </w:tabs>
        <w:numPr>
          <w:ilvl w:val="0"/>
          <w:numId w:val="39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in this Agreement, including the provisions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if the Loan is included in a REMIC Trust and, immediately following a release of any portion of the Lien of the Mortgage following a Casualty or Condemnation (but taking into account any proposed Restoration of the remaining Property), the ratio of the unpaid principal balance of the Loan to the value of the remaining Property is greater than 125% (such value to be determined, in Lender’s sole but reasonable discretion, by any commercially reasonable method permitted to a REMIC Trust; and which shall exclude the value of personal property or going concern value, if any), the Outstanding Principal Balance must be paid down by an amount equal to the least of the following amounts: (i) the net Award (after payment of Lender’s costs and expenses and any other fees and expenses that have been approved by Lender) or the net Insurance Proceeds (after payment of Lender’s costs and expenses and any other fees and expenses that have been approved by Lender), as the case may be, or (ii) a “qualified amount” as that term is defined in the IRS Revenue Procedure 2010-30, as the same may be amended, replaced, supplemented or modified from time to time, unless Lender receives an opinion of counsel that if such amount is not paid, the applicable Securitization will not fail to maintain its status as a REMIC Trust as a result of the related release of such portion of the Lien of the Mortgage. If and to the extent the preceding sentence applies, only such amount of the net Award or net Insurance Proceeds (as applicable), if any, in excess of the amount required to pay down the principal balance of the Loan may be released for purposes of Restoration or released to Borrower as otherwise expressly provided in this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186" w:lineRule="exact"/>
        <w:rPr>
          <w:rFonts w:ascii="Arial" w:cs="Arial" w:eastAsia="Arial" w:hAnsi="Arial"/>
          <w:sz w:val="17"/>
          <w:szCs w:val="17"/>
          <w:color w:val="auto"/>
        </w:rPr>
      </w:pPr>
    </w:p>
    <w:p>
      <w:pPr>
        <w:jc w:val="both"/>
        <w:ind w:firstLine="1304"/>
        <w:spacing w:after="0" w:line="272" w:lineRule="auto"/>
        <w:tabs>
          <w:tab w:leader="none" w:pos="2119" w:val="left"/>
        </w:tabs>
        <w:numPr>
          <w:ilvl w:val="0"/>
          <w:numId w:val="397"/>
        </w:numPr>
        <w:rPr>
          <w:rFonts w:ascii="Arial" w:cs="Arial" w:eastAsia="Arial" w:hAnsi="Arial"/>
          <w:sz w:val="17"/>
          <w:szCs w:val="17"/>
          <w:color w:val="auto"/>
        </w:rPr>
      </w:pPr>
      <w:r>
        <w:rPr>
          <w:rFonts w:ascii="Arial" w:cs="Arial" w:eastAsia="Arial" w:hAnsi="Arial"/>
          <w:sz w:val="17"/>
          <w:szCs w:val="17"/>
          <w:color w:val="auto"/>
        </w:rPr>
        <w:t xml:space="preserve">All Net Proceeds not required (i) to be made available for the Restoration or (ii) to be returned to Borrower as excess Net Proceeds pursuant to </w:t>
      </w:r>
      <w:r>
        <w:rPr>
          <w:rFonts w:ascii="Arial" w:cs="Arial" w:eastAsia="Arial" w:hAnsi="Arial"/>
          <w:sz w:val="17"/>
          <w:szCs w:val="17"/>
          <w:u w:val="single" w:color="auto"/>
          <w:color w:val="auto"/>
        </w:rPr>
        <w:t>Section 5.4(b)(vii)</w:t>
      </w:r>
      <w:r>
        <w:rPr>
          <w:rFonts w:ascii="Arial" w:cs="Arial" w:eastAsia="Arial" w:hAnsi="Arial"/>
          <w:sz w:val="17"/>
          <w:szCs w:val="17"/>
          <w:color w:val="auto"/>
        </w:rPr>
        <w:t xml:space="preserve"> may be retained and applied by Lender in accordance with </w:t>
      </w:r>
      <w:r>
        <w:rPr>
          <w:rFonts w:ascii="Arial" w:cs="Arial" w:eastAsia="Arial" w:hAnsi="Arial"/>
          <w:sz w:val="17"/>
          <w:szCs w:val="17"/>
          <w:u w:val="single" w:color="auto"/>
          <w:color w:val="auto"/>
        </w:rPr>
        <w:t>Section 2.4.4</w:t>
      </w:r>
      <w:r>
        <w:rPr>
          <w:rFonts w:ascii="Arial" w:cs="Arial" w:eastAsia="Arial" w:hAnsi="Arial"/>
          <w:sz w:val="17"/>
          <w:szCs w:val="17"/>
          <w:color w:val="auto"/>
        </w:rPr>
        <w:t xml:space="preserve"> hereof toward the payment of the Debt whether or not then due and payable in such order, priority and proportions as Lender in its sole discretion shall deem proper, or, at the discretion of Lender, the same may be paid, either in whole or in part, to Borrower for such purposes as Lender shall approve, in its discretion. Additionally, throughout the term of the Loan if an Event of Default is continuing, then Borrower shall pay to Lender, with respect to any payment of the Debt pursuant to this </w:t>
      </w:r>
      <w:r>
        <w:rPr>
          <w:rFonts w:ascii="Arial" w:cs="Arial" w:eastAsia="Arial" w:hAnsi="Arial"/>
          <w:sz w:val="17"/>
          <w:szCs w:val="17"/>
          <w:u w:val="single" w:color="auto"/>
          <w:color w:val="auto"/>
        </w:rPr>
        <w:t>Section 5.4(d)</w:t>
      </w:r>
      <w:r>
        <w:rPr>
          <w:rFonts w:ascii="Arial" w:cs="Arial" w:eastAsia="Arial" w:hAnsi="Arial"/>
          <w:sz w:val="17"/>
          <w:szCs w:val="17"/>
          <w:color w:val="auto"/>
        </w:rPr>
        <w:t>, an additional amount equal to the Prepayment Fee and any applicable Liquidated Damages Amount; provided, however, that if an Event of Default is not continuing, then no Prepayment Fee or Liquidated Damages Amount shall be payable.</w:t>
      </w:r>
    </w:p>
    <w:p>
      <w:pPr>
        <w:spacing w:after="0" w:line="177" w:lineRule="exact"/>
        <w:rPr>
          <w:rFonts w:ascii="Arial" w:cs="Arial" w:eastAsia="Arial" w:hAnsi="Arial"/>
          <w:sz w:val="17"/>
          <w:szCs w:val="17"/>
          <w:color w:val="auto"/>
        </w:rPr>
      </w:pPr>
    </w:p>
    <w:p>
      <w:pPr>
        <w:jc w:val="both"/>
        <w:ind w:firstLine="1304"/>
        <w:spacing w:after="0" w:line="311" w:lineRule="auto"/>
        <w:tabs>
          <w:tab w:leader="none" w:pos="2012" w:val="left"/>
        </w:tabs>
        <w:numPr>
          <w:ilvl w:val="0"/>
          <w:numId w:val="397"/>
        </w:numPr>
        <w:rPr>
          <w:rFonts w:ascii="Arial" w:cs="Arial" w:eastAsia="Arial" w:hAnsi="Arial"/>
          <w:sz w:val="16"/>
          <w:szCs w:val="16"/>
          <w:color w:val="auto"/>
        </w:rPr>
      </w:pPr>
      <w:r>
        <w:rPr>
          <w:rFonts w:ascii="Arial" w:cs="Arial" w:eastAsia="Arial" w:hAnsi="Arial"/>
          <w:sz w:val="16"/>
          <w:szCs w:val="16"/>
          <w:color w:val="auto"/>
        </w:rPr>
        <w:t>In the event of foreclosure of the Mortgage, or other transfer of title to the Property in extinguishment in whole or in part of the Debt all right, title and interest of Borrower in and to the Policies that are not blanket Policies then in force concerning the Property and all proceeds payable thereunder shall thereupon vest in the purchaser at such foreclosure or Lender or other transferee in the event of such other transfer of title.</w:t>
      </w:r>
    </w:p>
    <w:p>
      <w:pPr>
        <w:spacing w:after="0" w:line="148" w:lineRule="exact"/>
        <w:rPr>
          <w:rFonts w:ascii="Arial" w:cs="Arial" w:eastAsia="Arial" w:hAnsi="Arial"/>
          <w:sz w:val="16"/>
          <w:szCs w:val="16"/>
          <w:color w:val="auto"/>
        </w:rPr>
      </w:pPr>
    </w:p>
    <w:p>
      <w:pPr>
        <w:jc w:val="both"/>
        <w:ind w:firstLine="1304"/>
        <w:spacing w:after="0" w:line="284" w:lineRule="auto"/>
        <w:tabs>
          <w:tab w:leader="none" w:pos="2101" w:val="left"/>
        </w:tabs>
        <w:numPr>
          <w:ilvl w:val="0"/>
          <w:numId w:val="39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in connection with a Casualty, any insurance company makes a payment under a property or business or rental interruption insurance Policy that Borrower proposes be treated as business or rental interruption insurance, then, notwithstanding any designation (or lack of designation) by the insurance company as to the purpose of such payment, as between Lender and Borrower, such payment shall not be treated as business or rental interruption Insurance Proceeds unless Borrower (i) has demonstrated to Lender’s reasonable satisfaction that the remaining Net Proceeds that have been received from the property insurance companies are sufficient to pay one hundred percent (100%) of the cost of the Restoration or, if such Net Proceeds are to be applied to repay the Obligations in accordance with the terms hereof, that such remaining Net Proceeds will be sufficient to satisfy the Obligations in full or (ii) to the extent Borrower is not able to satisfy Lender as to the sufficiency of the remaining funds to pay one hundred percent (100%) of the Restoration or to satisfy the Obligations in full prior to distribution of Net Proceeds, Borrower has agreed to fund any shortfall from funds other than from Gross Revenues or borrowed funds and has provided such security as Lender may require to insure payment of such shortfalls. To the extent any payment under a property or business or rental interruption insurance Policy is treated as business or rental interruption insurance in accordance with this paragraph (f), such funds shall be deposited into the Casualty and Condemnation Account. Provided that no Event of Default then exists, Insurance Proceeds treated as business or rental interruption insurance in accordance with this paragraph (f) (to the extent of available funds) shall be (A) first applied by Lender, on each Monthly Payment Date, to pay for Debt Service, deposits of Reserve Funds and payments of the Monthly Operating Expense Budgeted Amount and any Approved Extraordinary Operating Expenses, in each case as approved by Lender, actually incurred (collectively, the “</w:t>
      </w:r>
      <w:r>
        <w:rPr>
          <w:rFonts w:ascii="Arial" w:cs="Arial" w:eastAsia="Arial" w:hAnsi="Arial"/>
          <w:sz w:val="16"/>
          <w:szCs w:val="16"/>
          <w:b w:val="1"/>
          <w:bCs w:val="1"/>
          <w:i w:val="1"/>
          <w:iCs w:val="1"/>
          <w:color w:val="auto"/>
        </w:rPr>
        <w:t>Approved Monthly BI Expenses</w:t>
      </w:r>
      <w:r>
        <w:rPr>
          <w:rFonts w:ascii="Arial" w:cs="Arial" w:eastAsia="Arial" w:hAnsi="Arial"/>
          <w:sz w:val="16"/>
          <w:szCs w:val="16"/>
          <w:color w:val="auto"/>
        </w:rPr>
        <w:t xml:space="preserve">”) for such month pursuant to, and in the priorities set forth in, </w:t>
      </w:r>
      <w:r>
        <w:rPr>
          <w:rFonts w:ascii="Arial" w:cs="Arial" w:eastAsia="Arial" w:hAnsi="Arial"/>
          <w:sz w:val="16"/>
          <w:szCs w:val="16"/>
          <w:u w:val="single" w:color="auto"/>
          <w:color w:val="auto"/>
        </w:rPr>
        <w:t>Section 6.16.1</w:t>
      </w:r>
      <w:r>
        <w:rPr>
          <w:rFonts w:ascii="Arial" w:cs="Arial" w:eastAsia="Arial" w:hAnsi="Arial"/>
          <w:sz w:val="16"/>
          <w:szCs w:val="16"/>
          <w:color w:val="auto"/>
        </w:rPr>
        <w:t xml:space="preserve">, and (B) second, to the extent that Lender determines that the amount of business or rental interruption Insurance Proceeds then remaining in the Casualty and Condemnation Account is sufficient to pay for all future Approved Monthly BI Expenses through the completion of the subject Restoration and stabilization of the Property, disbursed by Lender to Borrower in an aggregate amount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not to exceed the Approved Monthly BI Expenses actually incurred and paid for by Borrower from the date of the applicable Casualty to the date of the first installment of business or rental interruption Insurance Proceeds advanced by the applicable insurance company (as evidenced by supporting documentation by Borrower that is acceptable to Lender). Provided no Trigger Period then exists (other than a Trigger Period continuing solely because of the continuance of a Mezzanine Trigger Period), all remaining business or rental interruption insurance proceeds upon the final completion of the subject Restoration and the recommencement of full unabated rent being paid by the Tenants under the Leases required to remain in place pursuant to </w:t>
      </w:r>
      <w:r>
        <w:rPr>
          <w:rFonts w:ascii="Arial" w:cs="Arial" w:eastAsia="Arial" w:hAnsi="Arial"/>
          <w:sz w:val="16"/>
          <w:szCs w:val="16"/>
          <w:u w:val="single" w:color="auto"/>
          <w:color w:val="auto"/>
        </w:rPr>
        <w:t>Section 5.4(b)(i)(C)</w:t>
      </w:r>
      <w:r>
        <w:rPr>
          <w:rFonts w:ascii="Arial" w:cs="Arial" w:eastAsia="Arial" w:hAnsi="Arial"/>
          <w:sz w:val="16"/>
          <w:szCs w:val="16"/>
          <w:color w:val="auto"/>
        </w:rPr>
        <w:t xml:space="preserve"> shall be disbursed (x) if no Mezzanine Trigger Period has occurred and is continuing, to Borrower or (y) if a Mezzanine Trigger Period has occurred and is continuing, on the next occurring Monthly Payment Date in accordance </w:t>
      </w:r>
      <w:r>
        <w:rPr>
          <w:rFonts w:ascii="Arial" w:cs="Arial" w:eastAsia="Arial" w:hAnsi="Arial"/>
          <w:sz w:val="16"/>
          <w:szCs w:val="16"/>
          <w:u w:val="single" w:color="auto"/>
          <w:color w:val="auto"/>
        </w:rPr>
        <w:t>Section 6.16.1</w:t>
      </w:r>
      <w:r>
        <w:rPr>
          <w:rFonts w:ascii="Arial" w:cs="Arial" w:eastAsia="Arial" w:hAnsi="Arial"/>
          <w:sz w:val="16"/>
          <w:szCs w:val="16"/>
          <w:color w:val="auto"/>
        </w:rPr>
        <w:t>.</w:t>
      </w: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CASH MANAGEMENT AND RESERVE FUNDS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Cash Management Arrangements</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shall cause all Gross Revenue to be transmitted directly by non-residential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Property into a trust account (the “</w:t>
      </w:r>
      <w:r>
        <w:rPr>
          <w:rFonts w:ascii="Arial" w:cs="Arial" w:eastAsia="Arial" w:hAnsi="Arial"/>
          <w:sz w:val="16"/>
          <w:szCs w:val="16"/>
          <w:b w:val="1"/>
          <w:bCs w:val="1"/>
          <w:i w:val="1"/>
          <w:iCs w:val="1"/>
          <w:color w:val="auto"/>
        </w:rPr>
        <w:t>Clearing Account</w:t>
      </w:r>
      <w:r>
        <w:rPr>
          <w:rFonts w:ascii="Arial" w:cs="Arial" w:eastAsia="Arial" w:hAnsi="Arial"/>
          <w:sz w:val="16"/>
          <w:szCs w:val="16"/>
          <w:color w:val="auto"/>
        </w:rPr>
        <w:t>”) established and maintained by Borrower at an Eligible Institution selected by Borrower and reasonably approved by Lender (the “</w:t>
      </w:r>
      <w:r>
        <w:rPr>
          <w:rFonts w:ascii="Arial" w:cs="Arial" w:eastAsia="Arial" w:hAnsi="Arial"/>
          <w:sz w:val="16"/>
          <w:szCs w:val="16"/>
          <w:b w:val="1"/>
          <w:bCs w:val="1"/>
          <w:i w:val="1"/>
          <w:iCs w:val="1"/>
          <w:color w:val="auto"/>
        </w:rPr>
        <w:t>Clearing Bank</w:t>
      </w:r>
      <w:r>
        <w:rPr>
          <w:rFonts w:ascii="Arial" w:cs="Arial" w:eastAsia="Arial" w:hAnsi="Arial"/>
          <w:sz w:val="16"/>
          <w:szCs w:val="16"/>
          <w:color w:val="auto"/>
        </w:rPr>
        <w:t>”) as more fully described in the Clearing Account Agreement. To the extent the Borrower receives notice from the Clearing Bank that it intends to terminate the Clearing Account Agreement, Borrower shall establish a new Clearing Account at an Eligible Institution reasonably approved by Lender and enter into a new clearing account agreement that is substantially similar to then-existing Clearing Account Agreement (with such changes as are reasonably approved by Lender) on or prior to the date such then-existing Clearing Account Agreement is terminated. Without in any way limiting the foregoing, if Borrower or Manager receive any Gross Revenue from the Property, then (i) such amounts shall be deemed to be collateral for the Obligations and shall be held in trust for the benefit, and as the property, of Lender, (ii) such amounts shall not be commingled with any other funds or property of Borrower or Manager, and (iii) Borrower or Manager shall deposit such amounts in the Clearing Account within one (1) Business Day of receipt. Funds deposited into the Clearing Account shall be swept by the Clearing Bank on a daily basis into Borrower’s operating account at the Clearing Bank, unless a Trigger Period is continuing, in which event such funds shall be swept on a daily basis into the Deposit Account and applied and disbursed in accordance with this Agreement and the Cash Management Agreement. Funds in the Deposit Account that are invested shall be invested in Permitted Investments, as more particularly set forth in the Cash Management Agreement. Lender may also establish subaccounts of the Deposit Account which shall at all times be Eligible Accounts (and may be ledger or book entry accounts and not actual accounts) (such subaccounts are referred to herein as “</w:t>
      </w:r>
      <w:r>
        <w:rPr>
          <w:rFonts w:ascii="Arial" w:cs="Arial" w:eastAsia="Arial" w:hAnsi="Arial"/>
          <w:sz w:val="16"/>
          <w:szCs w:val="16"/>
          <w:b w:val="1"/>
          <w:bCs w:val="1"/>
          <w:i w:val="1"/>
          <w:iCs w:val="1"/>
          <w:color w:val="auto"/>
        </w:rPr>
        <w:t>Accounts</w:t>
      </w:r>
      <w:r>
        <w:rPr>
          <w:rFonts w:ascii="Arial" w:cs="Arial" w:eastAsia="Arial" w:hAnsi="Arial"/>
          <w:sz w:val="16"/>
          <w:szCs w:val="16"/>
          <w:color w:val="auto"/>
        </w:rPr>
        <w:t>”). The Deposit Account and all other Accounts will be under the sole control and dominion of Lender, and Borrower shall have no right of withdrawal therefrom. Borrower shall pay for all expenses of opening and maintaining all of the above accounts.</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5" w:name="page366"/>
    <w:bookmarkEnd w:id="365"/>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6"/>
          <w:szCs w:val="16"/>
          <w:b w:val="1"/>
          <w:bCs w:val="1"/>
          <w:u w:val="single" w:color="auto"/>
          <w:color w:val="auto"/>
        </w:rPr>
        <w:t>Tax Funds</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b w:val="1"/>
          <w:bCs w:val="1"/>
          <w:color w:val="auto"/>
        </w:rPr>
        <w:t xml:space="preserve">6.3.1 </w:t>
      </w:r>
      <w:r>
        <w:rPr>
          <w:rFonts w:ascii="Arial" w:cs="Arial" w:eastAsia="Arial" w:hAnsi="Arial"/>
          <w:sz w:val="18"/>
          <w:szCs w:val="18"/>
          <w:b w:val="1"/>
          <w:bCs w:val="1"/>
          <w:u w:val="single" w:color="auto"/>
          <w:color w:val="auto"/>
        </w:rPr>
        <w:t>Deposits of Tax Funds</w:t>
      </w:r>
      <w:r>
        <w:rPr>
          <w:rFonts w:ascii="Arial" w:cs="Arial" w:eastAsia="Arial" w:hAnsi="Arial"/>
          <w:sz w:val="18"/>
          <w:szCs w:val="18"/>
          <w:color w:val="auto"/>
        </w:rPr>
        <w:t>. Borrower shall deposit with Lender (i) on the Closing Date, an amount equal to $151,018.85 and (ii) on</w:t>
      </w:r>
      <w:r>
        <w:rPr>
          <w:rFonts w:ascii="Arial" w:cs="Arial" w:eastAsia="Arial" w:hAnsi="Arial"/>
          <w:sz w:val="18"/>
          <w:szCs w:val="18"/>
          <w:b w:val="1"/>
          <w:bCs w:val="1"/>
          <w:color w:val="auto"/>
        </w:rPr>
        <w:t xml:space="preserve"> </w:t>
      </w:r>
      <w:r>
        <w:rPr>
          <w:rFonts w:ascii="Arial" w:cs="Arial" w:eastAsia="Arial" w:hAnsi="Arial"/>
          <w:sz w:val="18"/>
          <w:szCs w:val="18"/>
          <w:color w:val="auto"/>
        </w:rPr>
        <w:t>each Monthly Payment Date, an amount equal to one-twelfth of the Real Estate Taxes (including, without limitation, PILOT Payments) that Lender estimates will be payable during the next ensuing twelve (12) months (initially, $21,574.13), in order to accumulate sufficient funds to pay all such Real Estate Taxes at least thirty (30) days prior to their respective due dates, which amounts shall be transferred into an Account (the “</w:t>
      </w:r>
      <w:r>
        <w:rPr>
          <w:rFonts w:ascii="Arial" w:cs="Arial" w:eastAsia="Arial" w:hAnsi="Arial"/>
          <w:sz w:val="18"/>
          <w:szCs w:val="18"/>
          <w:b w:val="1"/>
          <w:bCs w:val="1"/>
          <w:i w:val="1"/>
          <w:iCs w:val="1"/>
          <w:color w:val="auto"/>
        </w:rPr>
        <w:t>Tax Account</w:t>
      </w:r>
      <w:r>
        <w:rPr>
          <w:rFonts w:ascii="Arial" w:cs="Arial" w:eastAsia="Arial" w:hAnsi="Arial"/>
          <w:sz w:val="18"/>
          <w:szCs w:val="18"/>
          <w:color w:val="auto"/>
        </w:rPr>
        <w:t xml:space="preserve">”). Amounts deposited from time to time into the Tax Account pursuant to this </w:t>
      </w:r>
      <w:r>
        <w:rPr>
          <w:rFonts w:ascii="Arial" w:cs="Arial" w:eastAsia="Arial" w:hAnsi="Arial"/>
          <w:sz w:val="18"/>
          <w:szCs w:val="18"/>
          <w:u w:val="single" w:color="auto"/>
          <w:color w:val="auto"/>
        </w:rPr>
        <w:t>Section 6.3.1</w:t>
      </w:r>
      <w:r>
        <w:rPr>
          <w:rFonts w:ascii="Arial" w:cs="Arial" w:eastAsia="Arial" w:hAnsi="Arial"/>
          <w:sz w:val="18"/>
          <w:szCs w:val="18"/>
          <w:color w:val="auto"/>
        </w:rPr>
        <w:t xml:space="preserve"> are referred to herein as the “</w:t>
      </w:r>
      <w:r>
        <w:rPr>
          <w:rFonts w:ascii="Arial" w:cs="Arial" w:eastAsia="Arial" w:hAnsi="Arial"/>
          <w:sz w:val="18"/>
          <w:szCs w:val="18"/>
          <w:b w:val="1"/>
          <w:bCs w:val="1"/>
          <w:i w:val="1"/>
          <w:iCs w:val="1"/>
          <w:color w:val="auto"/>
        </w:rPr>
        <w:t>Tax Funds</w:t>
      </w:r>
      <w:r>
        <w:rPr>
          <w:rFonts w:ascii="Arial" w:cs="Arial" w:eastAsia="Arial" w:hAnsi="Arial"/>
          <w:sz w:val="18"/>
          <w:szCs w:val="18"/>
          <w:color w:val="auto"/>
        </w:rPr>
        <w:t>”. If at any time Lender reasonably determines that the Tax Funds will not be sufficient to pay the Real Estate Taxes, Lender shall notify Borrower of such determination and the monthly deposits for Real Estate Taxes shall be increased by the amount that Lender estimates is sufficient to make up the deficiency at least ten (10) days prior to the respective due dates for the Real Estate Taxes; provided, that if Borrower receives notice of any deficiency after the date that is ten (10) days prior to the date that Real Estate Taxes are due, Borrower will deposit with or on behalf of Lender such amount within one (1) Business Day after its receipt of such notice.</w:t>
      </w:r>
    </w:p>
    <w:p>
      <w:pPr>
        <w:spacing w:after="0" w:line="19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b w:val="1"/>
          <w:bCs w:val="1"/>
          <w:color w:val="auto"/>
        </w:rPr>
        <w:t xml:space="preserve">6.3.2 </w:t>
      </w:r>
      <w:r>
        <w:rPr>
          <w:rFonts w:ascii="Arial" w:cs="Arial" w:eastAsia="Arial" w:hAnsi="Arial"/>
          <w:sz w:val="17"/>
          <w:szCs w:val="17"/>
          <w:b w:val="1"/>
          <w:bCs w:val="1"/>
          <w:u w:val="single" w:color="auto"/>
          <w:color w:val="auto"/>
        </w:rPr>
        <w:t>Release of Tax Funds</w:t>
      </w:r>
      <w:r>
        <w:rPr>
          <w:rFonts w:ascii="Arial" w:cs="Arial" w:eastAsia="Arial" w:hAnsi="Arial"/>
          <w:sz w:val="17"/>
          <w:szCs w:val="17"/>
          <w:color w:val="auto"/>
        </w:rPr>
        <w:t>. Provided no Event of Default shall exist and remain uncured, Lender shall direct Servicer to apply Tax</w:t>
      </w:r>
      <w:r>
        <w:rPr>
          <w:rFonts w:ascii="Arial" w:cs="Arial" w:eastAsia="Arial" w:hAnsi="Arial"/>
          <w:sz w:val="17"/>
          <w:szCs w:val="17"/>
          <w:b w:val="1"/>
          <w:bCs w:val="1"/>
          <w:color w:val="auto"/>
        </w:rPr>
        <w:t xml:space="preserve"> </w:t>
      </w:r>
      <w:r>
        <w:rPr>
          <w:rFonts w:ascii="Arial" w:cs="Arial" w:eastAsia="Arial" w:hAnsi="Arial"/>
          <w:sz w:val="17"/>
          <w:szCs w:val="17"/>
          <w:color w:val="auto"/>
        </w:rPr>
        <w:t>Funds in the Tax Account to payments of Real Estate Taxes. In making any payment relating to Real Estate Taxes, Lender may do so according to any bill, statement or estimate procured from the appropriate public office (with respect to Real Estate Taxes) without inquiry into the accuracy of such bill, statement or estimate or into the validity of any tax, assessment, sale, forfeiture, tax lien or title or claim thereof. If the amount of the Tax Funds shall exceed the amounts due for Real Estate Taxes and provided that no Trigger Period exists (other than a Trigger Period continuing solely because of the continuance of a Mezzanine Trigger Period), Lender shall, in its sole discretion, either (a) disburse any excess (i) if no Mezzanine Trigger Period has occurred and is continuing, to Borrower or (ii) if a Mezzanine Trigger Period has occurred and is continuing, on the next occurring Monthly Payment Date in accordance Section 6.16.1, or (b) credit such excess against future payments to be made to the Tax Funds. Any Tax Funds remaining in the Tax Account after the Obligations have been paid in full shall be returned to Borrower.</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6" w:name="page367"/>
    <w:bookmarkEnd w:id="366"/>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6"/>
          <w:szCs w:val="16"/>
          <w:b w:val="1"/>
          <w:bCs w:val="1"/>
          <w:u w:val="single" w:color="auto"/>
          <w:color w:val="auto"/>
        </w:rPr>
        <w:t>Insurance Funds</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 xml:space="preserve">6.4.1 </w:t>
      </w:r>
      <w:r>
        <w:rPr>
          <w:rFonts w:ascii="Arial" w:cs="Arial" w:eastAsia="Arial" w:hAnsi="Arial"/>
          <w:sz w:val="16"/>
          <w:szCs w:val="16"/>
          <w:b w:val="1"/>
          <w:bCs w:val="1"/>
          <w:u w:val="single" w:color="auto"/>
          <w:color w:val="auto"/>
        </w:rPr>
        <w:t>Deposits of Insurance Funds</w:t>
      </w:r>
      <w:r>
        <w:rPr>
          <w:rFonts w:ascii="Arial" w:cs="Arial" w:eastAsia="Arial" w:hAnsi="Arial"/>
          <w:sz w:val="16"/>
          <w:szCs w:val="16"/>
          <w:color w:val="auto"/>
        </w:rPr>
        <w:t>. Borrower shall deposit with or on behalf of Lender (i) on the Closing Date, an amount equal to</w:t>
      </w:r>
      <w:r>
        <w:rPr>
          <w:rFonts w:ascii="Arial" w:cs="Arial" w:eastAsia="Arial" w:hAnsi="Arial"/>
          <w:sz w:val="16"/>
          <w:szCs w:val="16"/>
          <w:b w:val="1"/>
          <w:bCs w:val="1"/>
          <w:color w:val="auto"/>
        </w:rPr>
        <w:t xml:space="preserve"> </w:t>
      </w:r>
      <w:r>
        <w:rPr>
          <w:rFonts w:ascii="Arial" w:cs="Arial" w:eastAsia="Arial" w:hAnsi="Arial"/>
          <w:sz w:val="16"/>
          <w:szCs w:val="16"/>
          <w:color w:val="auto"/>
        </w:rPr>
        <w:t>$98,879.99 and (ii) on each Monthly Payment Date, an amount equal to one-twelfth of the Insurance Premiums that Lender estimates will be payable for the renewal of the coverage afforded by the Policies upon the expiration thereof ($49,440.00 as of the Closing Date, provided, for the avoidance of doubt, that such amount shall be increased to reflect the cost of the Required Excess Flood Coverage Policy), in order to accumulate sufficient funds to pay all such Insurance Premiums at least thirty (30) days prior to the expiration of the Policies, which amounts shall be transferred into an Account established at Deposit Bank to hold such funds (the “</w:t>
      </w:r>
      <w:r>
        <w:rPr>
          <w:rFonts w:ascii="Arial" w:cs="Arial" w:eastAsia="Arial" w:hAnsi="Arial"/>
          <w:sz w:val="16"/>
          <w:szCs w:val="16"/>
          <w:b w:val="1"/>
          <w:bCs w:val="1"/>
          <w:i w:val="1"/>
          <w:iCs w:val="1"/>
          <w:color w:val="auto"/>
        </w:rPr>
        <w:t>Insurance Account</w:t>
      </w:r>
      <w:r>
        <w:rPr>
          <w:rFonts w:ascii="Arial" w:cs="Arial" w:eastAsia="Arial" w:hAnsi="Arial"/>
          <w:sz w:val="16"/>
          <w:szCs w:val="16"/>
          <w:color w:val="auto"/>
        </w:rPr>
        <w:t xml:space="preserve">”). Amounts deposited from time to time into the Insurance Account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6.4.1</w:t>
      </w:r>
      <w:r>
        <w:rPr>
          <w:rFonts w:ascii="Arial" w:cs="Arial" w:eastAsia="Arial" w:hAnsi="Arial"/>
          <w:sz w:val="16"/>
          <w:szCs w:val="16"/>
          <w:color w:val="auto"/>
        </w:rPr>
        <w:t xml:space="preserve"> are referred to herein as the “</w:t>
      </w:r>
      <w:r>
        <w:rPr>
          <w:rFonts w:ascii="Arial" w:cs="Arial" w:eastAsia="Arial" w:hAnsi="Arial"/>
          <w:sz w:val="16"/>
          <w:szCs w:val="16"/>
          <w:b w:val="1"/>
          <w:bCs w:val="1"/>
          <w:i w:val="1"/>
          <w:iCs w:val="1"/>
          <w:color w:val="auto"/>
        </w:rPr>
        <w:t>Insurance Funds</w:t>
      </w:r>
      <w:r>
        <w:rPr>
          <w:rFonts w:ascii="Arial" w:cs="Arial" w:eastAsia="Arial" w:hAnsi="Arial"/>
          <w:sz w:val="16"/>
          <w:szCs w:val="16"/>
          <w:color w:val="auto"/>
        </w:rPr>
        <w:t>”. If at any time Lender reasonably determines that the Insurance Funds will not be sufficient to pay the Insurance Premiums, Lender shall notify Borrower of such determination and the monthly deposits for Insurance Premiums shall be increased by the amount that Lender estimates is sufficient to make up the deficiency at least thirty (30) days prior to expiration of the Policies.</w:t>
      </w:r>
    </w:p>
    <w:p>
      <w:pPr>
        <w:spacing w:after="0" w:line="16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b w:val="1"/>
          <w:bCs w:val="1"/>
          <w:color w:val="auto"/>
        </w:rPr>
        <w:t xml:space="preserve">6.4.2 </w:t>
      </w:r>
      <w:r>
        <w:rPr>
          <w:rFonts w:ascii="Arial" w:cs="Arial" w:eastAsia="Arial" w:hAnsi="Arial"/>
          <w:sz w:val="17"/>
          <w:szCs w:val="17"/>
          <w:b w:val="1"/>
          <w:bCs w:val="1"/>
          <w:u w:val="single" w:color="auto"/>
          <w:color w:val="auto"/>
        </w:rPr>
        <w:t>Release of Insurance Funds</w:t>
      </w:r>
      <w:r>
        <w:rPr>
          <w:rFonts w:ascii="Arial" w:cs="Arial" w:eastAsia="Arial" w:hAnsi="Arial"/>
          <w:sz w:val="17"/>
          <w:szCs w:val="17"/>
          <w:color w:val="auto"/>
        </w:rPr>
        <w:t>. Provided no Event of Default shall exist and remain uncured, Lender shall direct Servicer to apply</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Funds in the Insurance Account to the timely payment of Insurance Premiums, provided Borrower shall furnish Lender with all bills, invoices and statements for the Insurance Premiums for which such funds are required at least thirty (30) days prior to the date on which such charges first become payable. In making any payment relating to Insurance Premiums, Lender may do so according to any bill, statement or estimate procured from the insurer or its agent, without inquiry into the accuracy of such bill, statement or estimate. If the amount of the Insurance Funds shall exceed the amounts due for Insurance Premiums and provided that no Trigger Period exists (other than a Trigger Period continuing solely because of the continuance of a Mezzanine Trigger Period), Lender shall, in its sole discretion, either (a) disburse any excess (i) if no Mezzanine Trigger Period has occurred and is continuing, to Borrower or (ii) if a Mezzanine Trigger Period has occurred and is continuing, on the next occurring Monthly Payment Date in accordance Section 6.16.1, or (b) credit such excess against future payments to be made to the Insurance Funds. Any Insurance Funds remaining in the Insurance Account after the Obligations have been paid in full shall be returned to Borrower.</w:t>
      </w:r>
    </w:p>
    <w:p>
      <w:pPr>
        <w:spacing w:after="0" w:line="177"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6.4.3 </w:t>
      </w:r>
      <w:r>
        <w:rPr>
          <w:rFonts w:ascii="Arial" w:cs="Arial" w:eastAsia="Arial" w:hAnsi="Arial"/>
          <w:sz w:val="18"/>
          <w:szCs w:val="18"/>
          <w:b w:val="1"/>
          <w:bCs w:val="1"/>
          <w:u w:val="single" w:color="auto"/>
          <w:color w:val="auto"/>
        </w:rPr>
        <w:t>Acceptable Blanket Policy</w:t>
      </w:r>
      <w:r>
        <w:rPr>
          <w:rFonts w:ascii="Arial" w:cs="Arial" w:eastAsia="Arial" w:hAnsi="Arial"/>
          <w:sz w:val="18"/>
          <w:szCs w:val="18"/>
          <w:color w:val="auto"/>
        </w:rPr>
        <w:t>. Notwithstanding anything to the contrary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6.4.1</w:t>
      </w:r>
      <w:r>
        <w:rPr>
          <w:rFonts w:ascii="Arial" w:cs="Arial" w:eastAsia="Arial" w:hAnsi="Arial"/>
          <w:sz w:val="18"/>
          <w:szCs w:val="18"/>
          <w:color w:val="auto"/>
        </w:rPr>
        <w:t>, in the event that an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Blanket Policy is in effect with respect to the Policies required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deposits into the Insurance Account required for Insurance Premiums pursuant to </w:t>
      </w:r>
      <w:r>
        <w:rPr>
          <w:rFonts w:ascii="Arial" w:cs="Arial" w:eastAsia="Arial" w:hAnsi="Arial"/>
          <w:sz w:val="18"/>
          <w:szCs w:val="18"/>
          <w:u w:val="single" w:color="auto"/>
          <w:color w:val="auto"/>
        </w:rPr>
        <w:t>Section 6.4.1</w:t>
      </w:r>
      <w:r>
        <w:rPr>
          <w:rFonts w:ascii="Arial" w:cs="Arial" w:eastAsia="Arial" w:hAnsi="Arial"/>
          <w:sz w:val="18"/>
          <w:szCs w:val="18"/>
          <w:color w:val="auto"/>
        </w:rPr>
        <w:t xml:space="preserve"> above shall be suspended to the extent that Insurance Premiums relate to such Acceptable Blanket Policy. Borrower acknowledges and agrees that, as of the date hereof, there is not an Acceptable Blanket Policy in effect with respect to the Policies required as of the Closing Date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7" w:name="page368"/>
    <w:bookmarkEnd w:id="367"/>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u w:val="single" w:color="auto"/>
          <w:color w:val="auto"/>
        </w:rPr>
        <w:t>Capital Expenditure Funds</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b w:val="1"/>
          <w:bCs w:val="1"/>
          <w:color w:val="auto"/>
        </w:rPr>
        <w:t xml:space="preserve">6.5.1 </w:t>
      </w:r>
      <w:r>
        <w:rPr>
          <w:rFonts w:ascii="Arial" w:cs="Arial" w:eastAsia="Arial" w:hAnsi="Arial"/>
          <w:sz w:val="17"/>
          <w:szCs w:val="17"/>
          <w:b w:val="1"/>
          <w:bCs w:val="1"/>
          <w:u w:val="single" w:color="auto"/>
          <w:color w:val="auto"/>
        </w:rPr>
        <w:t>Deposits of Capital Expenditure Funds</w:t>
      </w:r>
      <w:r>
        <w:rPr>
          <w:rFonts w:ascii="Arial" w:cs="Arial" w:eastAsia="Arial" w:hAnsi="Arial"/>
          <w:sz w:val="17"/>
          <w:szCs w:val="17"/>
          <w:color w:val="auto"/>
        </w:rPr>
        <w:t>. Borrower shall deposit with or on behalf of Lender on each Monthly Payment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$2,356.67, for annual Capital Expenditures, which amounts shall be transferred into an Account (the “</w:t>
      </w:r>
      <w:r>
        <w:rPr>
          <w:rFonts w:ascii="Arial" w:cs="Arial" w:eastAsia="Arial" w:hAnsi="Arial"/>
          <w:sz w:val="17"/>
          <w:szCs w:val="17"/>
          <w:b w:val="1"/>
          <w:bCs w:val="1"/>
          <w:i w:val="1"/>
          <w:iCs w:val="1"/>
          <w:color w:val="auto"/>
        </w:rPr>
        <w:t>Capital Expenditure Account</w:t>
      </w:r>
      <w:r>
        <w:rPr>
          <w:rFonts w:ascii="Arial" w:cs="Arial" w:eastAsia="Arial" w:hAnsi="Arial"/>
          <w:sz w:val="17"/>
          <w:szCs w:val="17"/>
          <w:color w:val="auto"/>
        </w:rPr>
        <w:t xml:space="preserve">”). Amounts deposited from time to time into the Capital Expenditure Account pursuant to this </w:t>
      </w:r>
      <w:r>
        <w:rPr>
          <w:rFonts w:ascii="Arial" w:cs="Arial" w:eastAsia="Arial" w:hAnsi="Arial"/>
          <w:sz w:val="17"/>
          <w:szCs w:val="17"/>
          <w:u w:val="single" w:color="auto"/>
          <w:color w:val="auto"/>
        </w:rPr>
        <w:t>Section 6.5.1</w:t>
      </w:r>
      <w:r>
        <w:rPr>
          <w:rFonts w:ascii="Arial" w:cs="Arial" w:eastAsia="Arial" w:hAnsi="Arial"/>
          <w:sz w:val="17"/>
          <w:szCs w:val="17"/>
          <w:color w:val="auto"/>
        </w:rPr>
        <w:t xml:space="preserve"> are referred to herein as the “</w:t>
      </w:r>
      <w:r>
        <w:rPr>
          <w:rFonts w:ascii="Arial" w:cs="Arial" w:eastAsia="Arial" w:hAnsi="Arial"/>
          <w:sz w:val="17"/>
          <w:szCs w:val="17"/>
          <w:b w:val="1"/>
          <w:bCs w:val="1"/>
          <w:i w:val="1"/>
          <w:iCs w:val="1"/>
          <w:color w:val="auto"/>
        </w:rPr>
        <w:t>Capital Expenditure Funds</w:t>
      </w:r>
      <w:r>
        <w:rPr>
          <w:rFonts w:ascii="Arial" w:cs="Arial" w:eastAsia="Arial" w:hAnsi="Arial"/>
          <w:sz w:val="17"/>
          <w:szCs w:val="17"/>
          <w:color w:val="auto"/>
        </w:rPr>
        <w:t xml:space="preserve">”. Lender may reassess its estimate of the amount necessary for Capital Expenditures from time to time and may require Borrower to increase the monthly deposits required pursuant to this </w:t>
      </w:r>
      <w:r>
        <w:rPr>
          <w:rFonts w:ascii="Arial" w:cs="Arial" w:eastAsia="Arial" w:hAnsi="Arial"/>
          <w:sz w:val="17"/>
          <w:szCs w:val="17"/>
          <w:u w:val="single" w:color="auto"/>
          <w:color w:val="auto"/>
        </w:rPr>
        <w:t>Section 6.5.1</w:t>
      </w:r>
      <w:r>
        <w:rPr>
          <w:rFonts w:ascii="Arial" w:cs="Arial" w:eastAsia="Arial" w:hAnsi="Arial"/>
          <w:sz w:val="17"/>
          <w:szCs w:val="17"/>
          <w:color w:val="auto"/>
        </w:rPr>
        <w:t xml:space="preserve"> upon thirty (30) days’ notice to Borrower if Lender determines in its reasonable discretion that an increase is necessary to maintain proper operation of the Property.</w:t>
      </w:r>
    </w:p>
    <w:p>
      <w:pPr>
        <w:spacing w:after="0" w:line="17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b w:val="1"/>
          <w:bCs w:val="1"/>
          <w:color w:val="auto"/>
        </w:rPr>
        <w:t xml:space="preserve">6.5.2 </w:t>
      </w:r>
      <w:r>
        <w:rPr>
          <w:rFonts w:ascii="Arial" w:cs="Arial" w:eastAsia="Arial" w:hAnsi="Arial"/>
          <w:sz w:val="17"/>
          <w:szCs w:val="17"/>
          <w:b w:val="1"/>
          <w:bCs w:val="1"/>
          <w:u w:val="single" w:color="auto"/>
          <w:color w:val="auto"/>
        </w:rPr>
        <w:t>Release of Capital Expenditure Funds</w:t>
      </w:r>
      <w:r>
        <w:rPr>
          <w:rFonts w:ascii="Arial" w:cs="Arial" w:eastAsia="Arial" w:hAnsi="Arial"/>
          <w:sz w:val="17"/>
          <w:szCs w:val="17"/>
          <w:color w:val="auto"/>
        </w:rPr>
        <w:t>. Provided no Event of Default is continuing, Lender shall direct Servicer to disburse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Expenditure Funds to Borrower out of the Capital Expenditure Account, within ten (10) days after the delivery by Borrower to Lender of a request therefor (but not more often than once per month), in increments of at least $10,000 (or a lesser amount if the total amount in the Capital Expenditure Account is less than $10,000, in which case only one disbursement of the amount remaining in the account shall be made) provided that: (i) such disbursement is for an Approved Capital Expenditure; (ii) the request for disbursement is accompanied by (A) an Officer’s Certificate from Borrower (1) stating that the items to be funded by the requested disbursement are Approved Capital Expenditures, and a description thereof, (2) stating that all Approved Capital Expenditures to be funded by the requested disbursement have been completed (or completed to the extent of the requested disbursement) in a good and workmanlike manner and in accordance with all applicable Legal Requirements, (3) identifying each Person that supplied materials or labor in connection with the Approved Capital Expenditures to be funded by the requested disbursement, (4) stating that each such Person has been paid in full or will be paid in full upon such disbursement, or if such payment is a progress payment, that such payment represents full payment to such Person, less any applicable retention amount, for work completed through the date of the relevant invoice from such Person, (5) stating that the Approved Capital Expenditures (or the relevant portions thereof) to be funded from the disbursement in question have not been the subject of a previous disbursement from any Account or included in any previous disbursement of Operating Expenses or Capital Expenditures, (6) stating that all previous disbursements of Capital Expenditure Funds have been used to pay the previously identified Approved Capital Expenditures, and (7) stating that all outstanding trade payables (other than those to be paid from the requested disbursement or those constituting Permitted Indebtedness) have been paid in full other than any applicable retention amount, (B) a copy of any license, permit or other approval required by any Governmental Authority in connection with the Approved Capital Expenditures and not previously delivered to Lender, (C) copies of appropriate lien waivers, conditional lien waivers, or other evidence of payment reasonably satisfactory to Lender, (D) at Lender’s option, a title search for the Property indicating that the Property is free from all Liens, claims and other encumbrances not previously approved by Lender, and (E) such other evidence as Lender shall reasonably request to demonstrate that the Approved Capital Expenditures to be funded by the requested disbursement have been completed and are paid for or will be paid upon such disbursement to Borrower (or the portion thereof as to which such request for disbursement has been submitted has been completed and is paid for (other than any retention amount which is not a part of such disbursement request) or will be paid upon such disbursement to Borrower) and (iii) if such disbursement request is for $100,000 or more, Lender shall have (if it desires) verified (by an inspection conducted at Borrower’s expense) performance of the work associated with such Approved Capital Expenditure. Notwithstanding the foregoing or anything to the contrary set forth herein, Capital Expenditures Funds shall not be disbursed to Borrower with respect to any Scheduled Capital Expenditures without the prior written approval of Lender in its sole and absolute discretion.</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8" w:name="page369"/>
    <w:bookmarkEnd w:id="368"/>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6"/>
          <w:szCs w:val="16"/>
          <w:b w:val="1"/>
          <w:bCs w:val="1"/>
          <w:u w:val="single" w:color="auto"/>
          <w:color w:val="auto"/>
        </w:rPr>
        <w:t>Rollover Funds</w:t>
      </w:r>
      <w:r>
        <w:rPr>
          <w:rFonts w:ascii="Arial" w:cs="Arial" w:eastAsia="Arial" w:hAnsi="Arial"/>
          <w:sz w:val="16"/>
          <w:szCs w:val="16"/>
          <w:b w:val="1"/>
          <w:bCs w:val="1"/>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6.6.1</w:t>
      </w:r>
      <w:r>
        <w:rPr>
          <w:sz w:val="20"/>
          <w:szCs w:val="20"/>
          <w:color w:val="auto"/>
        </w:rPr>
        <w:tab/>
      </w:r>
      <w:r>
        <w:rPr>
          <w:rFonts w:ascii="Arial" w:cs="Arial" w:eastAsia="Arial" w:hAnsi="Arial"/>
          <w:sz w:val="15"/>
          <w:szCs w:val="15"/>
          <w:b w:val="1"/>
          <w:bCs w:val="1"/>
          <w:u w:val="single" w:color="auto"/>
          <w:color w:val="auto"/>
        </w:rPr>
        <w:t>Deposits of Rollover Funds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69" w:lineRule="auto"/>
        <w:tabs>
          <w:tab w:leader="none" w:pos="2173" w:val="left"/>
        </w:tabs>
        <w:numPr>
          <w:ilvl w:val="0"/>
          <w:numId w:val="398"/>
        </w:numPr>
        <w:rPr>
          <w:rFonts w:ascii="Arial" w:cs="Arial" w:eastAsia="Arial" w:hAnsi="Arial"/>
          <w:sz w:val="17"/>
          <w:szCs w:val="17"/>
          <w:color w:val="auto"/>
        </w:rPr>
      </w:pPr>
      <w:r>
        <w:rPr>
          <w:rFonts w:ascii="Arial" w:cs="Arial" w:eastAsia="Arial" w:hAnsi="Arial"/>
          <w:sz w:val="17"/>
          <w:szCs w:val="17"/>
          <w:color w:val="auto"/>
        </w:rPr>
        <w:t>Borrower shall deposit with or on behalf of Lender on each Monthly Payment Date the sum of $10,683.77 (the “</w:t>
      </w:r>
      <w:r>
        <w:rPr>
          <w:rFonts w:ascii="Arial" w:cs="Arial" w:eastAsia="Arial" w:hAnsi="Arial"/>
          <w:sz w:val="17"/>
          <w:szCs w:val="17"/>
          <w:b w:val="1"/>
          <w:bCs w:val="1"/>
          <w:i w:val="1"/>
          <w:iCs w:val="1"/>
          <w:color w:val="auto"/>
        </w:rPr>
        <w:t>Monthly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Rollover Reserve Deposit</w:t>
      </w:r>
      <w:r>
        <w:rPr>
          <w:rFonts w:ascii="Arial" w:cs="Arial" w:eastAsia="Arial" w:hAnsi="Arial"/>
          <w:sz w:val="17"/>
          <w:szCs w:val="17"/>
          <w:color w:val="auto"/>
        </w:rPr>
        <w:t>”), for tenant improvements and leasing commissions that may be incurred following the date hereof, which amounts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transferred into an Account (the “</w:t>
      </w:r>
      <w:r>
        <w:rPr>
          <w:rFonts w:ascii="Arial" w:cs="Arial" w:eastAsia="Arial" w:hAnsi="Arial"/>
          <w:sz w:val="17"/>
          <w:szCs w:val="17"/>
          <w:b w:val="1"/>
          <w:bCs w:val="1"/>
          <w:i w:val="1"/>
          <w:iCs w:val="1"/>
          <w:color w:val="auto"/>
        </w:rPr>
        <w:t>Rollover Account</w:t>
      </w:r>
      <w:r>
        <w:rPr>
          <w:rFonts w:ascii="Arial" w:cs="Arial" w:eastAsia="Arial" w:hAnsi="Arial"/>
          <w:sz w:val="17"/>
          <w:szCs w:val="17"/>
          <w:color w:val="auto"/>
        </w:rPr>
        <w:t xml:space="preserve">”). Lender may from time to time reassess its estimate of the required monthly amount necessary for tenant improvements and leasing commissions and, upon notice to Borrower, Borrower shall be required to deposit with or on behalf of Lender each month such reassessed amount, which shall be transferred into the Rollover Account. Amounts deposited from time to time into the Rollover Account pursuant to this </w:t>
      </w:r>
      <w:r>
        <w:rPr>
          <w:rFonts w:ascii="Arial" w:cs="Arial" w:eastAsia="Arial" w:hAnsi="Arial"/>
          <w:sz w:val="17"/>
          <w:szCs w:val="17"/>
          <w:u w:val="single" w:color="auto"/>
          <w:color w:val="auto"/>
        </w:rPr>
        <w:t>Section 6.6.1</w:t>
      </w:r>
      <w:r>
        <w:rPr>
          <w:rFonts w:ascii="Arial" w:cs="Arial" w:eastAsia="Arial" w:hAnsi="Arial"/>
          <w:sz w:val="17"/>
          <w:szCs w:val="17"/>
          <w:color w:val="auto"/>
        </w:rPr>
        <w:t xml:space="preserve"> are referred to herein as the “</w:t>
      </w:r>
      <w:r>
        <w:rPr>
          <w:rFonts w:ascii="Arial" w:cs="Arial" w:eastAsia="Arial" w:hAnsi="Arial"/>
          <w:sz w:val="17"/>
          <w:szCs w:val="17"/>
          <w:b w:val="1"/>
          <w:bCs w:val="1"/>
          <w:i w:val="1"/>
          <w:iCs w:val="1"/>
          <w:color w:val="auto"/>
        </w:rPr>
        <w:t>Rollover Funds</w:t>
      </w:r>
      <w:r>
        <w:rPr>
          <w:rFonts w:ascii="Arial" w:cs="Arial" w:eastAsia="Arial" w:hAnsi="Arial"/>
          <w:sz w:val="17"/>
          <w:szCs w:val="17"/>
          <w:color w:val="auto"/>
        </w:rPr>
        <w:t>”. Notwithstanding the foregoing, Borrower shall not be required to make the Monthly Rollover Reserve Deposit on any Monthly Payment Date on which each of the following conditions is satisfied (as determined by Lender in its sole and absolute discretion): (i) no Event of Default has occurred and is continuing, (ii) the PUREgraphite Lease is in full force and effect without any monetary or material non-monetary default by PUREgraphite Tenant under the PUREgraphite Lease beyond applicable cure periods then continuing, and (iii) PUREgraphite Tenant and/or PUREgraphite Guarantor has an Investment Grade Rating.</w:t>
      </w:r>
    </w:p>
    <w:p>
      <w:pPr>
        <w:spacing w:after="0" w:line="185" w:lineRule="exact"/>
        <w:rPr>
          <w:rFonts w:ascii="Arial" w:cs="Arial" w:eastAsia="Arial" w:hAnsi="Arial"/>
          <w:sz w:val="17"/>
          <w:szCs w:val="17"/>
          <w:color w:val="auto"/>
        </w:rPr>
      </w:pPr>
    </w:p>
    <w:p>
      <w:pPr>
        <w:jc w:val="both"/>
        <w:ind w:firstLine="1304"/>
        <w:spacing w:after="0" w:line="259" w:lineRule="auto"/>
        <w:tabs>
          <w:tab w:leader="none" w:pos="207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In addition to the required monthly deposits set forth in subsection (a) above, the following items shall be deposited into the Rollover Account and held as Rollover Funds and shall be disbursed and released as set forth in </w:t>
      </w:r>
      <w:r>
        <w:rPr>
          <w:rFonts w:ascii="Arial" w:cs="Arial" w:eastAsia="Arial" w:hAnsi="Arial"/>
          <w:sz w:val="18"/>
          <w:szCs w:val="18"/>
          <w:u w:val="single" w:color="auto"/>
          <w:color w:val="auto"/>
        </w:rPr>
        <w:t>Section 6.6.2</w:t>
      </w:r>
      <w:r>
        <w:rPr>
          <w:rFonts w:ascii="Arial" w:cs="Arial" w:eastAsia="Arial" w:hAnsi="Arial"/>
          <w:sz w:val="18"/>
          <w:szCs w:val="18"/>
          <w:color w:val="auto"/>
        </w:rPr>
        <w:t xml:space="preserve"> below, and Borrower shall advise Lender at the time of receipt thereof of the nature of such receipt so that Lender shall have sufficient time to instruct the Deposit Bank to deposit and hold such amounts in the Rollover Account pursuant to the Cash Management Agreement:</w:t>
      </w:r>
    </w:p>
    <w:p>
      <w:pPr>
        <w:spacing w:after="0" w:line="186" w:lineRule="exact"/>
        <w:rPr>
          <w:rFonts w:ascii="Arial" w:cs="Arial" w:eastAsia="Arial" w:hAnsi="Arial"/>
          <w:sz w:val="18"/>
          <w:szCs w:val="18"/>
          <w:color w:val="auto"/>
        </w:rPr>
      </w:pPr>
    </w:p>
    <w:p>
      <w:pPr>
        <w:jc w:val="both"/>
        <w:ind w:left="660" w:firstLine="1292"/>
        <w:spacing w:after="0" w:line="271" w:lineRule="auto"/>
        <w:tabs>
          <w:tab w:leader="none" w:pos="263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 xml:space="preserve">Other than Lease Sweep Lease Termination Payments (which shall be deposited into the Lease Sweep Account in accordance with </w:t>
      </w:r>
      <w:r>
        <w:rPr>
          <w:rFonts w:ascii="Arial" w:cs="Arial" w:eastAsia="Arial" w:hAnsi="Arial"/>
          <w:sz w:val="17"/>
          <w:szCs w:val="17"/>
          <w:u w:val="single" w:color="auto"/>
          <w:color w:val="auto"/>
        </w:rPr>
        <w:t>Section 6.13.1</w:t>
      </w:r>
      <w:r>
        <w:rPr>
          <w:rFonts w:ascii="Arial" w:cs="Arial" w:eastAsia="Arial" w:hAnsi="Arial"/>
          <w:sz w:val="17"/>
          <w:szCs w:val="17"/>
          <w:color w:val="auto"/>
        </w:rPr>
        <w:t xml:space="preserve"> hereof), all sums paid with respect to (A) a modification of any Lease or otherwise paid in connection with Borrower taking any action under any Lease (e.g., granting a consent) or waiving any provision thereof, (B) any settlement of claims of Borrower against third parties in connection with any Lease, (C) any rejection, termination, surrender or cancellation of any Lease (including in any bankruptcy case) or any lease buy-out or surrender payment from any Tenant (including any payment relating to unamortized tenant improvements and/or leasing commissions and/or application of any security deposit) (collectively, “</w:t>
      </w:r>
      <w:r>
        <w:rPr>
          <w:rFonts w:ascii="Arial" w:cs="Arial" w:eastAsia="Arial" w:hAnsi="Arial"/>
          <w:sz w:val="17"/>
          <w:szCs w:val="17"/>
          <w:b w:val="1"/>
          <w:bCs w:val="1"/>
          <w:i w:val="1"/>
          <w:iCs w:val="1"/>
          <w:color w:val="auto"/>
        </w:rPr>
        <w:t>Lease Termination Payments</w:t>
      </w:r>
      <w:r>
        <w:rPr>
          <w:rFonts w:ascii="Arial" w:cs="Arial" w:eastAsia="Arial" w:hAnsi="Arial"/>
          <w:sz w:val="17"/>
          <w:szCs w:val="17"/>
          <w:color w:val="auto"/>
        </w:rPr>
        <w:t>”), and (D) any sum received from any Tenant to obtain a consent to an assignment or sublet or otherwise, or any holdover rents or use and occupancy fees from any Tenant or former Tenant (to the extent not being paid for use and occupancy or holdover rent); and</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9" w:name="page370"/>
    <w:bookmarkEnd w:id="369"/>
    <w:p>
      <w:pPr>
        <w:ind w:left="660" w:firstLine="1292"/>
        <w:spacing w:after="0" w:line="342" w:lineRule="auto"/>
        <w:tabs>
          <w:tab w:leader="none" w:pos="2481" w:val="left"/>
        </w:tabs>
        <w:numPr>
          <w:ilvl w:val="0"/>
          <w:numId w:val="399"/>
        </w:numPr>
        <w:rPr>
          <w:rFonts w:ascii="Arial" w:cs="Arial" w:eastAsia="Arial" w:hAnsi="Arial"/>
          <w:sz w:val="16"/>
          <w:szCs w:val="16"/>
          <w:color w:val="auto"/>
        </w:rPr>
      </w:pPr>
      <w:r>
        <w:rPr>
          <w:rFonts w:ascii="Arial" w:cs="Arial" w:eastAsia="Arial" w:hAnsi="Arial"/>
          <w:sz w:val="16"/>
          <w:szCs w:val="16"/>
          <w:color w:val="auto"/>
        </w:rPr>
        <w:t>Any other extraordinary event pursuant to which Borrower receives payments or income (in whatever form) derived from or generated by the use, ownership or operation of the Property not otherwise covered by this Agreement or the Cash Management Agreement.</w:t>
      </w:r>
    </w:p>
    <w:p>
      <w:pPr>
        <w:spacing w:after="0" w:line="120"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b w:val="1"/>
          <w:bCs w:val="1"/>
          <w:color w:val="auto"/>
        </w:rPr>
        <w:t xml:space="preserve">6.6.2 </w:t>
      </w:r>
      <w:r>
        <w:rPr>
          <w:rFonts w:ascii="Arial" w:cs="Arial" w:eastAsia="Arial" w:hAnsi="Arial"/>
          <w:sz w:val="16"/>
          <w:szCs w:val="16"/>
          <w:b w:val="1"/>
          <w:bCs w:val="1"/>
          <w:u w:val="single" w:color="auto"/>
          <w:color w:val="auto"/>
        </w:rPr>
        <w:t>Release of Rollover Funds</w:t>
      </w:r>
      <w:r>
        <w:rPr>
          <w:rFonts w:ascii="Arial" w:cs="Arial" w:eastAsia="Arial" w:hAnsi="Arial"/>
          <w:sz w:val="16"/>
          <w:szCs w:val="16"/>
          <w:color w:val="auto"/>
        </w:rPr>
        <w:t>. Provided no Event of Default is continuing, Lender shall direct Servicer to disburse Rollover</w:t>
      </w:r>
      <w:r>
        <w:rPr>
          <w:rFonts w:ascii="Arial" w:cs="Arial" w:eastAsia="Arial" w:hAnsi="Arial"/>
          <w:sz w:val="16"/>
          <w:szCs w:val="16"/>
          <w:b w:val="1"/>
          <w:bCs w:val="1"/>
          <w:color w:val="auto"/>
        </w:rPr>
        <w:t xml:space="preserve"> </w:t>
      </w:r>
      <w:r>
        <w:rPr>
          <w:rFonts w:ascii="Arial" w:cs="Arial" w:eastAsia="Arial" w:hAnsi="Arial"/>
          <w:sz w:val="16"/>
          <w:szCs w:val="16"/>
          <w:color w:val="auto"/>
        </w:rPr>
        <w:t>Funds to Borrower out of the Rollover Account, within ten (10) days after the delivery by Borrower to Lender of a request therefor (but not more often than once per month), in increments of at least $10,000 (or a lesser amount if the total amount in the Rollover Account is less than $10,000, in which case only one disbursement of the amount remaining in the account shall be made) provided that: (i) such disbursement is for an Approved Leasing Expense; (ii) the request for disbursement is accompanied by (A) an Officer’s Certificate from Borrower (1) stating that the items to be funded by the requested disbursement are Approved Leasing Expenses, and a description thereof, (2) stating that any tenant improvements at the Property to be funded by the requested disbursement (or the relevant portion thereof as to which such request for funds relates) have been completed in a good and workmanlike manner and in accordance with all applicable Legal Requirements, (3) identifying each Person that supplied materials or labor in connection with the Approved Leasing Expenses to be funded by the requested disbursement, (4) stating that each such Person has been paid in full or will be paid in full upon such disbursement, or if such payment is a progress payment, that such payment represents full payment to such Person, less any applicable retention amount, for work completed through the date of the relevant invoice from such Person, (5) stating that the Approved Leasing Expenses (or the relevant portions thereof) to be funded from the disbursement in question have not been the subject of a previous disbursement from any Account or included in any previous disbursement of Operating Expenses or Capital Expenditures, (6) stating that all previous disbursements of Rollover Funds have been used to pay the previously identified Approved Leasing Expenses, and (7) stating that all outstanding trade payables (other than those to be paid from the requested disbursement or those constituting Permitted Indebtedness) have been paid in full other than any applicable retention amount, (B) a copy of any license, permit or other approval by any Governmental Authority required in connection with the tenant improvements and not previously delivered to Lender, (C) copies of appropriate lien waivers, conditional lien waivers or other evidence of payment reasonably satisfactory to Lender, (D) at Lender’s option, a title search for the Property indicating that the Property is free from all Liens, claims and other encumbrances not previously approved by Lender, (E) if requested by Lender, with respect to disbursements from the Rollover Account for tenant improvement costs, a current Tenant estoppel certificate in form and substance acceptable to Lender, and (F) such other evidence as Lender shall reasonably request to demonstrate that the Approved Leasing Expenses to be funded by the requested disbursement have been completed and are paid for or will be paid upon such disbursement to Borrower (or the portion thereof as to which such request for disbursement has been submitted has been completed and is paid for (other than any retention amount which is not a part of such disbursement request) or will be paid upon such disbursement to Borrower).</w:t>
      </w:r>
    </w:p>
    <w:p>
      <w:pPr>
        <w:spacing w:after="0" w:line="39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6"/>
          <w:szCs w:val="16"/>
          <w:b w:val="1"/>
          <w:bCs w:val="1"/>
          <w:u w:val="single" w:color="auto"/>
          <w:color w:val="auto"/>
        </w:rPr>
        <w:t>Scheduled Capital Expenditures Funds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6.7.1 </w:t>
      </w:r>
      <w:r>
        <w:rPr>
          <w:rFonts w:ascii="Arial" w:cs="Arial" w:eastAsia="Arial" w:hAnsi="Arial"/>
          <w:sz w:val="18"/>
          <w:szCs w:val="18"/>
          <w:b w:val="1"/>
          <w:bCs w:val="1"/>
          <w:u w:val="single" w:color="auto"/>
          <w:color w:val="auto"/>
        </w:rPr>
        <w:t>Deposits of Scheduled Capital Expenditure Funds</w:t>
      </w:r>
      <w:r>
        <w:rPr>
          <w:rFonts w:ascii="Arial" w:cs="Arial" w:eastAsia="Arial" w:hAnsi="Arial"/>
          <w:sz w:val="18"/>
          <w:szCs w:val="18"/>
          <w:color w:val="auto"/>
        </w:rPr>
        <w:t>. Borrower shall deposit with or on behalf of Lender on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of $6,196,731.00, for the Scheduled Capital Expenditures, which amounts represent approximately 115% of the estimated cost of such Scheduled Capital Expenditures and which amounts shall be transferred into an Account (the “</w:t>
      </w:r>
      <w:r>
        <w:rPr>
          <w:rFonts w:ascii="Arial" w:cs="Arial" w:eastAsia="Arial" w:hAnsi="Arial"/>
          <w:sz w:val="18"/>
          <w:szCs w:val="18"/>
          <w:b w:val="1"/>
          <w:bCs w:val="1"/>
          <w:i w:val="1"/>
          <w:iCs w:val="1"/>
          <w:color w:val="auto"/>
        </w:rPr>
        <w:t>Scheduled Capital Expenditure Account</w:t>
      </w:r>
      <w:r>
        <w:rPr>
          <w:rFonts w:ascii="Arial" w:cs="Arial" w:eastAsia="Arial" w:hAnsi="Arial"/>
          <w:sz w:val="18"/>
          <w:szCs w:val="18"/>
          <w:color w:val="auto"/>
        </w:rPr>
        <w:t xml:space="preserve">”). Amounts deposited from time to time into the Scheduled Capital Expenditure Account pursuant to this </w:t>
      </w:r>
      <w:r>
        <w:rPr>
          <w:rFonts w:ascii="Arial" w:cs="Arial" w:eastAsia="Arial" w:hAnsi="Arial"/>
          <w:sz w:val="18"/>
          <w:szCs w:val="18"/>
          <w:u w:val="single" w:color="auto"/>
          <w:color w:val="auto"/>
        </w:rPr>
        <w:t>Section 6.7.1</w:t>
      </w:r>
      <w:r>
        <w:rPr>
          <w:rFonts w:ascii="Arial" w:cs="Arial" w:eastAsia="Arial" w:hAnsi="Arial"/>
          <w:sz w:val="18"/>
          <w:szCs w:val="18"/>
          <w:color w:val="auto"/>
        </w:rPr>
        <w:t xml:space="preserve"> are referred to herein as the “</w:t>
      </w:r>
      <w:r>
        <w:rPr>
          <w:rFonts w:ascii="Arial" w:cs="Arial" w:eastAsia="Arial" w:hAnsi="Arial"/>
          <w:sz w:val="18"/>
          <w:szCs w:val="18"/>
          <w:b w:val="1"/>
          <w:bCs w:val="1"/>
          <w:i w:val="1"/>
          <w:iCs w:val="1"/>
          <w:color w:val="auto"/>
        </w:rPr>
        <w:t>Scheduled Capital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Expenditure Funds</w:t>
      </w:r>
      <w:r>
        <w:rPr>
          <w:rFonts w:ascii="Arial" w:cs="Arial" w:eastAsia="Arial" w:hAnsi="Arial"/>
          <w:sz w:val="18"/>
          <w:szCs w:val="18"/>
          <w:color w:val="auto"/>
        </w:rPr>
        <w:t>”.</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0" w:name="page371"/>
    <w:bookmarkEnd w:id="370"/>
    <w:p>
      <w:pPr>
        <w:jc w:val="both"/>
        <w:ind w:firstLine="1296"/>
        <w:spacing w:after="0" w:line="284" w:lineRule="auto"/>
        <w:rPr>
          <w:sz w:val="20"/>
          <w:szCs w:val="20"/>
          <w:color w:val="auto"/>
        </w:rPr>
      </w:pPr>
      <w:r>
        <w:rPr>
          <w:rFonts w:ascii="Arial" w:cs="Arial" w:eastAsia="Arial" w:hAnsi="Arial"/>
          <w:sz w:val="16"/>
          <w:szCs w:val="16"/>
          <w:b w:val="1"/>
          <w:bCs w:val="1"/>
          <w:color w:val="auto"/>
        </w:rPr>
        <w:t xml:space="preserve">6.7.2 </w:t>
      </w:r>
      <w:r>
        <w:rPr>
          <w:rFonts w:ascii="Arial" w:cs="Arial" w:eastAsia="Arial" w:hAnsi="Arial"/>
          <w:sz w:val="16"/>
          <w:szCs w:val="16"/>
          <w:b w:val="1"/>
          <w:bCs w:val="1"/>
          <w:u w:val="single" w:color="auto"/>
          <w:color w:val="auto"/>
        </w:rPr>
        <w:t>Release of Scheduled Capital Expenditure Funds</w:t>
      </w:r>
      <w:r>
        <w:rPr>
          <w:rFonts w:ascii="Arial" w:cs="Arial" w:eastAsia="Arial" w:hAnsi="Arial"/>
          <w:sz w:val="16"/>
          <w:szCs w:val="16"/>
          <w:color w:val="auto"/>
        </w:rPr>
        <w:t>. (a) Provided no Event of Default is continuing, Lender shall direct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Servicer to disburse Scheduled Capital Expenditure Funds to Borrower out of the Scheduled Capital Expenditure Account, within ten (10) days after the delivery by Borrower to Lender of a request therefor (but not more often than once per month), in increments of at least $10,000 (or a lesser amount if the total amount in the Scheduled Capital Expenditure Account is less than $10,000, in which case only one disbursement of the amount remaining in the account shall be made) provided that: (i) such disbursement is for a Scheduled Capital Expenditure; (ii) the request for disbursement is accompanied by (A) an Officer’s Certificate from Borrower (1) stating that the items to be funded by the requested disbursement are Scheduled Capital Expenditures, and a description thereof, (2) stating that all Scheduled Capital Expenditures Work related to the Scheduled Capital Expenditures to be funded by the requested disbursement have been completed (or completed to the extent of the requested disbursement) in a good and workmanlike manner and in accordance with all applicable Legal Requirements and the plans and specifications attached hereto as </w:t>
      </w:r>
      <w:r>
        <w:rPr>
          <w:rFonts w:ascii="Arial" w:cs="Arial" w:eastAsia="Arial" w:hAnsi="Arial"/>
          <w:sz w:val="16"/>
          <w:szCs w:val="16"/>
          <w:u w:val="single" w:color="auto"/>
          <w:color w:val="auto"/>
        </w:rPr>
        <w:t>Schedule XI</w:t>
      </w:r>
      <w:r>
        <w:rPr>
          <w:rFonts w:ascii="Arial" w:cs="Arial" w:eastAsia="Arial" w:hAnsi="Arial"/>
          <w:sz w:val="16"/>
          <w:szCs w:val="16"/>
          <w:color w:val="auto"/>
        </w:rPr>
        <w:t>, (3) identifying each Person that supplied materials or labor in connection with the Scheduled Capital Expenditures to be funded by the requested disbursement, (4) stating that each such Person has been paid in full or will be paid in full upon such disbursement, or if such payment is a progress payment, that such payment represents full payment to such Person, less any applicable retention amount, for Scheduled Capital Expenditures Work completed through the date of the relevant invoice from such Person, (5) stating that the Scheduled Capital Expenditures (or the relevant portions thereof) to be funded from the disbursement in question have not been the subject of a previous disbursement from any Account or included in any previous disbursement of Operating Expenses or Capital Expenditures (including, without limitation, Scheduled Capital Expenditures), (6) stating that all previous disbursements of Scheduled Capital Expenditure Funds have been used to pay the previously identified Scheduled Capital Expenditures, and (7) stating that all outstanding trade payables (other than those to be paid from the requested disbursement or those constituting Permitted Indebtedness) have been paid in full other than any applicable retention amount, (B) a copy of any license, permit or other approval required by any Governmental Authority in connection with the Scheduled Capital Expenditures and not previously delivered to Lender, (C) copies of appropriate lien waivers, conditional lien waivers, or other evidence of payment reasonably satisfactory to Lender, (D) at Lender’s option, a title search for the Property indicating that the Property is free from all Liens, claims and other encumbrances not previously approved by Lender, and (E) such other evidence as Lender shall reasonably request to demonstrate that the Scheduled Capital Expenditures to be funded by the requested disbursement have been completed and are paid for or will be paid upon such disbursement to Borrower (or the portion thereof as to which such request for disbursement has been submitted has been completed and is paid for (other than any retention amount which is not a part of such disbursement request) or will be paid upon such disbursement to Borrower) and (iii) if such disbursement request is for $100,000 or more, Lender shall have (if it desires) verified (by an inspection conducted at Borrower’s expense) performance of the Scheduled Capital Expenditures Work.</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1" w:name="page372"/>
    <w:bookmarkEnd w:id="371"/>
    <w:p>
      <w:pPr>
        <w:jc w:val="both"/>
        <w:ind w:firstLine="1304"/>
        <w:spacing w:after="0" w:line="286" w:lineRule="auto"/>
        <w:tabs>
          <w:tab w:leader="none" w:pos="1995" w:val="left"/>
        </w:tabs>
        <w:numPr>
          <w:ilvl w:val="0"/>
          <w:numId w:val="400"/>
        </w:numPr>
        <w:rPr>
          <w:rFonts w:ascii="Arial" w:cs="Arial" w:eastAsia="Arial" w:hAnsi="Arial"/>
          <w:sz w:val="16"/>
          <w:szCs w:val="16"/>
          <w:color w:val="auto"/>
        </w:rPr>
      </w:pPr>
      <w:r>
        <w:rPr>
          <w:rFonts w:ascii="Arial" w:cs="Arial" w:eastAsia="Arial" w:hAnsi="Arial"/>
          <w:sz w:val="16"/>
          <w:szCs w:val="16"/>
          <w:color w:val="auto"/>
        </w:rPr>
        <w:t>Without limitation of the foregoing, provided that no Event of Default has occurred and is continuing, upon Lender’s receipt of fully executed contracts from the contractors, subcontractors and/or materialmen, as applicable, engaged in the Scheduled Capital Expenditures Work (which such contracts, as well as the identity of such contractors, subcontractors and/or materialmen, as applicable, have been approved by Lender, provided that, so long as no Event of Default has occurred and is continuing, such approval shall not be unreasonably withheld, conditioned or delayed; such approved contracts, collectively, the “</w:t>
      </w:r>
      <w:r>
        <w:rPr>
          <w:rFonts w:ascii="Arial" w:cs="Arial" w:eastAsia="Arial" w:hAnsi="Arial"/>
          <w:sz w:val="16"/>
          <w:szCs w:val="16"/>
          <w:b w:val="1"/>
          <w:bCs w:val="1"/>
          <w:i w:val="1"/>
          <w:iCs w:val="1"/>
          <w:color w:val="auto"/>
        </w:rPr>
        <w:t>Approved Scheduled Capital Expenditures Work Contracts</w:t>
      </w:r>
      <w:r>
        <w:rPr>
          <w:rFonts w:ascii="Arial" w:cs="Arial" w:eastAsia="Arial" w:hAnsi="Arial"/>
          <w:sz w:val="16"/>
          <w:szCs w:val="16"/>
          <w:color w:val="auto"/>
        </w:rPr>
        <w:t xml:space="preserve">”), Scheduled Capital Expenditures Funds equal to the Approved Reduction Amount (defined below) shall be disbursed (i) if no Trigger Period has occurred and is continuing, to Borrower, or (ii) if a Trigger Period has occurred and is continuing, on the next occurring Monthly Payment Date in accordance </w:t>
      </w:r>
      <w:r>
        <w:rPr>
          <w:rFonts w:ascii="Arial" w:cs="Arial" w:eastAsia="Arial" w:hAnsi="Arial"/>
          <w:sz w:val="16"/>
          <w:szCs w:val="16"/>
          <w:u w:val="single" w:color="auto"/>
          <w:color w:val="auto"/>
        </w:rPr>
        <w:t>Section 6.16.1</w:t>
      </w:r>
      <w:r>
        <w:rPr>
          <w:rFonts w:ascii="Arial" w:cs="Arial" w:eastAsia="Arial" w:hAnsi="Arial"/>
          <w:sz w:val="16"/>
          <w:szCs w:val="16"/>
          <w:color w:val="auto"/>
        </w:rPr>
        <w:t>. For purposes of this Section 6.7.2(b), “</w:t>
      </w:r>
      <w:r>
        <w:rPr>
          <w:rFonts w:ascii="Arial" w:cs="Arial" w:eastAsia="Arial" w:hAnsi="Arial"/>
          <w:sz w:val="16"/>
          <w:szCs w:val="16"/>
          <w:b w:val="1"/>
          <w:bCs w:val="1"/>
          <w:i w:val="1"/>
          <w:iCs w:val="1"/>
          <w:color w:val="auto"/>
        </w:rPr>
        <w:t>Approved Reduction Amount</w:t>
      </w:r>
      <w:r>
        <w:rPr>
          <w:rFonts w:ascii="Arial" w:cs="Arial" w:eastAsia="Arial" w:hAnsi="Arial"/>
          <w:sz w:val="16"/>
          <w:szCs w:val="16"/>
          <w:color w:val="auto"/>
        </w:rPr>
        <w:t xml:space="preserve">” shall mean the positive difference (if any) of (x) the amount of Scheduled Capital Expenditures Funds on deposit in the Scheduled Capital Expenditures Account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the </w:t>
      </w:r>
      <w:r>
        <w:rPr>
          <w:rFonts w:ascii="Arial" w:cs="Arial" w:eastAsia="Arial" w:hAnsi="Arial"/>
          <w:sz w:val="16"/>
          <w:szCs w:val="16"/>
          <w:i w:val="1"/>
          <w:iCs w:val="1"/>
          <w:color w:val="auto"/>
        </w:rPr>
        <w:t>greater</w:t>
      </w:r>
      <w:r>
        <w:rPr>
          <w:rFonts w:ascii="Arial" w:cs="Arial" w:eastAsia="Arial" w:hAnsi="Arial"/>
          <w:sz w:val="16"/>
          <w:szCs w:val="16"/>
          <w:color w:val="auto"/>
        </w:rPr>
        <w:t xml:space="preserve"> of (A) $5,657,885.10 (which amount represents approximately 105% of the estimated cost of such Scheduled Capital Expenditures as set forth on </w:t>
      </w:r>
      <w:r>
        <w:rPr>
          <w:rFonts w:ascii="Arial" w:cs="Arial" w:eastAsia="Arial" w:hAnsi="Arial"/>
          <w:sz w:val="16"/>
          <w:szCs w:val="16"/>
          <w:u w:val="single" w:color="auto"/>
          <w:color w:val="auto"/>
        </w:rPr>
        <w:t>Schedule X</w:t>
      </w:r>
      <w:r>
        <w:rPr>
          <w:rFonts w:ascii="Arial" w:cs="Arial" w:eastAsia="Arial" w:hAnsi="Arial"/>
          <w:sz w:val="16"/>
          <w:szCs w:val="16"/>
          <w:color w:val="auto"/>
        </w:rPr>
        <w:t xml:space="preserve"> hereto) and (B) an amount equal to 105% of the total cost to complete all of the Scheduled Capital Expenditures Work as set forth on the Approved Scheduled Capital Expenditures Work Contracts. If, however, the amount of Scheduled Capital Expenditures Funds on deposit in the Scheduled Capital Expenditures Account is less than 105% of the total cost to complete all of the remaining Scheduled Capital Expenditures Work as set forth on the Approved Scheduled Capital Expenditures Work Contracts on the date on which Lender receives the Approved Scheduled Capital Expenditures Work Contracts, then Borrower shall promptly deposit with Lender an amount equal to such difference, which amount shall be held and applied as Scheduled Capital Expenditures Funds hereunder.</w:t>
      </w:r>
    </w:p>
    <w:p>
      <w:pPr>
        <w:spacing w:after="0" w:line="167" w:lineRule="exact"/>
        <w:rPr>
          <w:rFonts w:ascii="Arial" w:cs="Arial" w:eastAsia="Arial" w:hAnsi="Arial"/>
          <w:sz w:val="16"/>
          <w:szCs w:val="16"/>
          <w:color w:val="auto"/>
        </w:rPr>
      </w:pPr>
    </w:p>
    <w:p>
      <w:pPr>
        <w:jc w:val="both"/>
        <w:ind w:firstLine="1304"/>
        <w:spacing w:after="0" w:line="254" w:lineRule="auto"/>
        <w:tabs>
          <w:tab w:leader="none" w:pos="205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 xml:space="preserve">Without limitation of the foregoing, provided that no Event of Default has occurred and is continuing, upon the completion of all Scheduled Capital Expenditures Work related to all of the Scheduled Capital Expenditures in a good and workmanlike manner and in accordance with all applicable Legal Requirements, the plans and specifications attached hereto as </w:t>
      </w:r>
      <w:r>
        <w:rPr>
          <w:rFonts w:ascii="Arial" w:cs="Arial" w:eastAsia="Arial" w:hAnsi="Arial"/>
          <w:sz w:val="18"/>
          <w:szCs w:val="18"/>
          <w:u w:val="single" w:color="auto"/>
          <w:color w:val="auto"/>
        </w:rPr>
        <w:t>Schedule XI</w:t>
      </w:r>
      <w:r>
        <w:rPr>
          <w:rFonts w:ascii="Arial" w:cs="Arial" w:eastAsia="Arial" w:hAnsi="Arial"/>
          <w:sz w:val="18"/>
          <w:szCs w:val="18"/>
          <w:color w:val="auto"/>
        </w:rPr>
        <w:t xml:space="preserve"> and the applicable terms and conditions hereof, and the satisfaction of all of the requirements set forth in </w:t>
      </w:r>
      <w:r>
        <w:rPr>
          <w:rFonts w:ascii="Arial" w:cs="Arial" w:eastAsia="Arial" w:hAnsi="Arial"/>
          <w:sz w:val="18"/>
          <w:szCs w:val="18"/>
          <w:u w:val="single" w:color="auto"/>
          <w:color w:val="auto"/>
        </w:rPr>
        <w:t>Sections 6.7.2(a)(ii)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with respect to all such Scheduled Capital Expenditures Work, any remaining Scheduled Capital Expenditures Funds on deposit in the Scheduled Capital Expenditures Account shall be disbursed (i) if no Trigger Period has occurred and is continuing, to Borrower, or (ii) if a Trigger Period has occurred and is continuing, on the next occurring Monthly Payment Date in accordance </w:t>
      </w:r>
      <w:r>
        <w:rPr>
          <w:rFonts w:ascii="Arial" w:cs="Arial" w:eastAsia="Arial" w:hAnsi="Arial"/>
          <w:sz w:val="18"/>
          <w:szCs w:val="18"/>
          <w:u w:val="single" w:color="auto"/>
          <w:color w:val="auto"/>
        </w:rPr>
        <w:t>Section 6.16.1</w:t>
      </w:r>
      <w:r>
        <w:rPr>
          <w:rFonts w:ascii="Arial" w:cs="Arial" w:eastAsia="Arial" w:hAnsi="Arial"/>
          <w:sz w:val="18"/>
          <w:szCs w:val="18"/>
          <w:color w:val="auto"/>
        </w:rPr>
        <w:t>.</w:t>
      </w:r>
    </w:p>
    <w:p>
      <w:pPr>
        <w:spacing w:after="0" w:line="19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6.8</w:t>
      </w:r>
      <w:r>
        <w:rPr>
          <w:sz w:val="20"/>
          <w:szCs w:val="20"/>
          <w:color w:val="auto"/>
        </w:rPr>
        <w:tab/>
      </w:r>
      <w:r>
        <w:rPr>
          <w:rFonts w:ascii="Arial" w:cs="Arial" w:eastAsia="Arial" w:hAnsi="Arial"/>
          <w:sz w:val="16"/>
          <w:szCs w:val="16"/>
          <w:b w:val="1"/>
          <w:bCs w:val="1"/>
          <w:u w:val="single" w:color="auto"/>
          <w:color w:val="auto"/>
        </w:rPr>
        <w:t>Earnout Reserve Funds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6.8.1 </w:t>
      </w:r>
      <w:r>
        <w:rPr>
          <w:rFonts w:ascii="Arial" w:cs="Arial" w:eastAsia="Arial" w:hAnsi="Arial"/>
          <w:sz w:val="18"/>
          <w:szCs w:val="18"/>
          <w:b w:val="1"/>
          <w:bCs w:val="1"/>
          <w:u w:val="single" w:color="auto"/>
          <w:color w:val="auto"/>
        </w:rPr>
        <w:t>Deposits of Earnout Reserve Funds</w:t>
      </w:r>
      <w:r>
        <w:rPr>
          <w:rFonts w:ascii="Arial" w:cs="Arial" w:eastAsia="Arial" w:hAnsi="Arial"/>
          <w:sz w:val="18"/>
          <w:szCs w:val="18"/>
          <w:color w:val="auto"/>
        </w:rPr>
        <w:t>. Borrower shall deposit with or on behalf of Lender $8,000,000 on the Closing Date to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as additional collateral for the Loan, which amount shall be transferred into an Account (the “</w:t>
      </w:r>
      <w:r>
        <w:rPr>
          <w:rFonts w:ascii="Arial" w:cs="Arial" w:eastAsia="Arial" w:hAnsi="Arial"/>
          <w:sz w:val="18"/>
          <w:szCs w:val="18"/>
          <w:b w:val="1"/>
          <w:bCs w:val="1"/>
          <w:i w:val="1"/>
          <w:iCs w:val="1"/>
          <w:color w:val="auto"/>
        </w:rPr>
        <w:t>Earnout Reserve Account</w:t>
      </w:r>
      <w:r>
        <w:rPr>
          <w:rFonts w:ascii="Arial" w:cs="Arial" w:eastAsia="Arial" w:hAnsi="Arial"/>
          <w:sz w:val="18"/>
          <w:szCs w:val="18"/>
          <w:color w:val="auto"/>
        </w:rPr>
        <w:t>”). Amounts deposited into the Earnout Reserve Account shall be referred to herein as the “</w:t>
      </w:r>
      <w:r>
        <w:rPr>
          <w:rFonts w:ascii="Arial" w:cs="Arial" w:eastAsia="Arial" w:hAnsi="Arial"/>
          <w:sz w:val="18"/>
          <w:szCs w:val="18"/>
          <w:b w:val="1"/>
          <w:bCs w:val="1"/>
          <w:i w:val="1"/>
          <w:iCs w:val="1"/>
          <w:color w:val="auto"/>
        </w:rPr>
        <w:t>Earnout Funds</w:t>
      </w:r>
      <w:r>
        <w:rPr>
          <w:rFonts w:ascii="Arial" w:cs="Arial" w:eastAsia="Arial" w:hAnsi="Arial"/>
          <w:sz w:val="18"/>
          <w:szCs w:val="18"/>
          <w:color w:val="auto"/>
        </w:rPr>
        <w:t>”.</w:t>
      </w:r>
    </w:p>
    <w:p>
      <w:pPr>
        <w:spacing w:after="0" w:line="1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6.8.2</w:t>
      </w:r>
      <w:r>
        <w:rPr>
          <w:sz w:val="20"/>
          <w:szCs w:val="20"/>
          <w:color w:val="auto"/>
        </w:rPr>
        <w:tab/>
      </w:r>
      <w:r>
        <w:rPr>
          <w:rFonts w:ascii="Arial" w:cs="Arial" w:eastAsia="Arial" w:hAnsi="Arial"/>
          <w:sz w:val="15"/>
          <w:szCs w:val="15"/>
          <w:b w:val="1"/>
          <w:bCs w:val="1"/>
          <w:u w:val="single" w:color="auto"/>
          <w:color w:val="auto"/>
        </w:rPr>
        <w:t>Release of Earnout Reserve Funds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50" w:lineRule="auto"/>
        <w:tabs>
          <w:tab w:leader="none" w:pos="1993" w:val="left"/>
        </w:tabs>
        <w:numPr>
          <w:ilvl w:val="0"/>
          <w:numId w:val="401"/>
        </w:numPr>
        <w:rPr>
          <w:rFonts w:ascii="Arial" w:cs="Arial" w:eastAsia="Arial" w:hAnsi="Arial"/>
          <w:sz w:val="17"/>
          <w:szCs w:val="17"/>
          <w:color w:val="auto"/>
        </w:rPr>
      </w:pPr>
      <w:r>
        <w:rPr>
          <w:rFonts w:ascii="Arial" w:cs="Arial" w:eastAsia="Arial" w:hAnsi="Arial"/>
          <w:sz w:val="17"/>
          <w:szCs w:val="17"/>
          <w:color w:val="auto"/>
        </w:rPr>
        <w:t>At such time as Borrower provides Lender with evidence (in a form reasonably acceptable to Lender) that the Earnout Reserve Release Conditions have been satisfied, Borrower may request that all Earnout Reserve Funds be released from the Earnout Reserve Account and provided that no Event of Default is ongoing as of the date of Borrower’s request for said release or as of the date of said release, the Earnout Reserve Funds shall be disbursed to Borrower. To the extent the Earnout Reserve Release Conditions have not been satisfied in full on or before the second (2</w:t>
      </w:r>
      <w:r>
        <w:rPr>
          <w:rFonts w:ascii="Arial" w:cs="Arial" w:eastAsia="Arial" w:hAnsi="Arial"/>
          <w:sz w:val="28"/>
          <w:szCs w:val="28"/>
          <w:color w:val="auto"/>
          <w:vertAlign w:val="superscript"/>
        </w:rPr>
        <w:t>nd</w:t>
      </w:r>
      <w:r>
        <w:rPr>
          <w:rFonts w:ascii="Arial" w:cs="Arial" w:eastAsia="Arial" w:hAnsi="Arial"/>
          <w:sz w:val="17"/>
          <w:szCs w:val="17"/>
          <w:color w:val="auto"/>
        </w:rPr>
        <w:t>) anniversary of the Closing Date (the “</w:t>
      </w:r>
      <w:r>
        <w:rPr>
          <w:rFonts w:ascii="Arial" w:cs="Arial" w:eastAsia="Arial" w:hAnsi="Arial"/>
          <w:sz w:val="17"/>
          <w:szCs w:val="17"/>
          <w:b w:val="1"/>
          <w:bCs w:val="1"/>
          <w:i w:val="1"/>
          <w:iCs w:val="1"/>
          <w:color w:val="auto"/>
        </w:rPr>
        <w:t>Disbursement Deadline</w:t>
      </w:r>
      <w:r>
        <w:rPr>
          <w:rFonts w:ascii="Arial" w:cs="Arial" w:eastAsia="Arial" w:hAnsi="Arial"/>
          <w:sz w:val="17"/>
          <w:szCs w:val="17"/>
          <w:color w:val="auto"/>
        </w:rPr>
        <w:t>”), Borrower shall no longer be entitled to any disbursement of said funds and Lender, on any date from and after the Disbursement Deadline, shall have the option (in its sole and absolute discretion) to apply the Earnout Reserve Funds to the payment of the Debt in such order, proportion and priority as Lender may determine in its sole and absolute discretion. In connection with any such application, Lender may (in its sole and absolute discretion) require payment by Borrower of the Yield Maintenance Amount and/or (if an Event of Default shall have occurred and/or be continuing) a Prepayment Fee.</w:t>
      </w:r>
      <w:r>
        <w:rPr>
          <w:rFonts w:ascii="Arial" w:cs="Arial" w:eastAsia="Arial" w:hAnsi="Arial"/>
          <w:sz w:val="17"/>
          <w:szCs w:val="17"/>
          <w:b w:val="1"/>
          <w:bCs w:val="1"/>
          <w:u w:val="single" w:color="auto"/>
          <w:color w:val="auto"/>
        </w:rPr>
        <w:t>Intentionally Omitted</w:t>
      </w:r>
      <w:r>
        <w:rPr>
          <w:rFonts w:ascii="Arial" w:cs="Arial" w:eastAsia="Arial" w:hAnsi="Arial"/>
          <w:sz w:val="17"/>
          <w:szCs w:val="17"/>
          <w:b w:val="1"/>
          <w:bCs w:val="1"/>
          <w:color w:val="auto"/>
        </w:rPr>
        <w:t>.</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2" w:name="page373"/>
    <w:bookmarkEnd w:id="372"/>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6.11 </w:t>
      </w:r>
      <w:r>
        <w:rPr>
          <w:rFonts w:ascii="Arial" w:cs="Arial" w:eastAsia="Arial" w:hAnsi="Arial"/>
          <w:sz w:val="18"/>
          <w:szCs w:val="18"/>
          <w:b w:val="1"/>
          <w:bCs w:val="1"/>
          <w:u w:val="single" w:color="auto"/>
          <w:color w:val="auto"/>
        </w:rPr>
        <w:t>Casualty and Condemnation Account</w:t>
      </w:r>
      <w:r>
        <w:rPr>
          <w:rFonts w:ascii="Arial" w:cs="Arial" w:eastAsia="Arial" w:hAnsi="Arial"/>
          <w:sz w:val="18"/>
          <w:szCs w:val="18"/>
          <w:color w:val="auto"/>
        </w:rPr>
        <w:t>. Borrower shall pay, or cause to be paid, to Lender all Insurance Proceeds or Awards due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any Casualty or Condemnation in accordance with the provisions of </w:t>
      </w:r>
      <w:r>
        <w:rPr>
          <w:rFonts w:ascii="Arial" w:cs="Arial" w:eastAsia="Arial" w:hAnsi="Arial"/>
          <w:sz w:val="18"/>
          <w:szCs w:val="18"/>
          <w:u w:val="single" w:color="auto"/>
          <w:color w:val="auto"/>
        </w:rPr>
        <w:t>Sections 5.2 and 5.3</w:t>
      </w:r>
      <w:r>
        <w:rPr>
          <w:rFonts w:ascii="Arial" w:cs="Arial" w:eastAsia="Arial" w:hAnsi="Arial"/>
          <w:sz w:val="18"/>
          <w:szCs w:val="18"/>
          <w:color w:val="auto"/>
        </w:rPr>
        <w:t>, which amounts shall be transferred into an Account (the “</w:t>
      </w:r>
      <w:r>
        <w:rPr>
          <w:rFonts w:ascii="Arial" w:cs="Arial" w:eastAsia="Arial" w:hAnsi="Arial"/>
          <w:sz w:val="18"/>
          <w:szCs w:val="18"/>
          <w:b w:val="1"/>
          <w:bCs w:val="1"/>
          <w:i w:val="1"/>
          <w:iCs w:val="1"/>
          <w:color w:val="auto"/>
        </w:rPr>
        <w:t>Casualty and Condemnation Account</w:t>
      </w:r>
      <w:r>
        <w:rPr>
          <w:rFonts w:ascii="Arial" w:cs="Arial" w:eastAsia="Arial" w:hAnsi="Arial"/>
          <w:sz w:val="18"/>
          <w:szCs w:val="18"/>
          <w:color w:val="auto"/>
        </w:rPr>
        <w:t xml:space="preserve">”). Amounts deposited from time to time into the Casualty and Condemnation Account pursuant to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are referred to herein as the “</w:t>
      </w:r>
      <w:r>
        <w:rPr>
          <w:rFonts w:ascii="Arial" w:cs="Arial" w:eastAsia="Arial" w:hAnsi="Arial"/>
          <w:sz w:val="18"/>
          <w:szCs w:val="18"/>
          <w:b w:val="1"/>
          <w:bCs w:val="1"/>
          <w:i w:val="1"/>
          <w:iCs w:val="1"/>
          <w:color w:val="auto"/>
        </w:rPr>
        <w:t>Casualty and Condemnation Funds</w:t>
      </w:r>
      <w:r>
        <w:rPr>
          <w:rFonts w:ascii="Arial" w:cs="Arial" w:eastAsia="Arial" w:hAnsi="Arial"/>
          <w:sz w:val="18"/>
          <w:szCs w:val="18"/>
          <w:color w:val="auto"/>
        </w:rPr>
        <w:t xml:space="preserve">”. All Casualty and Condemnation Funds shall be held, disbursed and/or applied in accordance with the provisions of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hereof.</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6.12 </w:t>
      </w:r>
      <w:r>
        <w:rPr>
          <w:rFonts w:ascii="Arial" w:cs="Arial" w:eastAsia="Arial" w:hAnsi="Arial"/>
          <w:sz w:val="17"/>
          <w:szCs w:val="17"/>
          <w:b w:val="1"/>
          <w:bCs w:val="1"/>
          <w:u w:val="single" w:color="auto"/>
          <w:color w:val="auto"/>
        </w:rPr>
        <w:t>Cash Collateral Funds</w:t>
      </w:r>
      <w:r>
        <w:rPr>
          <w:rFonts w:ascii="Arial" w:cs="Arial" w:eastAsia="Arial" w:hAnsi="Arial"/>
          <w:sz w:val="17"/>
          <w:szCs w:val="17"/>
          <w:color w:val="auto"/>
        </w:rPr>
        <w:t>. If a Trigger Period shall be continuing (other than a Trigger Period continuing solely because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continuance of a Mezzanine Trigger Period, or a Trigger Period continuing because of the continuance of a Lease Sweep Period), all Available Cash shall be paid to Lender, which amounts shall be transferred by Lender into an Account (the “</w:t>
      </w:r>
      <w:r>
        <w:rPr>
          <w:rFonts w:ascii="Arial" w:cs="Arial" w:eastAsia="Arial" w:hAnsi="Arial"/>
          <w:sz w:val="17"/>
          <w:szCs w:val="17"/>
          <w:b w:val="1"/>
          <w:bCs w:val="1"/>
          <w:i w:val="1"/>
          <w:iCs w:val="1"/>
          <w:color w:val="auto"/>
        </w:rPr>
        <w:t>Cash Collateral Account</w:t>
      </w:r>
      <w:r>
        <w:rPr>
          <w:rFonts w:ascii="Arial" w:cs="Arial" w:eastAsia="Arial" w:hAnsi="Arial"/>
          <w:sz w:val="17"/>
          <w:szCs w:val="17"/>
          <w:color w:val="auto"/>
        </w:rPr>
        <w:t xml:space="preserve">”) to be held by Lender as cash collateral for the Debt. Amounts on deposit from time to time in the Cash Collateral Account pursuant to this </w:t>
      </w:r>
      <w:r>
        <w:rPr>
          <w:rFonts w:ascii="Arial" w:cs="Arial" w:eastAsia="Arial" w:hAnsi="Arial"/>
          <w:sz w:val="17"/>
          <w:szCs w:val="17"/>
          <w:u w:val="single" w:color="auto"/>
          <w:color w:val="auto"/>
        </w:rPr>
        <w:t>Section 6.</w:t>
      </w:r>
      <w:r>
        <w:rPr>
          <w:rFonts w:ascii="Arial" w:cs="Arial" w:eastAsia="Arial" w:hAnsi="Arial"/>
          <w:sz w:val="17"/>
          <w:szCs w:val="17"/>
          <w:b w:val="1"/>
          <w:bCs w:val="1"/>
          <w:u w:val="single" w:color="auto"/>
          <w:color w:val="auto"/>
        </w:rPr>
        <w:t>12</w:t>
      </w:r>
      <w:r>
        <w:rPr>
          <w:rFonts w:ascii="Arial" w:cs="Arial" w:eastAsia="Arial" w:hAnsi="Arial"/>
          <w:sz w:val="17"/>
          <w:szCs w:val="17"/>
          <w:color w:val="auto"/>
        </w:rPr>
        <w:t xml:space="preserve"> are referred to as the “</w:t>
      </w:r>
      <w:r>
        <w:rPr>
          <w:rFonts w:ascii="Arial" w:cs="Arial" w:eastAsia="Arial" w:hAnsi="Arial"/>
          <w:sz w:val="17"/>
          <w:szCs w:val="17"/>
          <w:b w:val="1"/>
          <w:bCs w:val="1"/>
          <w:i w:val="1"/>
          <w:iCs w:val="1"/>
          <w:color w:val="auto"/>
        </w:rPr>
        <w:t>Cash Collateral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Funds</w:t>
      </w:r>
      <w:r>
        <w:rPr>
          <w:rFonts w:ascii="Arial" w:cs="Arial" w:eastAsia="Arial" w:hAnsi="Arial"/>
          <w:sz w:val="17"/>
          <w:szCs w:val="17"/>
          <w:color w:val="auto"/>
        </w:rPr>
        <w:t>”. Any Cash Collateral Funds on deposit in the Cash Collateral Account not previously disbursed or applied shall, upon the termination of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Trigger Period and so long as no other Trigger Period is then continuing (other than a Trigger Period continuing solely because of the continuance of a Mezzanine Trigger Period), be disbursed (i) if no Mezzanine Trigger Period has occurred and is continuing, to Borrower, or (ii) if a Mezzanine Trigger Period has occurred and is continuing, on the next occurring Monthly Payment Date in accordance </w:t>
      </w:r>
      <w:r>
        <w:rPr>
          <w:rFonts w:ascii="Arial" w:cs="Arial" w:eastAsia="Arial" w:hAnsi="Arial"/>
          <w:sz w:val="17"/>
          <w:szCs w:val="17"/>
          <w:u w:val="single" w:color="auto"/>
          <w:color w:val="auto"/>
        </w:rPr>
        <w:t>Section 6.16.1</w:t>
      </w:r>
      <w:r>
        <w:rPr>
          <w:rFonts w:ascii="Arial" w:cs="Arial" w:eastAsia="Arial" w:hAnsi="Arial"/>
          <w:sz w:val="17"/>
          <w:szCs w:val="17"/>
          <w:color w:val="auto"/>
        </w:rPr>
        <w:t>. Notwithstanding the foregoing, Lender shall have the right, but not the obligation, at any time during the continuance of an Event of Default, in its sole and absolute discretion to apply any and all Cash Collateral Funds then on deposit in the Cash Collateral Account to the Debt and the Other Obligations, any other amounts owed by Borrower to any Person and/or any other Property-related costs and expenses (including without limitation, operating expenses, capital expenditures, tenant improvements, tenant allowances and leasing commissions), in such order and in such manner as Lender shall elect in its sole and absolute discretion, including to make a prepayment of principal (together with the applicable Prepayment Fee and/or Liquidated Damages Amount, if any, applicable thereto) or any other amounts due hereunder.</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3" w:name="page374"/>
    <w:bookmarkEnd w:id="373"/>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6.13</w:t>
      </w:r>
      <w:r>
        <w:rPr>
          <w:sz w:val="20"/>
          <w:szCs w:val="20"/>
          <w:color w:val="auto"/>
        </w:rPr>
        <w:tab/>
      </w:r>
      <w:r>
        <w:rPr>
          <w:rFonts w:ascii="Arial" w:cs="Arial" w:eastAsia="Arial" w:hAnsi="Arial"/>
          <w:sz w:val="15"/>
          <w:szCs w:val="15"/>
          <w:b w:val="1"/>
          <w:bCs w:val="1"/>
          <w:u w:val="single" w:color="auto"/>
          <w:color w:val="auto"/>
        </w:rPr>
        <w:t>Lease Sweep Funds</w:t>
      </w:r>
      <w:r>
        <w:rPr>
          <w:rFonts w:ascii="Arial" w:cs="Arial" w:eastAsia="Arial" w:hAnsi="Arial"/>
          <w:sz w:val="15"/>
          <w:szCs w:val="15"/>
          <w:b w:val="1"/>
          <w:bCs w:val="1"/>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6.13.1</w:t>
      </w:r>
      <w:r>
        <w:rPr>
          <w:sz w:val="20"/>
          <w:szCs w:val="20"/>
          <w:color w:val="auto"/>
        </w:rPr>
        <w:tab/>
      </w:r>
      <w:r>
        <w:rPr>
          <w:rFonts w:ascii="Arial" w:cs="Arial" w:eastAsia="Arial" w:hAnsi="Arial"/>
          <w:sz w:val="15"/>
          <w:szCs w:val="15"/>
          <w:b w:val="1"/>
          <w:bCs w:val="1"/>
          <w:u w:val="single" w:color="auto"/>
          <w:color w:val="auto"/>
        </w:rPr>
        <w:t>Deposits of Lease Sweep Funds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63" w:lineRule="auto"/>
        <w:tabs>
          <w:tab w:leader="none" w:pos="202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On each Monthly Payment Date during a Lease Sweep Period, all Available Cash shall be paid to Lender, which amounts shall be transferred by Lender into an Account (the “</w:t>
      </w:r>
      <w:r>
        <w:rPr>
          <w:rFonts w:ascii="Arial" w:cs="Arial" w:eastAsia="Arial" w:hAnsi="Arial"/>
          <w:sz w:val="18"/>
          <w:szCs w:val="18"/>
          <w:b w:val="1"/>
          <w:bCs w:val="1"/>
          <w:i w:val="1"/>
          <w:iCs w:val="1"/>
          <w:color w:val="auto"/>
        </w:rPr>
        <w:t>Lease Sweep Account</w:t>
      </w:r>
      <w:r>
        <w:rPr>
          <w:rFonts w:ascii="Arial" w:cs="Arial" w:eastAsia="Arial" w:hAnsi="Arial"/>
          <w:sz w:val="18"/>
          <w:szCs w:val="18"/>
          <w:color w:val="auto"/>
        </w:rPr>
        <w:t>”). Amounts deposited from time to time into the Lease Sweep Account shall collectively be referred to herein as the “</w:t>
      </w:r>
      <w:r>
        <w:rPr>
          <w:rFonts w:ascii="Arial" w:cs="Arial" w:eastAsia="Arial" w:hAnsi="Arial"/>
          <w:sz w:val="18"/>
          <w:szCs w:val="18"/>
          <w:b w:val="1"/>
          <w:bCs w:val="1"/>
          <w:i w:val="1"/>
          <w:iCs w:val="1"/>
          <w:color w:val="auto"/>
        </w:rPr>
        <w:t>Lease Sweep Funds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00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In addition to the deposits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all Lease Sweep Lease Termination Payments shall be deposited into the Lease Sweep Account and held as Lease Sweep Funds and shall be disbursed and released as set forth in </w:t>
      </w:r>
      <w:r>
        <w:rPr>
          <w:rFonts w:ascii="Arial" w:cs="Arial" w:eastAsia="Arial" w:hAnsi="Arial"/>
          <w:sz w:val="18"/>
          <w:szCs w:val="18"/>
          <w:u w:val="single" w:color="auto"/>
          <w:color w:val="auto"/>
        </w:rPr>
        <w:t>Section 6.13.2</w:t>
      </w:r>
      <w:r>
        <w:rPr>
          <w:rFonts w:ascii="Arial" w:cs="Arial" w:eastAsia="Arial" w:hAnsi="Arial"/>
          <w:sz w:val="18"/>
          <w:szCs w:val="18"/>
          <w:color w:val="auto"/>
        </w:rPr>
        <w:t xml:space="preserve"> below, and Borrower shall advise Lender at the time of receipt thereof of the nature of such receipt so that Lender shall have sufficient time to instruct the Deposit Bank to deposit and hold such amounts in the Lease Sweep Account pursuant to the Cash Management Agreement.</w:t>
      </w:r>
    </w:p>
    <w:p>
      <w:pPr>
        <w:spacing w:after="0" w:line="186" w:lineRule="exact"/>
        <w:rPr>
          <w:rFonts w:ascii="Arial" w:cs="Arial" w:eastAsia="Arial" w:hAnsi="Arial"/>
          <w:sz w:val="18"/>
          <w:szCs w:val="18"/>
          <w:color w:val="auto"/>
        </w:rPr>
      </w:pPr>
    </w:p>
    <w:p>
      <w:pPr>
        <w:jc w:val="both"/>
        <w:ind w:firstLine="1304"/>
        <w:spacing w:after="0" w:line="311" w:lineRule="auto"/>
        <w:tabs>
          <w:tab w:leader="none" w:pos="2111" w:val="left"/>
        </w:tabs>
        <w:numPr>
          <w:ilvl w:val="0"/>
          <w:numId w:val="402"/>
        </w:numPr>
        <w:rPr>
          <w:rFonts w:ascii="Arial" w:cs="Arial" w:eastAsia="Arial" w:hAnsi="Arial"/>
          <w:sz w:val="16"/>
          <w:szCs w:val="16"/>
          <w:color w:val="auto"/>
        </w:rPr>
      </w:pPr>
      <w:r>
        <w:rPr>
          <w:rFonts w:ascii="Arial" w:cs="Arial" w:eastAsia="Arial" w:hAnsi="Arial"/>
          <w:sz w:val="16"/>
          <w:szCs w:val="16"/>
          <w:color w:val="auto"/>
        </w:rPr>
        <w:t>In the event that Lease Sweep Funds are being swept (or are applicable to) more than one Lease Sweep Lease, such Lease Sweep Funds shall be reasonably allocated by Lender as between or among such related Lease Sweep Space (provided that any Lease Sweep Lease Termination Payments received with respect to a Lease Sweep Lease shall be allocated by Lender to such related Lease Sweep Space).</w:t>
      </w:r>
    </w:p>
    <w:p>
      <w:pPr>
        <w:spacing w:after="0" w:line="14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6.13.2</w:t>
      </w:r>
      <w:r>
        <w:rPr>
          <w:sz w:val="20"/>
          <w:szCs w:val="20"/>
          <w:color w:val="auto"/>
        </w:rPr>
        <w:tab/>
      </w:r>
      <w:r>
        <w:rPr>
          <w:rFonts w:ascii="Arial" w:cs="Arial" w:eastAsia="Arial" w:hAnsi="Arial"/>
          <w:sz w:val="15"/>
          <w:szCs w:val="15"/>
          <w:b w:val="1"/>
          <w:bCs w:val="1"/>
          <w:u w:val="single" w:color="auto"/>
          <w:color w:val="auto"/>
        </w:rPr>
        <w:t>Release of Lease Sweep Funds</w:t>
      </w:r>
      <w:r>
        <w:rPr>
          <w:rFonts w:ascii="Arial" w:cs="Arial" w:eastAsia="Arial" w:hAnsi="Arial"/>
          <w:sz w:val="15"/>
          <w:szCs w:val="15"/>
          <w:color w:val="auto"/>
        </w:rPr>
        <w:t>.</w:t>
      </w:r>
    </w:p>
    <w:p>
      <w:pPr>
        <w:spacing w:after="0" w:line="229" w:lineRule="exact"/>
        <w:rPr>
          <w:sz w:val="20"/>
          <w:szCs w:val="20"/>
          <w:color w:val="auto"/>
        </w:rPr>
      </w:pPr>
    </w:p>
    <w:p>
      <w:pPr>
        <w:jc w:val="both"/>
        <w:ind w:firstLine="1304"/>
        <w:spacing w:after="0" w:line="284" w:lineRule="auto"/>
        <w:tabs>
          <w:tab w:leader="none" w:pos="202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Provided no Event of Default is continuing, Lender shall direct Servicer to disburse Lease Sweep Funds to Borrower out of the Lease Sweep Account, within ten (10) days after the delivery by Borrower to Lender of a request therefor (but not more often than once per month), in increments of at least $10,000 (or a lesser amount if the total amount in the Lease Sweep Account is less than $10,000, in which case only one disbursement of the amount remaining in the account shall be made) provided that: (i) such disbursement is for Approved Lease Sweep Space Leasing Expenses for the Lease Sweep Space applicable to such Lease Sweep Funds; (ii) the request for disbursement is accompanied by (A) an Officer’s Certificate from Borrower (1) stating that the items to be funded by the requested disbursement are Approved Lease Sweep Space Leasing Expenses, and a description thereof, (2) stating that any tenant improvements at the Property to be funded by the requested disbursement (or the relevant portion thereof as to which such request for funds relates) have been completed in a good and workmanlike manner and in accordance with all applicable Legal Requirements, (3) identifying each Person that supplied materials or labor in connection with the Approved Lease Sweep Space Leasing Expenses to be funded by the requested disbursement, (4) stating that each such Person has been paid in full or will be paid in full upon such disbursement, or if such payment is a progress payment, that such payment represents full payment to such Person, less any applicable retention amount, for work completed through the date of the relevant invoice from such Person, (5) stating that the Approved Lease Sweep Space Leasing Expenses (or the relevant portions thereof) to be funded from the disbursement in question have not been the subject of a previous disbursement from any Account or included in any previous disbursement of Operating Expenses or Capital Expenditures, (6) stating that all previous disbursements of Lease Sweep Funds have been used to pay the previously identified Approved Lease Sweep Space Leasing Expenses, and (7) stating that all outstanding trade payables (other than those to be paid from the requested disbursement or those constituting Permitted Indebtedness) have been paid in full other than any applicable retention amount, (B) a copy of any license, permit or other approval by any Governmental Authority required in connection with the tenant improvements and not previously delivered to Lender, (C) copies of appropriate lien waivers, conditional lien waivers or other evidence of payment reasonably satisfactory to Lender, (D) at Lender’s option, a title search for the Property indicating that the Property is free from all Liens, claims and other encumbrances not previously approved by Lender, (E) if requested by Lender, with respect to disbursements from the Lease Sweep Account for tenant improvement costs, a current Tenant estoppel certificate in form and substance acceptable to Lender, and (F) such other evidence as Lender shall reasonably request to demonstrate that the Approved Lease Sweep Space Leasing Expenses to be funded by the requested disbursement have been completed and are paid for or will be paid upon such disbursement to Borrower (or the portion thereof as to which such request for disbursement has been submitted has been completed and is paid for (other than any retention amount which is not a part of such disbursement request) or will be paid upon such disbursement to Borrower).</w:t>
      </w: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4" w:name="page375"/>
    <w:bookmarkEnd w:id="374"/>
    <w:p>
      <w:pPr>
        <w:jc w:val="both"/>
        <w:ind w:firstLine="1304"/>
        <w:spacing w:after="0" w:line="263" w:lineRule="auto"/>
        <w:tabs>
          <w:tab w:leader="none" w:pos="2022"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Provided no Event of Default is continuing, funds on deposit in the Lease Sweep Account with respect to a Lease Sweep Space not previously disbursed or applied shall be disbursed (x) provided no Trigger Period is continuing, to Borrower or (y) if a Trigger Period is continuing, on the next occurring Monthly Payment Date in accordance </w:t>
      </w:r>
      <w:r>
        <w:rPr>
          <w:rFonts w:ascii="Arial" w:cs="Arial" w:eastAsia="Arial" w:hAnsi="Arial"/>
          <w:sz w:val="18"/>
          <w:szCs w:val="18"/>
          <w:u w:val="single" w:color="auto"/>
          <w:color w:val="auto"/>
        </w:rPr>
        <w:t>Section 6.16.1</w:t>
      </w:r>
      <w:r>
        <w:rPr>
          <w:rFonts w:ascii="Arial" w:cs="Arial" w:eastAsia="Arial" w:hAnsi="Arial"/>
          <w:sz w:val="18"/>
          <w:szCs w:val="18"/>
          <w:color w:val="auto"/>
        </w:rPr>
        <w:t>; in each case, as follows:</w:t>
      </w:r>
    </w:p>
    <w:p>
      <w:pPr>
        <w:spacing w:after="0" w:line="183" w:lineRule="exact"/>
        <w:rPr>
          <w:rFonts w:ascii="Arial" w:cs="Arial" w:eastAsia="Arial" w:hAnsi="Arial"/>
          <w:sz w:val="18"/>
          <w:szCs w:val="18"/>
          <w:color w:val="auto"/>
        </w:rPr>
      </w:pPr>
    </w:p>
    <w:p>
      <w:pPr>
        <w:jc w:val="both"/>
        <w:ind w:left="660" w:firstLine="1292"/>
        <w:spacing w:after="0" w:line="291" w:lineRule="auto"/>
        <w:tabs>
          <w:tab w:leader="none" w:pos="2502" w:val="left"/>
        </w:tabs>
        <w:numPr>
          <w:ilvl w:val="1"/>
          <w:numId w:val="404"/>
        </w:numPr>
        <w:rPr>
          <w:rFonts w:ascii="Arial" w:cs="Arial" w:eastAsia="Arial" w:hAnsi="Arial"/>
          <w:sz w:val="16"/>
          <w:szCs w:val="16"/>
          <w:color w:val="auto"/>
        </w:rPr>
      </w:pPr>
      <w:r>
        <w:rPr>
          <w:rFonts w:ascii="Arial" w:cs="Arial" w:eastAsia="Arial" w:hAnsi="Arial"/>
          <w:sz w:val="16"/>
          <w:szCs w:val="16"/>
          <w:color w:val="auto"/>
        </w:rPr>
        <w:t xml:space="preserve">if the Lease Sweep Period for such Lease Sweep Space ceased as described by </w:t>
      </w:r>
      <w:r>
        <w:rPr>
          <w:rFonts w:ascii="Arial" w:cs="Arial" w:eastAsia="Arial" w:hAnsi="Arial"/>
          <w:sz w:val="16"/>
          <w:szCs w:val="16"/>
          <w:u w:val="single" w:color="auto"/>
          <w:color w:val="auto"/>
        </w:rPr>
        <w:t>clause (ii)(A) or (B)</w:t>
      </w:r>
      <w:r>
        <w:rPr>
          <w:rFonts w:ascii="Arial" w:cs="Arial" w:eastAsia="Arial" w:hAnsi="Arial"/>
          <w:sz w:val="16"/>
          <w:szCs w:val="16"/>
          <w:color w:val="auto"/>
        </w:rPr>
        <w:t xml:space="preserve"> of the definition of “Lease Sweep Period”, any such remaining Lease Sweep Funds applicable to the Lease Sweep Space in question will be disbursed once all Occupancy Conditions are satisfied with respect to such Lease Sweep Space, less (x) any Unpaid TILC Obligations Amount, as determined by Lender, which amount will be retained in the Lease Sweep Account and will be periodically disbursed for Approved Lease Sweep Space Leasing Expenses in accordance with </w:t>
      </w:r>
      <w:r>
        <w:rPr>
          <w:rFonts w:ascii="Arial" w:cs="Arial" w:eastAsia="Arial" w:hAnsi="Arial"/>
          <w:sz w:val="16"/>
          <w:szCs w:val="16"/>
          <w:u w:val="single" w:color="auto"/>
          <w:color w:val="auto"/>
        </w:rPr>
        <w:t>Section 6.13.2(a)</w:t>
      </w:r>
      <w:r>
        <w:rPr>
          <w:rFonts w:ascii="Arial" w:cs="Arial" w:eastAsia="Arial" w:hAnsi="Arial"/>
          <w:sz w:val="16"/>
          <w:szCs w:val="16"/>
          <w:color w:val="auto"/>
        </w:rPr>
        <w:t xml:space="preserve"> and/or (y) any Remaining Rent Abatement Amount, as determined by Lender, which amount will be retained in the Lease Sweep Account and will be disbursed on each Monthly Payment Date in amounts sufficient to replicate full contractual rents under each applicable Lease in accordance with a schedule to be delivered to, and reasonably approved by, Lender;</w:t>
      </w:r>
    </w:p>
    <w:p>
      <w:pPr>
        <w:spacing w:after="0" w:line="166" w:lineRule="exact"/>
        <w:rPr>
          <w:rFonts w:ascii="Arial" w:cs="Arial" w:eastAsia="Arial" w:hAnsi="Arial"/>
          <w:sz w:val="16"/>
          <w:szCs w:val="16"/>
          <w:color w:val="auto"/>
        </w:rPr>
      </w:pPr>
    </w:p>
    <w:p>
      <w:pPr>
        <w:jc w:val="both"/>
        <w:ind w:left="660" w:firstLine="1292"/>
        <w:spacing w:after="0" w:line="311" w:lineRule="auto"/>
        <w:tabs>
          <w:tab w:leader="none" w:pos="2624" w:val="left"/>
        </w:tabs>
        <w:numPr>
          <w:ilvl w:val="1"/>
          <w:numId w:val="404"/>
        </w:numPr>
        <w:rPr>
          <w:rFonts w:ascii="Arial" w:cs="Arial" w:eastAsia="Arial" w:hAnsi="Arial"/>
          <w:sz w:val="16"/>
          <w:szCs w:val="16"/>
          <w:color w:val="auto"/>
        </w:rPr>
      </w:pPr>
      <w:r>
        <w:rPr>
          <w:rFonts w:ascii="Arial" w:cs="Arial" w:eastAsia="Arial" w:hAnsi="Arial"/>
          <w:sz w:val="16"/>
          <w:szCs w:val="16"/>
          <w:color w:val="auto"/>
        </w:rPr>
        <w:t xml:space="preserve">if the Lease Sweep Period for such Lease Sweep Space ceased as described by </w:t>
      </w:r>
      <w:r>
        <w:rPr>
          <w:rFonts w:ascii="Arial" w:cs="Arial" w:eastAsia="Arial" w:hAnsi="Arial"/>
          <w:sz w:val="16"/>
          <w:szCs w:val="16"/>
          <w:u w:val="single" w:color="auto"/>
          <w:color w:val="auto"/>
        </w:rPr>
        <w:t>clause (ii) (C), (D), or (E)(x)</w:t>
      </w:r>
      <w:r>
        <w:rPr>
          <w:rFonts w:ascii="Arial" w:cs="Arial" w:eastAsia="Arial" w:hAnsi="Arial"/>
          <w:sz w:val="16"/>
          <w:szCs w:val="16"/>
          <w:color w:val="auto"/>
        </w:rPr>
        <w:t xml:space="preserve"> of the definition of “Lease Sweep Period”, all remaining Lease Sweep Funds applicable to the Lease Sweep Space in question will be disbursed once the applicable conditions described in </w:t>
      </w:r>
      <w:r>
        <w:rPr>
          <w:rFonts w:ascii="Arial" w:cs="Arial" w:eastAsia="Arial" w:hAnsi="Arial"/>
          <w:sz w:val="16"/>
          <w:szCs w:val="16"/>
          <w:u w:val="single" w:color="auto"/>
          <w:color w:val="auto"/>
        </w:rPr>
        <w:t>clause (ii)(C), (D), or (E)(x)</w:t>
      </w:r>
      <w:r>
        <w:rPr>
          <w:rFonts w:ascii="Arial" w:cs="Arial" w:eastAsia="Arial" w:hAnsi="Arial"/>
          <w:sz w:val="16"/>
          <w:szCs w:val="16"/>
          <w:color w:val="auto"/>
        </w:rPr>
        <w:t xml:space="preserve"> of the definition of “Lease Sweep Period” have been met; or</w:t>
      </w:r>
    </w:p>
    <w:p>
      <w:pPr>
        <w:spacing w:after="0" w:line="148" w:lineRule="exact"/>
        <w:rPr>
          <w:rFonts w:ascii="Arial" w:cs="Arial" w:eastAsia="Arial" w:hAnsi="Arial"/>
          <w:sz w:val="16"/>
          <w:szCs w:val="16"/>
          <w:color w:val="auto"/>
        </w:rPr>
      </w:pPr>
    </w:p>
    <w:p>
      <w:pPr>
        <w:jc w:val="both"/>
        <w:ind w:left="660" w:firstLine="1292"/>
        <w:spacing w:after="0" w:line="263" w:lineRule="auto"/>
        <w:tabs>
          <w:tab w:leader="none" w:pos="261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if the Lease Sweep Period for such Lease Sweep Space ceased as described by </w:t>
      </w:r>
      <w:r>
        <w:rPr>
          <w:rFonts w:ascii="Arial" w:cs="Arial" w:eastAsia="Arial" w:hAnsi="Arial"/>
          <w:sz w:val="18"/>
          <w:szCs w:val="18"/>
          <w:u w:val="single" w:color="auto"/>
          <w:color w:val="auto"/>
        </w:rPr>
        <w:t>clause (ii)(E)(y)</w:t>
      </w:r>
      <w:r>
        <w:rPr>
          <w:rFonts w:ascii="Arial" w:cs="Arial" w:eastAsia="Arial" w:hAnsi="Arial"/>
          <w:sz w:val="18"/>
          <w:szCs w:val="18"/>
          <w:color w:val="auto"/>
        </w:rPr>
        <w:t xml:space="preserve"> of the definition of “Lease Sweep Period”, all remaining Lease Sweep Funds applicable to the Lease Sweep Space in question will be disbursed once the conditions described in </w:t>
      </w:r>
      <w:r>
        <w:rPr>
          <w:rFonts w:ascii="Arial" w:cs="Arial" w:eastAsia="Arial" w:hAnsi="Arial"/>
          <w:sz w:val="18"/>
          <w:szCs w:val="18"/>
          <w:u w:val="single" w:color="auto"/>
          <w:color w:val="auto"/>
        </w:rPr>
        <w:t>clause (ii)(E)(x)</w:t>
      </w:r>
      <w:r>
        <w:rPr>
          <w:rFonts w:ascii="Arial" w:cs="Arial" w:eastAsia="Arial" w:hAnsi="Arial"/>
          <w:sz w:val="18"/>
          <w:szCs w:val="18"/>
          <w:color w:val="auto"/>
        </w:rPr>
        <w:t xml:space="preserve"> of the definition of “Lease Sweep Period” have been met.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5" w:name="page376"/>
    <w:bookmarkEnd w:id="375"/>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6.14</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6.15</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6.16</w:t>
      </w:r>
      <w:r>
        <w:rPr>
          <w:sz w:val="20"/>
          <w:szCs w:val="20"/>
          <w:color w:val="auto"/>
        </w:rPr>
        <w:tab/>
      </w:r>
      <w:r>
        <w:rPr>
          <w:rFonts w:ascii="Arial" w:cs="Arial" w:eastAsia="Arial" w:hAnsi="Arial"/>
          <w:sz w:val="16"/>
          <w:szCs w:val="16"/>
          <w:b w:val="1"/>
          <w:bCs w:val="1"/>
          <w:u w:val="single" w:color="auto"/>
          <w:color w:val="auto"/>
        </w:rPr>
        <w:t>Property Cash Flow Allocation</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6.16.1 </w:t>
      </w:r>
      <w:r>
        <w:rPr>
          <w:rFonts w:ascii="Arial" w:cs="Arial" w:eastAsia="Arial" w:hAnsi="Arial"/>
          <w:sz w:val="18"/>
          <w:szCs w:val="18"/>
          <w:b w:val="1"/>
          <w:bCs w:val="1"/>
          <w:u w:val="single" w:color="auto"/>
          <w:color w:val="auto"/>
        </w:rPr>
        <w:t>Order of Priority of Funds in Deposit Account</w:t>
      </w:r>
      <w:r>
        <w:rPr>
          <w:rFonts w:ascii="Arial" w:cs="Arial" w:eastAsia="Arial" w:hAnsi="Arial"/>
          <w:sz w:val="18"/>
          <w:szCs w:val="18"/>
          <w:color w:val="auto"/>
        </w:rPr>
        <w:t>. On each Monthly Payment Date during the continuance of a Trigger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during the continuance of an Event of Default, all funds deposited into the Deposit Account during the immediately preceding Interest Period shall be applied on such Monthly Payment Date in the following order of priority:</w:t>
      </w:r>
    </w:p>
    <w:p>
      <w:pPr>
        <w:spacing w:after="0" w:line="180" w:lineRule="exact"/>
        <w:rPr>
          <w:sz w:val="20"/>
          <w:szCs w:val="20"/>
          <w:color w:val="auto"/>
        </w:rPr>
      </w:pPr>
    </w:p>
    <w:p>
      <w:pPr>
        <w:ind w:left="2620" w:hanging="668"/>
        <w:spacing w:after="0"/>
        <w:tabs>
          <w:tab w:leader="none" w:pos="26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First, to the Tax Account, to make the required payments of Tax Funds as required under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Second, to the Insurance Account, to make any required payments of Insurance Funds as required under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660" w:firstLine="1292"/>
        <w:spacing w:after="0" w:line="277" w:lineRule="auto"/>
        <w:tabs>
          <w:tab w:leader="none" w:pos="263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Third, to Lender, funds sufficient to pay the Monthly Debt Service Payment Amount, applied first to the payment of interest computed at the Interest Rate with the remainder applied to the reduction of the Outstanding Principal Balance;</w:t>
      </w:r>
    </w:p>
    <w:p>
      <w:pPr>
        <w:spacing w:after="0" w:line="170" w:lineRule="exact"/>
        <w:rPr>
          <w:rFonts w:ascii="Arial" w:cs="Arial" w:eastAsia="Arial" w:hAnsi="Arial"/>
          <w:sz w:val="18"/>
          <w:szCs w:val="18"/>
          <w:color w:val="auto"/>
        </w:rPr>
      </w:pPr>
    </w:p>
    <w:p>
      <w:pPr>
        <w:ind w:left="2640" w:hanging="688"/>
        <w:spacing w:after="0"/>
        <w:tabs>
          <w:tab w:leader="none" w:pos="264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Fourth, to the Capital Expenditure Account, to make the required payments of Capital Expenditure Funds as required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under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620" w:hanging="668"/>
        <w:spacing w:after="0"/>
        <w:tabs>
          <w:tab w:leader="none" w:pos="262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Fifth, to the Rollover Account, to make the required payments of Rollover Funds as required under </w:t>
      </w:r>
      <w:r>
        <w:rPr>
          <w:rFonts w:ascii="Arial" w:cs="Arial" w:eastAsia="Arial" w:hAnsi="Arial"/>
          <w:sz w:val="16"/>
          <w:szCs w:val="16"/>
          <w:u w:val="single" w:color="auto"/>
          <w:color w:val="auto"/>
        </w:rPr>
        <w:t>Section 6.6</w:t>
      </w:r>
      <w:r>
        <w:rPr>
          <w:rFonts w:ascii="Arial" w:cs="Arial" w:eastAsia="Arial" w:hAnsi="Arial"/>
          <w:sz w:val="16"/>
          <w:szCs w:val="16"/>
          <w:color w:val="auto"/>
        </w:rPr>
        <w:t>; and</w:t>
      </w:r>
    </w:p>
    <w:p>
      <w:pPr>
        <w:spacing w:after="0" w:line="248" w:lineRule="exact"/>
        <w:rPr>
          <w:rFonts w:ascii="Arial" w:cs="Arial" w:eastAsia="Arial" w:hAnsi="Arial"/>
          <w:sz w:val="16"/>
          <w:szCs w:val="16"/>
          <w:color w:val="auto"/>
        </w:rPr>
      </w:pPr>
    </w:p>
    <w:p>
      <w:pPr>
        <w:ind w:left="2580" w:hanging="628"/>
        <w:spacing w:after="0"/>
        <w:tabs>
          <w:tab w:leader="none" w:pos="25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Sixth, to Lender, of any other amounts then due and payable under the Loan Documents;</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541"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Seventh, to Borrower, funds in an amount equal to (I) the lesser of (A) Monthly Operating Expense Budgeted Amount and (B) Actual Opex for the applicable month minus (II) any OpEx Overpayment Amount received by Borrower that has not been previously deducted pursuant to this </w:t>
      </w:r>
      <w:r>
        <w:rPr>
          <w:rFonts w:ascii="Arial" w:cs="Arial" w:eastAsia="Arial" w:hAnsi="Arial"/>
          <w:sz w:val="18"/>
          <w:szCs w:val="18"/>
          <w:u w:val="single" w:color="auto"/>
          <w:color w:val="auto"/>
        </w:rPr>
        <w:t>clause (vii)(II)</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580" w:hanging="628"/>
        <w:spacing w:after="0"/>
        <w:tabs>
          <w:tab w:leader="none" w:pos="25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Eighth, to Borrower, payments for Approved Extraordinary Operating Expenses, if any;</w:t>
      </w:r>
    </w:p>
    <w:p>
      <w:pPr>
        <w:spacing w:after="0" w:line="225" w:lineRule="exact"/>
        <w:rPr>
          <w:rFonts w:ascii="Arial" w:cs="Arial" w:eastAsia="Arial" w:hAnsi="Arial"/>
          <w:sz w:val="18"/>
          <w:szCs w:val="18"/>
          <w:color w:val="auto"/>
        </w:rPr>
      </w:pPr>
    </w:p>
    <w:p>
      <w:pPr>
        <w:ind w:left="660" w:right="20" w:firstLine="1292"/>
        <w:spacing w:after="0" w:line="308" w:lineRule="auto"/>
        <w:tabs>
          <w:tab w:leader="none" w:pos="2816" w:val="left"/>
        </w:tabs>
        <w:numPr>
          <w:ilvl w:val="0"/>
          <w:numId w:val="405"/>
        </w:numPr>
        <w:rPr>
          <w:rFonts w:ascii="Arial" w:cs="Arial" w:eastAsia="Arial" w:hAnsi="Arial"/>
          <w:sz w:val="17"/>
          <w:szCs w:val="17"/>
          <w:color w:val="auto"/>
        </w:rPr>
      </w:pPr>
      <w:r>
        <w:rPr>
          <w:rFonts w:ascii="Arial" w:cs="Arial" w:eastAsia="Arial" w:hAnsi="Arial"/>
          <w:sz w:val="17"/>
          <w:szCs w:val="17"/>
          <w:color w:val="auto"/>
        </w:rPr>
        <w:t>Ninth, if a New Mezzanine Loan (or any portion thereof) is outstanding to make payments in the amount of the monthly debt service payment payable under the terms of the New Mezzanine Loan, to the lender under the New Mezzanine Loan; and;</w:t>
      </w:r>
    </w:p>
    <w:p>
      <w:pPr>
        <w:spacing w:after="0" w:line="146" w:lineRule="exact"/>
        <w:rPr>
          <w:rFonts w:ascii="Arial" w:cs="Arial" w:eastAsia="Arial" w:hAnsi="Arial"/>
          <w:sz w:val="17"/>
          <w:szCs w:val="17"/>
          <w:color w:val="auto"/>
        </w:rPr>
      </w:pPr>
    </w:p>
    <w:p>
      <w:pPr>
        <w:ind w:left="2680" w:hanging="728"/>
        <w:spacing w:after="0"/>
        <w:tabs>
          <w:tab w:leader="none" w:pos="268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Lastly, all amounts remaining after payment of the amounts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above (the “</w:t>
      </w:r>
      <w:r>
        <w:rPr>
          <w:rFonts w:ascii="Arial" w:cs="Arial" w:eastAsia="Arial" w:hAnsi="Arial"/>
          <w:sz w:val="16"/>
          <w:szCs w:val="16"/>
          <w:b w:val="1"/>
          <w:bCs w:val="1"/>
          <w:i w:val="1"/>
          <w:iCs w:val="1"/>
          <w:color w:val="auto"/>
        </w:rPr>
        <w:t>Available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300" w:firstLine="1301"/>
        <w:spacing w:after="0" w:line="277" w:lineRule="auto"/>
        <w:tabs>
          <w:tab w:leader="none" w:pos="3309"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during a Trigger Period continuing due to a Lease Sweep Period (regardless of whether any other Trigger Period is continuing), to the Lease Sweep Account to be held and disbursed in accordance with </w:t>
      </w:r>
      <w:r>
        <w:rPr>
          <w:rFonts w:ascii="Arial" w:cs="Arial" w:eastAsia="Arial" w:hAnsi="Arial"/>
          <w:sz w:val="18"/>
          <w:szCs w:val="18"/>
          <w:u w:val="single" w:color="auto"/>
          <w:color w:val="auto"/>
        </w:rPr>
        <w:t>Section 6.13</w:t>
      </w:r>
      <w:r>
        <w:rPr>
          <w:rFonts w:ascii="Arial" w:cs="Arial" w:eastAsia="Arial" w:hAnsi="Arial"/>
          <w:sz w:val="18"/>
          <w:szCs w:val="18"/>
          <w:color w:val="auto"/>
        </w:rPr>
        <w:t>; or</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6" w:name="page377"/>
    <w:bookmarkEnd w:id="376"/>
    <w:p>
      <w:pPr>
        <w:ind w:left="1300" w:right="560" w:firstLine="1301"/>
        <w:spacing w:after="0" w:line="277" w:lineRule="auto"/>
        <w:tabs>
          <w:tab w:leader="none" w:pos="315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provided no Lease Sweep Period is continuing, to the Cash Collateral Account to be held or disbursed in accordance with </w:t>
      </w:r>
      <w:r>
        <w:rPr>
          <w:rFonts w:ascii="Arial" w:cs="Arial" w:eastAsia="Arial" w:hAnsi="Arial"/>
          <w:sz w:val="18"/>
          <w:szCs w:val="18"/>
          <w:u w:val="single" w:color="auto"/>
          <w:color w:val="auto"/>
        </w:rPr>
        <w:t>Section 6.12</w:t>
      </w:r>
    </w:p>
    <w:p>
      <w:pPr>
        <w:spacing w:after="0" w:line="16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6.16.2 </w:t>
      </w:r>
      <w:r>
        <w:rPr>
          <w:rFonts w:ascii="Arial" w:cs="Arial" w:eastAsia="Arial" w:hAnsi="Arial"/>
          <w:sz w:val="18"/>
          <w:szCs w:val="18"/>
          <w:b w:val="1"/>
          <w:bCs w:val="1"/>
          <w:u w:val="single" w:color="auto"/>
          <w:color w:val="auto"/>
        </w:rPr>
        <w:t>Failure to Make Payments</w:t>
      </w:r>
      <w:r>
        <w:rPr>
          <w:rFonts w:ascii="Arial" w:cs="Arial" w:eastAsia="Arial" w:hAnsi="Arial"/>
          <w:sz w:val="18"/>
          <w:szCs w:val="18"/>
          <w:color w:val="auto"/>
        </w:rPr>
        <w:t>. The failure of Borrower to make all of the payments (whether to Lender to any other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payee) required under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(viii) of </w:t>
      </w:r>
      <w:r>
        <w:rPr>
          <w:rFonts w:ascii="Arial" w:cs="Arial" w:eastAsia="Arial" w:hAnsi="Arial"/>
          <w:sz w:val="18"/>
          <w:szCs w:val="18"/>
          <w:u w:val="single" w:color="auto"/>
          <w:color w:val="auto"/>
        </w:rPr>
        <w:t>Section 6.16.1</w:t>
      </w:r>
      <w:r>
        <w:rPr>
          <w:rFonts w:ascii="Arial" w:cs="Arial" w:eastAsia="Arial" w:hAnsi="Arial"/>
          <w:sz w:val="18"/>
          <w:szCs w:val="18"/>
          <w:color w:val="auto"/>
        </w:rPr>
        <w:t xml:space="preserve"> in full on each Monthly Payment Date shall constitute an Event of Default under this Agreement; provided, however, if adequate funds are available in the Deposit Account (as opposed to subaccounts thereof) for such payments, and Borrower is not otherwise in Default hereunder, the failure by the Deposit Bank to allocate such funds into the appropriate Accounts shall not constitute an Event of Default.</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b w:val="1"/>
          <w:bCs w:val="1"/>
          <w:color w:val="auto"/>
        </w:rPr>
        <w:t xml:space="preserve">6.16.3 </w:t>
      </w:r>
      <w:r>
        <w:rPr>
          <w:rFonts w:ascii="Arial" w:cs="Arial" w:eastAsia="Arial" w:hAnsi="Arial"/>
          <w:sz w:val="18"/>
          <w:szCs w:val="18"/>
          <w:b w:val="1"/>
          <w:bCs w:val="1"/>
          <w:u w:val="single" w:color="auto"/>
          <w:color w:val="auto"/>
        </w:rPr>
        <w:t>Application After Event of Default</w:t>
      </w:r>
      <w:r>
        <w:rPr>
          <w:rFonts w:ascii="Arial" w:cs="Arial" w:eastAsia="Arial" w:hAnsi="Arial"/>
          <w:sz w:val="18"/>
          <w:szCs w:val="18"/>
          <w:color w:val="auto"/>
        </w:rPr>
        <w:t>. Notwithstanding anything to the contrary contained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color w:val="auto"/>
        </w:rPr>
        <w:t>, upon the occurrence</w:t>
      </w:r>
      <w:r>
        <w:rPr>
          <w:rFonts w:ascii="Arial" w:cs="Arial" w:eastAsia="Arial" w:hAnsi="Arial"/>
          <w:sz w:val="18"/>
          <w:szCs w:val="18"/>
          <w:b w:val="1"/>
          <w:bCs w:val="1"/>
          <w:color w:val="auto"/>
        </w:rPr>
        <w:t xml:space="preserve"> </w:t>
      </w:r>
      <w:r>
        <w:rPr>
          <w:rFonts w:ascii="Arial" w:cs="Arial" w:eastAsia="Arial" w:hAnsi="Arial"/>
          <w:sz w:val="18"/>
          <w:szCs w:val="18"/>
          <w:color w:val="auto"/>
        </w:rPr>
        <w:t>of an Event of Default, Lender, at its option, may withdraw the Reserve Funds and any other funds of Borrower then in the possession of Lender, Servicer or Deposit Bank (including any Gross Revenue and Reserve Funds on deposit in any Cash Management Account) and apply such funds to the payment of the items for which the Reserve Funds were established, or to the payment of the Debt and the Other Obligations, any other amounts owed by Borrower to any Person and/or any other Property-related costs and expenses (including without limitation, operating expenses, capital expenditures, tenant improvements, tenant allowances and leasing commissions), in such order, proportion and priority as Lender may determine in its sole and absolute discretion. Lender’s right to withdraw and apply any of the foregoing funds shall be in addition to all other rights and remedies provided to Lender under the Loan Documents.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6.17 </w:t>
      </w:r>
      <w:r>
        <w:rPr>
          <w:rFonts w:ascii="Arial" w:cs="Arial" w:eastAsia="Arial" w:hAnsi="Arial"/>
          <w:sz w:val="17"/>
          <w:szCs w:val="17"/>
          <w:b w:val="1"/>
          <w:bCs w:val="1"/>
          <w:u w:val="single" w:color="auto"/>
          <w:color w:val="auto"/>
        </w:rPr>
        <w:t>Security Interest in Reserve Funds</w:t>
      </w:r>
      <w:r>
        <w:rPr>
          <w:rFonts w:ascii="Arial" w:cs="Arial" w:eastAsia="Arial" w:hAnsi="Arial"/>
          <w:sz w:val="17"/>
          <w:szCs w:val="17"/>
          <w:b w:val="1"/>
          <w:bCs w:val="1"/>
          <w:color w:val="auto"/>
        </w:rPr>
        <w:t xml:space="preserve">. </w:t>
      </w:r>
      <w:r>
        <w:rPr>
          <w:rFonts w:ascii="Arial" w:cs="Arial" w:eastAsia="Arial" w:hAnsi="Arial"/>
          <w:sz w:val="17"/>
          <w:szCs w:val="17"/>
          <w:color w:val="auto"/>
        </w:rPr>
        <w:t>As security for payment of the Debt and the performance by Borrower of all other terms,</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and provisions of the Loan Documents, Borrower hereby pledges and assigns to Lender, and grants to Lender a security interest in, all Borrower’s right, title and interest in and to all Gross Revenue and in and to all payments to or monies held in the Clearing Account, the Deposit Account and Accounts created pursuant to this Agreement (collectively, the “</w:t>
      </w:r>
      <w:r>
        <w:rPr>
          <w:rFonts w:ascii="Arial" w:cs="Arial" w:eastAsia="Arial" w:hAnsi="Arial"/>
          <w:sz w:val="17"/>
          <w:szCs w:val="17"/>
          <w:b w:val="1"/>
          <w:bCs w:val="1"/>
          <w:i w:val="1"/>
          <w:iCs w:val="1"/>
          <w:color w:val="auto"/>
        </w:rPr>
        <w:t>Cash Management Accounts</w:t>
      </w:r>
      <w:r>
        <w:rPr>
          <w:rFonts w:ascii="Arial" w:cs="Arial" w:eastAsia="Arial" w:hAnsi="Arial"/>
          <w:sz w:val="17"/>
          <w:szCs w:val="17"/>
          <w:color w:val="auto"/>
        </w:rPr>
        <w:t>”). Borrower hereby grants to Lender a continuing security interest in, and agrees to hold in trust for the benefit of Lender, all Gross Revenue in its possession prior to the (i) payment of such Gross Revenue to Lender or (ii) deposit of such Gross Revenue into the Deposit Account. Borrower shall not, without obtaining the prior written consent of Lender, further pledge, assign or grant any security interest in any Cash Management Account, or permit any Lien to attach thereto, or any levy to be made thereon, or any UCC Financing Statements, except those naming Lender as the secured party, to be filed with respect thereto. This Agreement is, among other things, intended by the parties to be a security agreement for purposes of the UCC. Upon the occurrence and during the continuance of an Event of Default, Lender may apply any sums in any Cash Management Account to the Debt and the Other Obligations, any other amounts owed by Borrower to any Person and/or any other Property-related costs and expenses (including without limitation, operating expenses, capital expenditures, tenant improvements, tenant allowances and leasing commissions) in any order and in any manner as Lender shall elect in Lender’s discretion without seeking the appointment of a receiver and without adversely affecting the rights of Lender to foreclose the Lien of the Mortgage or exercise its other rights under the Loan Documents. Cash Management Accounts shall not constitute trust funds and may be commingled with other monies held by Lender. All interest which accrues on the funds in any Account shall accrue for the benefit of Lender and shall be taxable to Borrower. Upon repayment in full of the Debt, all remaining funds in the Accounts, if any, shall be promptly disbursed to Borrower.</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u w:val="single" w:color="auto"/>
          <w:color w:val="auto"/>
        </w:rPr>
        <w:t>PERMITTED TRANSFERS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Permitted Transfer of the Entire Property</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304"/>
        <w:spacing w:after="0" w:line="275" w:lineRule="auto"/>
        <w:tabs>
          <w:tab w:leader="none" w:pos="1994" w:val="left"/>
        </w:tabs>
        <w:numPr>
          <w:ilvl w:val="0"/>
          <w:numId w:val="407"/>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 4.2</w:t>
      </w:r>
      <w:r>
        <w:rPr>
          <w:rFonts w:ascii="Arial" w:cs="Arial" w:eastAsia="Arial" w:hAnsi="Arial"/>
          <w:sz w:val="17"/>
          <w:szCs w:val="17"/>
          <w:color w:val="auto"/>
        </w:rPr>
        <w:t>, Borrower shall have, following a Securitization of the Loan, the right to convey the entire Property to a new borrower (the “</w:t>
      </w:r>
      <w:r>
        <w:rPr>
          <w:rFonts w:ascii="Arial" w:cs="Arial" w:eastAsia="Arial" w:hAnsi="Arial"/>
          <w:sz w:val="17"/>
          <w:szCs w:val="17"/>
          <w:b w:val="1"/>
          <w:bCs w:val="1"/>
          <w:i w:val="1"/>
          <w:iCs w:val="1"/>
          <w:color w:val="auto"/>
        </w:rPr>
        <w:t>Transferee Borrower</w:t>
      </w:r>
      <w:r>
        <w:rPr>
          <w:rFonts w:ascii="Arial" w:cs="Arial" w:eastAsia="Arial" w:hAnsi="Arial"/>
          <w:sz w:val="17"/>
          <w:szCs w:val="17"/>
          <w:color w:val="auto"/>
        </w:rPr>
        <w:t>”) and have Transferee Borrower assume all of Borrower’s obligations under the Loan Documents, and have replacement guarantors and indemnitors replace the guarantors and indemnitors with respect to all of the obligations of the indemnitors and guarantors of the Loan Documents from and after the date of such transfer (collectively, a “</w:t>
      </w:r>
      <w:r>
        <w:rPr>
          <w:rFonts w:ascii="Arial" w:cs="Arial" w:eastAsia="Arial" w:hAnsi="Arial"/>
          <w:sz w:val="17"/>
          <w:szCs w:val="17"/>
          <w:b w:val="1"/>
          <w:bCs w:val="1"/>
          <w:i w:val="1"/>
          <w:iCs w:val="1"/>
          <w:color w:val="auto"/>
        </w:rPr>
        <w:t>Transfer and Assumption</w:t>
      </w:r>
      <w:r>
        <w:rPr>
          <w:rFonts w:ascii="Arial" w:cs="Arial" w:eastAsia="Arial" w:hAnsi="Arial"/>
          <w:sz w:val="17"/>
          <w:szCs w:val="17"/>
          <w:color w:val="auto"/>
        </w:rPr>
        <w:t xml:space="preserve">”), subject to the terms and full satisfaction of all of the conditions precedent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960" w:hanging="656"/>
        <w:spacing w:after="0"/>
        <w:tabs>
          <w:tab w:leader="none" w:pos="19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Transfer and Assumption shall be subject to the following conditions:</w:t>
      </w:r>
    </w:p>
    <w:p>
      <w:pPr>
        <w:spacing w:after="0" w:line="225" w:lineRule="exact"/>
        <w:rPr>
          <w:rFonts w:ascii="Arial" w:cs="Arial" w:eastAsia="Arial" w:hAnsi="Arial"/>
          <w:sz w:val="18"/>
          <w:szCs w:val="18"/>
          <w:color w:val="auto"/>
        </w:rPr>
      </w:pPr>
    </w:p>
    <w:p>
      <w:pPr>
        <w:jc w:val="both"/>
        <w:ind w:left="660" w:firstLine="1292"/>
        <w:spacing w:after="0" w:line="311" w:lineRule="auto"/>
        <w:tabs>
          <w:tab w:leader="none" w:pos="2624" w:val="left"/>
        </w:tabs>
        <w:numPr>
          <w:ilvl w:val="1"/>
          <w:numId w:val="407"/>
        </w:numPr>
        <w:rPr>
          <w:rFonts w:ascii="Arial" w:cs="Arial" w:eastAsia="Arial" w:hAnsi="Arial"/>
          <w:sz w:val="16"/>
          <w:szCs w:val="16"/>
          <w:color w:val="auto"/>
        </w:rPr>
      </w:pPr>
      <w:r>
        <w:rPr>
          <w:rFonts w:ascii="Arial" w:cs="Arial" w:eastAsia="Arial" w:hAnsi="Arial"/>
          <w:sz w:val="16"/>
          <w:szCs w:val="16"/>
          <w:color w:val="auto"/>
        </w:rPr>
        <w:t xml:space="preserve">Borrower has provided Lender with not less than sixty (60) days prior written notice (it being understood that the consummation of the Transfer and Assumption is subject to Lender’s approval of all of the conditions set forth in this </w:t>
      </w:r>
      <w:r>
        <w:rPr>
          <w:rFonts w:ascii="Arial" w:cs="Arial" w:eastAsia="Arial" w:hAnsi="Arial"/>
          <w:sz w:val="16"/>
          <w:szCs w:val="16"/>
          <w:u w:val="single" w:color="auto"/>
          <w:color w:val="auto"/>
        </w:rPr>
        <w:t>Section 7.1(b)</w:t>
      </w:r>
      <w:r>
        <w:rPr>
          <w:rFonts w:ascii="Arial" w:cs="Arial" w:eastAsia="Arial" w:hAnsi="Arial"/>
          <w:sz w:val="16"/>
          <w:szCs w:val="16"/>
          <w:color w:val="auto"/>
        </w:rPr>
        <w:t>), which notice shall contain sufficient detail to enable Lender to determine that the Transferee Borrower complies with the requirements set forth herein;</w:t>
      </w:r>
    </w:p>
    <w:p>
      <w:pPr>
        <w:spacing w:after="0" w:line="148" w:lineRule="exact"/>
        <w:rPr>
          <w:rFonts w:ascii="Arial" w:cs="Arial" w:eastAsia="Arial" w:hAnsi="Arial"/>
          <w:sz w:val="16"/>
          <w:szCs w:val="16"/>
          <w:color w:val="auto"/>
        </w:rPr>
      </w:pPr>
    </w:p>
    <w:p>
      <w:pPr>
        <w:ind w:left="2400" w:hanging="448"/>
        <w:spacing w:after="0"/>
        <w:tabs>
          <w:tab w:leader="none" w:pos="24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w:t>
      </w:r>
    </w:p>
    <w:p>
      <w:pPr>
        <w:spacing w:after="0" w:line="225" w:lineRule="exact"/>
        <w:rPr>
          <w:rFonts w:ascii="Arial" w:cs="Arial" w:eastAsia="Arial" w:hAnsi="Arial"/>
          <w:sz w:val="18"/>
          <w:szCs w:val="18"/>
          <w:color w:val="auto"/>
        </w:rPr>
      </w:pPr>
    </w:p>
    <w:p>
      <w:pPr>
        <w:ind w:left="660" w:firstLine="1292"/>
        <w:spacing w:after="0" w:line="277" w:lineRule="auto"/>
        <w:tabs>
          <w:tab w:leader="none" w:pos="2447" w:val="left"/>
        </w:tabs>
        <w:numPr>
          <w:ilvl w:val="1"/>
          <w:numId w:val="407"/>
        </w:numPr>
        <w:rPr>
          <w:rFonts w:ascii="Arial" w:cs="Arial" w:eastAsia="Arial" w:hAnsi="Arial"/>
          <w:sz w:val="18"/>
          <w:szCs w:val="18"/>
          <w:color w:val="auto"/>
        </w:rPr>
      </w:pPr>
      <w:r>
        <w:rPr>
          <w:rFonts w:ascii="Arial" w:cs="Arial" w:eastAsia="Arial" w:hAnsi="Arial"/>
          <w:sz w:val="18"/>
          <w:szCs w:val="18"/>
          <w:color w:val="auto"/>
        </w:rPr>
        <w:t xml:space="preserve">Transferee Borrower shall be a newly formed Delaware single member limited liability company that is a Special Purpose Bankruptcy Remote Entity in accordance with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Schedule V</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558"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Transferee Borrower shall be Controlled by a Person who (x) is a Qualified Transferee with a minimum ownership interest in the Transferee Borrower reasonably acceptable to Lender and (y) whose identity, experience, financial condition and creditworthiness, including net worth and liquidity, is acceptable to Lender in Lender’s sole and absolute discretion;</w:t>
      </w:r>
    </w:p>
    <w:p>
      <w:pPr>
        <w:spacing w:after="0" w:line="183" w:lineRule="exact"/>
        <w:rPr>
          <w:rFonts w:ascii="Arial" w:cs="Arial" w:eastAsia="Arial" w:hAnsi="Arial"/>
          <w:sz w:val="18"/>
          <w:szCs w:val="18"/>
          <w:color w:val="auto"/>
        </w:rPr>
      </w:pPr>
    </w:p>
    <w:p>
      <w:pPr>
        <w:ind w:left="660" w:firstLine="1292"/>
        <w:spacing w:after="0" w:line="277" w:lineRule="auto"/>
        <w:tabs>
          <w:tab w:leader="none" w:pos="2436" w:val="left"/>
        </w:tabs>
        <w:numPr>
          <w:ilvl w:val="1"/>
          <w:numId w:val="407"/>
        </w:numPr>
        <w:rPr>
          <w:rFonts w:ascii="Arial" w:cs="Arial" w:eastAsia="Arial" w:hAnsi="Arial"/>
          <w:sz w:val="18"/>
          <w:szCs w:val="18"/>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 4.14.4</w:t>
      </w:r>
      <w:r>
        <w:rPr>
          <w:rFonts w:ascii="Arial" w:cs="Arial" w:eastAsia="Arial" w:hAnsi="Arial"/>
          <w:sz w:val="18"/>
          <w:szCs w:val="18"/>
          <w:color w:val="auto"/>
        </w:rPr>
        <w:t xml:space="preserve"> hereof, the Property shall be managed by an Unaffiliated Qualified Manager or by a property manager reasonably acceptable to Lender;</w:t>
      </w:r>
    </w:p>
    <w:p>
      <w:pPr>
        <w:spacing w:after="0" w:line="170" w:lineRule="exact"/>
        <w:rPr>
          <w:rFonts w:ascii="Arial" w:cs="Arial" w:eastAsia="Arial" w:hAnsi="Arial"/>
          <w:sz w:val="18"/>
          <w:szCs w:val="18"/>
          <w:color w:val="auto"/>
        </w:rPr>
      </w:pPr>
    </w:p>
    <w:p>
      <w:pPr>
        <w:ind w:left="2580" w:hanging="628"/>
        <w:spacing w:after="0"/>
        <w:tabs>
          <w:tab w:leader="none" w:pos="2580" w:val="left"/>
        </w:tabs>
        <w:numPr>
          <w:ilvl w:val="1"/>
          <w:numId w:val="407"/>
        </w:numPr>
        <w:rPr>
          <w:rFonts w:ascii="Arial" w:cs="Arial" w:eastAsia="Arial" w:hAnsi="Arial"/>
          <w:sz w:val="16"/>
          <w:szCs w:val="16"/>
          <w:color w:val="auto"/>
        </w:rPr>
      </w:pPr>
      <w:r>
        <w:rPr>
          <w:rFonts w:ascii="Arial" w:cs="Arial" w:eastAsia="Arial" w:hAnsi="Arial"/>
          <w:sz w:val="16"/>
          <w:szCs w:val="16"/>
          <w:color w:val="auto"/>
        </w:rPr>
        <w:t>Transferee Borrower shall have executed and delivered to Lender an assumption agreement in form and substance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acceptable to Lender;</w:t>
      </w:r>
    </w:p>
    <w:p>
      <w:pPr>
        <w:spacing w:after="0" w:line="210" w:lineRule="exact"/>
        <w:rPr>
          <w:rFonts w:ascii="Arial" w:cs="Arial" w:eastAsia="Arial" w:hAnsi="Arial"/>
          <w:sz w:val="16"/>
          <w:szCs w:val="16"/>
          <w:color w:val="auto"/>
        </w:rPr>
      </w:pPr>
    </w:p>
    <w:p>
      <w:pPr>
        <w:jc w:val="both"/>
        <w:ind w:left="660" w:firstLine="1292"/>
        <w:spacing w:after="0" w:line="286" w:lineRule="auto"/>
        <w:tabs>
          <w:tab w:leader="none" w:pos="2528" w:val="left"/>
        </w:tabs>
        <w:numPr>
          <w:ilvl w:val="1"/>
          <w:numId w:val="407"/>
        </w:numPr>
        <w:rPr>
          <w:rFonts w:ascii="Arial" w:cs="Arial" w:eastAsia="Arial" w:hAnsi="Arial"/>
          <w:sz w:val="17"/>
          <w:szCs w:val="17"/>
          <w:color w:val="auto"/>
        </w:rPr>
      </w:pPr>
      <w:r>
        <w:rPr>
          <w:rFonts w:ascii="Arial" w:cs="Arial" w:eastAsia="Arial" w:hAnsi="Arial"/>
          <w:sz w:val="17"/>
          <w:szCs w:val="17"/>
          <w:color w:val="auto"/>
        </w:rPr>
        <w:t>Transferee Borrower shall have proposed one or more replacement guarantors and indemnitor and Lender shall have determined that such proposed guarantors and indemnitors as Approved Replacement Guarantor (and each such proposed replacement guarantor that is an Approved Replacement Guarantor shall hereafter be referred to as a “</w:t>
      </w:r>
      <w:r>
        <w:rPr>
          <w:rFonts w:ascii="Arial" w:cs="Arial" w:eastAsia="Arial" w:hAnsi="Arial"/>
          <w:sz w:val="17"/>
          <w:szCs w:val="17"/>
          <w:b w:val="1"/>
          <w:bCs w:val="1"/>
          <w:i w:val="1"/>
          <w:iCs w:val="1"/>
          <w:color w:val="auto"/>
        </w:rPr>
        <w:t>Transferee Guarantor</w:t>
      </w:r>
      <w:r>
        <w:rPr>
          <w:rFonts w:ascii="Arial" w:cs="Arial" w:eastAsia="Arial" w:hAnsi="Arial"/>
          <w:sz w:val="17"/>
          <w:szCs w:val="17"/>
          <w:color w:val="auto"/>
        </w:rPr>
        <w:t>”);</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8" w:name="page379"/>
    <w:bookmarkEnd w:id="378"/>
    <w:p>
      <w:pPr>
        <w:jc w:val="both"/>
        <w:ind w:left="-460" w:firstLine="1292"/>
        <w:spacing w:after="0" w:line="286" w:lineRule="auto"/>
        <w:tabs>
          <w:tab w:leader="none" w:pos="1422" w:val="left"/>
        </w:tabs>
        <w:numPr>
          <w:ilvl w:val="0"/>
          <w:numId w:val="408"/>
        </w:numPr>
        <w:rPr>
          <w:rFonts w:ascii="Arial" w:cs="Arial" w:eastAsia="Arial" w:hAnsi="Arial"/>
          <w:sz w:val="16"/>
          <w:szCs w:val="16"/>
          <w:color w:val="auto"/>
        </w:rPr>
      </w:pPr>
      <w:r>
        <w:rPr>
          <w:rFonts w:ascii="Arial" w:cs="Arial" w:eastAsia="Arial" w:hAnsi="Arial"/>
          <w:sz w:val="16"/>
          <w:szCs w:val="16"/>
          <w:color w:val="auto"/>
        </w:rPr>
        <w:t>(A) each Transferee Guarantor shall deliver to Lender a guaranty of recourse obligations (in the same form as the guaranty of recourse obligations delivered to Lender by Guarantor on the date hereof, provided, however, for the avoidance of doubt, that such Transferee Guarantor shall be required to satisfy the applicable Liquid Asset and Net Worth covenants with only assets located in the United States and/or Canada) and (B) one of the following: (x) the insurance carrier providing the then existing environmental insurance policy shall have confirmed that the Transferee Borrower and Transferee Guarantor(s) are accepted under the terms of the then-existing environmental insurance policy, (y) the Transferee Borrower or Transferee Guarantor(s) shall have provided an environmental insurance policy to Lender in substantially the same form as the policy provided by Borrower at origination of the Loan or (z) each Transferee Guarantor shall deliver to Lender an environmental indemnity agreement (in the same form as the environmental indemnity agreement delivered to Lender by Borrower on the date hereof), pursuant to which, in each case, the Transferee Guarantor(s) agree(s) to be liable under each such guaranty of recourse obligations and, if applicable, environmental indemnity agreement from and after the date of such Transfer and Assumption (whereupon the previous guarantor shall be released from any further liability under the guaranty of recourse obligations for acts that arise from and after the date of such Transfer and Assumption (other than the acts or actions of the released Guarantor or any Affiliate thereof (or any Person acting on behalf thereof)) and such Transferee Guarantor(s) shall be the “Guarantor” for all purposes set forth in this Agreement);</w:t>
      </w:r>
    </w:p>
    <w:p>
      <w:pPr>
        <w:spacing w:after="0" w:line="173" w:lineRule="exact"/>
        <w:rPr>
          <w:rFonts w:ascii="Arial" w:cs="Arial" w:eastAsia="Arial" w:hAnsi="Arial"/>
          <w:sz w:val="16"/>
          <w:szCs w:val="16"/>
          <w:color w:val="auto"/>
        </w:rPr>
      </w:pPr>
    </w:p>
    <w:p>
      <w:pPr>
        <w:ind w:left="-460" w:firstLine="1292"/>
        <w:spacing w:after="0" w:line="277" w:lineRule="auto"/>
        <w:tabs>
          <w:tab w:leader="none" w:pos="136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Transferee Borrower shall submit to Lender true, correct and complete copies of all documents reasonably requested by Lender concerning the organization and existence of Transferee Borrower and each Transferee Guarantor;</w:t>
      </w:r>
    </w:p>
    <w:p>
      <w:pPr>
        <w:spacing w:after="0" w:line="170" w:lineRule="exact"/>
        <w:rPr>
          <w:rFonts w:ascii="Arial" w:cs="Arial" w:eastAsia="Arial" w:hAnsi="Arial"/>
          <w:sz w:val="18"/>
          <w:szCs w:val="18"/>
          <w:color w:val="auto"/>
        </w:rPr>
      </w:pPr>
    </w:p>
    <w:p>
      <w:pPr>
        <w:ind w:left="-460" w:firstLine="1292"/>
        <w:spacing w:after="0" w:line="308" w:lineRule="auto"/>
        <w:tabs>
          <w:tab w:leader="none" w:pos="133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Each Person that will have Control of, or a ten percent (10%) or greater direct or indirect interest in, Transferee Borrower or any Person that Controls Transferee Borrower upon such Transfer and Assumption shall be a Qualified Transferee;</w:t>
      </w:r>
    </w:p>
    <w:p>
      <w:pPr>
        <w:spacing w:after="0" w:line="146" w:lineRule="exact"/>
        <w:rPr>
          <w:rFonts w:ascii="Arial" w:cs="Arial" w:eastAsia="Arial" w:hAnsi="Arial"/>
          <w:sz w:val="17"/>
          <w:szCs w:val="17"/>
          <w:color w:val="auto"/>
        </w:rPr>
      </w:pPr>
    </w:p>
    <w:p>
      <w:pPr>
        <w:ind w:left="1320" w:hanging="488"/>
        <w:spacing w:after="0"/>
        <w:tabs>
          <w:tab w:leader="none" w:pos="13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Lender shall have received a Rating Agency Confirmation from each of the applicable Rating Agencies;</w:t>
      </w:r>
    </w:p>
    <w:p>
      <w:pPr>
        <w:spacing w:after="0" w:line="225" w:lineRule="exact"/>
        <w:rPr>
          <w:rFonts w:ascii="Arial" w:cs="Arial" w:eastAsia="Arial" w:hAnsi="Arial"/>
          <w:sz w:val="18"/>
          <w:szCs w:val="18"/>
          <w:color w:val="auto"/>
        </w:rPr>
      </w:pPr>
    </w:p>
    <w:p>
      <w:pPr>
        <w:jc w:val="both"/>
        <w:ind w:left="-460" w:firstLine="1292"/>
        <w:spacing w:after="0" w:line="286" w:lineRule="auto"/>
        <w:tabs>
          <w:tab w:leader="none" w:pos="1345" w:val="left"/>
        </w:tabs>
        <w:numPr>
          <w:ilvl w:val="0"/>
          <w:numId w:val="408"/>
        </w:numPr>
        <w:rPr>
          <w:rFonts w:ascii="Arial" w:cs="Arial" w:eastAsia="Arial" w:hAnsi="Arial"/>
          <w:sz w:val="17"/>
          <w:szCs w:val="17"/>
          <w:color w:val="auto"/>
        </w:rPr>
      </w:pPr>
      <w:r>
        <w:rPr>
          <w:rFonts w:ascii="Arial" w:cs="Arial" w:eastAsia="Arial" w:hAnsi="Arial"/>
          <w:sz w:val="17"/>
          <w:szCs w:val="17"/>
          <w:color w:val="auto"/>
        </w:rPr>
        <w:t>counsel to Transferee Borrower and each Transferee Guarantor(s) shall deliver to Lender opinions in form and substance reasonably satisfactory to Lender as to such matters as Lender shall require, which may include opinions as to substantially the same matters and were required in connection with the origination of the Loan (including a new substantive non-consolidation opinion);</w:t>
      </w:r>
    </w:p>
    <w:p>
      <w:pPr>
        <w:spacing w:after="0" w:line="165" w:lineRule="exact"/>
        <w:rPr>
          <w:rFonts w:ascii="Arial" w:cs="Arial" w:eastAsia="Arial" w:hAnsi="Arial"/>
          <w:sz w:val="17"/>
          <w:szCs w:val="17"/>
          <w:color w:val="auto"/>
        </w:rPr>
      </w:pPr>
    </w:p>
    <w:p>
      <w:pPr>
        <w:jc w:val="both"/>
        <w:ind w:left="-460" w:firstLine="1292"/>
        <w:spacing w:after="0" w:line="263" w:lineRule="auto"/>
        <w:tabs>
          <w:tab w:leader="none" w:pos="1361" w:val="left"/>
        </w:tabs>
        <w:numPr>
          <w:ilvl w:val="0"/>
          <w:numId w:val="408"/>
        </w:numPr>
        <w:rPr>
          <w:rFonts w:ascii="Arial" w:cs="Arial" w:eastAsia="Arial" w:hAnsi="Arial"/>
          <w:sz w:val="18"/>
          <w:szCs w:val="18"/>
          <w:color w:val="auto"/>
        </w:rPr>
      </w:pPr>
      <w:r>
        <w:rPr>
          <w:rFonts w:ascii="Arial" w:cs="Arial" w:eastAsia="Arial" w:hAnsi="Arial"/>
          <w:sz w:val="18"/>
          <w:szCs w:val="18"/>
          <w:color w:val="auto"/>
        </w:rPr>
        <w:t>Borrower shall cause to be delivered to Lender, an endorsement (relating to the change in the identity of the vestee and execution and delivery of the Transfer and Assumption documents) to the Title Insurance Policy in form and substance acceptable to Lender, in Lender’s reasonable discretion;</w:t>
      </w:r>
    </w:p>
    <w:p>
      <w:pPr>
        <w:spacing w:after="0" w:line="38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79" w:name="page380"/>
    <w:bookmarkEnd w:id="379"/>
    <w:p>
      <w:pPr>
        <w:ind w:left="660" w:firstLine="1292"/>
        <w:spacing w:after="0" w:line="277" w:lineRule="auto"/>
        <w:tabs>
          <w:tab w:leader="none" w:pos="246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Transferee Borrower and/or Borrower, as the case may be, shall deliver to Lender, upon such conveyance, a transfer fee equal to 1.00% of the Outstanding Principal Balance;</w:t>
      </w:r>
    </w:p>
    <w:p>
      <w:pPr>
        <w:spacing w:after="0" w:line="170" w:lineRule="exact"/>
        <w:rPr>
          <w:rFonts w:ascii="Arial" w:cs="Arial" w:eastAsia="Arial" w:hAnsi="Arial"/>
          <w:sz w:val="18"/>
          <w:szCs w:val="18"/>
          <w:color w:val="auto"/>
        </w:rPr>
      </w:pPr>
    </w:p>
    <w:p>
      <w:pPr>
        <w:ind w:left="660" w:firstLine="1292"/>
        <w:spacing w:after="0" w:line="277" w:lineRule="auto"/>
        <w:tabs>
          <w:tab w:leader="none" w:pos="257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if a New Mezzanine Loan is outstanding at the time of the Transfer and Assumption, the proposed Transfer and Assumption shall not constitute or cause a default under the New Mezzanine Loan;</w:t>
      </w:r>
    </w:p>
    <w:p>
      <w:pPr>
        <w:spacing w:after="0" w:line="170" w:lineRule="exact"/>
        <w:rPr>
          <w:rFonts w:ascii="Arial" w:cs="Arial" w:eastAsia="Arial" w:hAnsi="Arial"/>
          <w:sz w:val="18"/>
          <w:szCs w:val="18"/>
          <w:color w:val="auto"/>
        </w:rPr>
      </w:pPr>
    </w:p>
    <w:p>
      <w:pPr>
        <w:jc w:val="both"/>
        <w:ind w:left="660" w:firstLine="1292"/>
        <w:spacing w:after="0" w:line="286" w:lineRule="auto"/>
        <w:tabs>
          <w:tab w:leader="none" w:pos="2514" w:val="left"/>
        </w:tabs>
        <w:numPr>
          <w:ilvl w:val="0"/>
          <w:numId w:val="409"/>
        </w:numPr>
        <w:rPr>
          <w:rFonts w:ascii="Arial" w:cs="Arial" w:eastAsia="Arial" w:hAnsi="Arial"/>
          <w:sz w:val="17"/>
          <w:szCs w:val="17"/>
          <w:color w:val="auto"/>
        </w:rPr>
      </w:pPr>
      <w:r>
        <w:rPr>
          <w:rFonts w:ascii="Arial" w:cs="Arial" w:eastAsia="Arial" w:hAnsi="Arial"/>
          <w:sz w:val="17"/>
          <w:szCs w:val="17"/>
          <w:color w:val="auto"/>
        </w:rPr>
        <w:t>Borrower shall pay all of Lender’s reasonable out-of-pocket costs and expenses in connection with the Transfer and Assumption. Lender may, as a condition to evaluating any requested consent to a transfer, require that Borrower post a cash deposit with Lender in an amount equal to Lender’s anticipated costs and expenses in evaluating any such request for consent; and</w:t>
      </w:r>
    </w:p>
    <w:p>
      <w:pPr>
        <w:spacing w:after="0" w:line="165" w:lineRule="exact"/>
        <w:rPr>
          <w:rFonts w:ascii="Arial" w:cs="Arial" w:eastAsia="Arial" w:hAnsi="Arial"/>
          <w:sz w:val="17"/>
          <w:szCs w:val="17"/>
          <w:color w:val="auto"/>
        </w:rPr>
      </w:pPr>
    </w:p>
    <w:p>
      <w:pPr>
        <w:jc w:val="both"/>
        <w:ind w:left="660" w:right="20" w:firstLine="1292"/>
        <w:spacing w:after="0" w:line="263" w:lineRule="auto"/>
        <w:tabs>
          <w:tab w:leader="none" w:pos="246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Borrower shall have otherwise received Lender’s written consent to such Transfer and Assumption (which consent shall not be unreasonably withheld so long as all of the other conditions set forth in this Section 7.1(b) are satisfied, including receipt of a Rating Agency Confirmation from each of the applicable Rating Agencies).</w:t>
      </w:r>
    </w:p>
    <w:p>
      <w:pPr>
        <w:spacing w:after="0" w:line="18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b w:val="1"/>
          <w:bCs w:val="1"/>
          <w:u w:val="single" w:color="auto"/>
          <w:color w:val="auto"/>
        </w:rPr>
        <w:t>Permitted 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the following Transfers (herein,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Transfers</w:t>
      </w:r>
      <w:r>
        <w:rPr>
          <w:rFonts w:ascii="Arial" w:cs="Arial" w:eastAsia="Arial" w:hAnsi="Arial"/>
          <w:sz w:val="18"/>
          <w:szCs w:val="18"/>
          <w:color w:val="auto"/>
        </w:rPr>
        <w:t>”) shall be permitted hereunder:</w:t>
      </w:r>
    </w:p>
    <w:p>
      <w:pPr>
        <w:spacing w:after="0" w:line="166" w:lineRule="exact"/>
        <w:rPr>
          <w:sz w:val="20"/>
          <w:szCs w:val="20"/>
          <w:color w:val="auto"/>
        </w:rPr>
      </w:pPr>
    </w:p>
    <w:p>
      <w:pPr>
        <w:ind w:left="1960" w:hanging="656"/>
        <w:spacing w:after="0"/>
        <w:tabs>
          <w:tab w:leader="none" w:pos="1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 Lease entered into in accordance with the Loan Documents;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a Transfer and Assumption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 Permitted Encumbrance;</w:t>
      </w:r>
    </w:p>
    <w:p>
      <w:pPr>
        <w:spacing w:after="0" w:line="225" w:lineRule="exact"/>
        <w:rPr>
          <w:rFonts w:ascii="Arial" w:cs="Arial" w:eastAsia="Arial" w:hAnsi="Arial"/>
          <w:sz w:val="18"/>
          <w:szCs w:val="18"/>
          <w:color w:val="auto"/>
        </w:rPr>
      </w:pPr>
    </w:p>
    <w:p>
      <w:pPr>
        <w:ind w:firstLine="1304"/>
        <w:spacing w:after="0" w:line="308" w:lineRule="auto"/>
        <w:tabs>
          <w:tab w:leader="none" w:pos="2156"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the transfer of publicly traded shares listed on the NYSE or NASDAQ (and/or, solely with respect to Novonix Limited, an Australian public company, the Australian Securities Exchange (ASX) or any successor thereto) in any indirect equity owner of Borrower;</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right="20" w:firstLine="1304"/>
        <w:spacing w:after="0" w:line="263" w:lineRule="auto"/>
        <w:tabs>
          <w:tab w:leader="none" w:pos="2291" w:val="left"/>
        </w:tabs>
        <w:numPr>
          <w:ilvl w:val="0"/>
          <w:numId w:val="410"/>
        </w:numPr>
        <w:rPr>
          <w:rFonts w:ascii="Arial" w:cs="Arial" w:eastAsia="Arial" w:hAnsi="Arial"/>
          <w:sz w:val="18"/>
          <w:szCs w:val="18"/>
          <w:color w:val="auto"/>
        </w:rPr>
      </w:pPr>
      <w:r>
        <w:rPr>
          <w:rFonts w:ascii="Arial" w:cs="Arial" w:eastAsia="Arial" w:hAnsi="Arial"/>
          <w:sz w:val="18"/>
          <w:szCs w:val="18"/>
          <w:color w:val="auto"/>
        </w:rPr>
        <w:t>provided that no Event of Default shall then exist, a Transfer (other than a pledge, hypothecation, assignment or other encumbrance, or any creation or issuance of Debt-Like Preferred Equity) of a direct or indirect interest in Borrower shall be permitted without Lender’s consent provided that:</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535" w:val="left"/>
        </w:tabs>
        <w:numPr>
          <w:ilvl w:val="1"/>
          <w:numId w:val="410"/>
        </w:numPr>
        <w:rPr>
          <w:rFonts w:ascii="Arial" w:cs="Arial" w:eastAsia="Arial" w:hAnsi="Arial"/>
          <w:sz w:val="18"/>
          <w:szCs w:val="18"/>
          <w:color w:val="auto"/>
        </w:rPr>
      </w:pPr>
      <w:r>
        <w:rPr>
          <w:rFonts w:ascii="Arial" w:cs="Arial" w:eastAsia="Arial" w:hAnsi="Arial"/>
          <w:sz w:val="18"/>
          <w:szCs w:val="18"/>
          <w:color w:val="auto"/>
        </w:rPr>
        <w:t>such Transfer shall not (x) cause the transferee (other than Key Principal), together with its Affiliates, to acquire or to increase its direct or indirect interest in Borrower to an amount which equals or exceeds forty-nine percent (49%) or (y) result in a change in Control of Borrower;</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0" w:name="page381"/>
    <w:bookmarkEnd w:id="380"/>
    <w:p>
      <w:pPr>
        <w:ind w:left="660" w:firstLine="1292"/>
        <w:spacing w:after="0" w:line="277" w:lineRule="auto"/>
        <w:tabs>
          <w:tab w:leader="none" w:pos="244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Borrower shall continue to be a Special Purpose Bankruptcy Remote Entity and Borrower shall continue to be a Delaware single member limited liability company;</w:t>
      </w:r>
    </w:p>
    <w:p>
      <w:pPr>
        <w:spacing w:after="0" w:line="170" w:lineRule="exact"/>
        <w:rPr>
          <w:rFonts w:ascii="Arial" w:cs="Arial" w:eastAsia="Arial" w:hAnsi="Arial"/>
          <w:sz w:val="18"/>
          <w:szCs w:val="18"/>
          <w:color w:val="auto"/>
        </w:rPr>
      </w:pPr>
    </w:p>
    <w:p>
      <w:pPr>
        <w:jc w:val="both"/>
        <w:ind w:left="660" w:right="20" w:firstLine="1292"/>
        <w:spacing w:after="0" w:line="263" w:lineRule="auto"/>
        <w:tabs>
          <w:tab w:leader="none" w:pos="2539"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if such Transfer would cause the transferee, together with its Affiliates, to acquire or to increase its direct or indirect interest in Borrower or any Person that Controls Borrower to an amount which equals or exceeds ten percent (10%), (x) such transferee is a Qualified Transferee and (y) Borrower shall provide to Lender thirty (30) days prior written notice thereof;</w:t>
      </w:r>
    </w:p>
    <w:p>
      <w:pPr>
        <w:spacing w:after="0" w:line="183" w:lineRule="exact"/>
        <w:rPr>
          <w:rFonts w:ascii="Arial" w:cs="Arial" w:eastAsia="Arial" w:hAnsi="Arial"/>
          <w:sz w:val="18"/>
          <w:szCs w:val="18"/>
          <w:color w:val="auto"/>
        </w:rPr>
      </w:pPr>
    </w:p>
    <w:p>
      <w:pPr>
        <w:ind w:left="660" w:firstLine="1292"/>
        <w:spacing w:after="0" w:line="277" w:lineRule="auto"/>
        <w:tabs>
          <w:tab w:leader="none" w:pos="251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after giving effect to such Transfer, Key Principal shall continue to control the day to day operations of Borrower and shall continue to own at least fifty one percent (51%) of all equity interests (direct or indirect) of Borrower; and</w:t>
      </w:r>
    </w:p>
    <w:p>
      <w:pPr>
        <w:spacing w:after="0" w:line="170" w:lineRule="exact"/>
        <w:rPr>
          <w:rFonts w:ascii="Arial" w:cs="Arial" w:eastAsia="Arial" w:hAnsi="Arial"/>
          <w:sz w:val="18"/>
          <w:szCs w:val="18"/>
          <w:color w:val="auto"/>
        </w:rPr>
      </w:pPr>
    </w:p>
    <w:p>
      <w:pPr>
        <w:ind w:left="660" w:firstLine="1292"/>
        <w:spacing w:after="0" w:line="277" w:lineRule="auto"/>
        <w:tabs>
          <w:tab w:leader="none" w:pos="24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 4.14.4</w:t>
      </w:r>
      <w:r>
        <w:rPr>
          <w:rFonts w:ascii="Arial" w:cs="Arial" w:eastAsia="Arial" w:hAnsi="Arial"/>
          <w:sz w:val="18"/>
          <w:szCs w:val="18"/>
          <w:color w:val="auto"/>
        </w:rPr>
        <w:t xml:space="preserve"> hereof, the Property shall continue to be managed by a Qualified Manager or by a property manager reasonably acceptable to Lender and acceptable to the applicable Rating Agencies.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7.2</w:t>
      </w:r>
      <w:r>
        <w:rPr>
          <w:rFonts w:ascii="Arial" w:cs="Arial" w:eastAsia="Arial" w:hAnsi="Arial"/>
          <w:sz w:val="17"/>
          <w:szCs w:val="17"/>
          <w:color w:val="auto"/>
        </w:rPr>
        <w:t>, if, as a result of any Transfer, Guarantor no longer Controls Borrower and owns any direct or indirect interest in Borrower (or if there were two or more Guarantors immediately prior to such Transfer, no Guarantor any longer Controls Borrower or any such Guarantor no longer has a direct or indirect interest in Borrower), it shall also be a condition for such Transfer to be a Permitted Transfer that one or more Approved Replacement Guarantors shall execute and deliver a guaranty of recourse obligations (in the same form as the guaranty of recourse obligations delivered to Lender by Guarantor on the date hereof) and an environmental indemnity agreement (in the same form as the environmental indemnity agreement delivered to Lender by Guarantor on the date hereof) on or prior to the date of such Transfer, pursuant to which, in each case, the Approved Replacement Guarantor(s) agree(s) to be liable under each such guaranty of recourse obligations and environmental indemnity agreement from and after the date of such Transfer (whereupon the previous guarantor shall be released from any further liability under the guaranty of recourse obligations from acts that arise from and after the date of such Transfer other than the acts or actions of the released Guarantor or any Affiliate thereof (or any Person acting on behalf thereof) and such Approved Replacement Guarantor(s) shall be the “Guarantor” for all purposes set forth in this Agreement); provided, however, that the previous guarantors shall have the burden of proof with respect to any events or acts that such guarantors allege to have occurred after the date of any such release in accordance with the terms hereof and the replacement guarantors shall have the burden of proof with respect to any events or acts that such replacement guarantors allege to have occurred prior to the date such guarantors became replacement guarantors hereunder).</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5"/>
          <w:szCs w:val="15"/>
          <w:b w:val="1"/>
          <w:bCs w:val="1"/>
          <w:u w:val="single" w:color="auto"/>
          <w:color w:val="auto"/>
        </w:rPr>
        <w:t>Cost and Expenses; Searches; Copies</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1304"/>
        <w:spacing w:after="0" w:line="263" w:lineRule="auto"/>
        <w:tabs>
          <w:tab w:leader="none" w:pos="196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Borrower shall pay all costs and expenses of Lender in connection with any Transfer, whether or not such Transfer is deemed to be a Permitted Transfer, including, without limitation, all fees and expenses of Lender’s counsel, whether internal or outside, and the cost of any required counsel opinions related to REMIC or other securitization or tax issues and any Rating Agency fees.</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1" w:name="page382"/>
    <w:bookmarkEnd w:id="381"/>
    <w:p>
      <w:pPr>
        <w:ind w:left="2000" w:hanging="696"/>
        <w:spacing w:after="0"/>
        <w:tabs>
          <w:tab w:leader="none" w:pos="20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Borrower shall provide Lender with copies of all organizational documents relating to any Permitted Transfer.</w:t>
      </w:r>
    </w:p>
    <w:p>
      <w:pPr>
        <w:spacing w:after="0" w:line="225" w:lineRule="exact"/>
        <w:rPr>
          <w:rFonts w:ascii="Arial" w:cs="Arial" w:eastAsia="Arial" w:hAnsi="Arial"/>
          <w:sz w:val="18"/>
          <w:szCs w:val="18"/>
          <w:color w:val="auto"/>
        </w:rPr>
      </w:pPr>
    </w:p>
    <w:p>
      <w:pPr>
        <w:jc w:val="both"/>
        <w:ind w:firstLine="1304"/>
        <w:spacing w:after="0" w:line="273" w:lineRule="auto"/>
        <w:tabs>
          <w:tab w:leader="none" w:pos="2139" w:val="left"/>
        </w:tabs>
        <w:numPr>
          <w:ilvl w:val="0"/>
          <w:numId w:val="413"/>
        </w:numPr>
        <w:rPr>
          <w:rFonts w:ascii="Arial" w:cs="Arial" w:eastAsia="Arial" w:hAnsi="Arial"/>
          <w:sz w:val="17"/>
          <w:szCs w:val="17"/>
          <w:color w:val="auto"/>
        </w:rPr>
      </w:pPr>
      <w:r>
        <w:rPr>
          <w:rFonts w:ascii="Arial" w:cs="Arial" w:eastAsia="Arial" w:hAnsi="Arial"/>
          <w:sz w:val="17"/>
          <w:szCs w:val="17"/>
          <w:color w:val="auto"/>
        </w:rPr>
        <w:t>In connection with any Permitted Transfer, to the extent a transferee, together with its Affiliates, shall Control Borrower or Guarantor or own ten percent (10%) or more of the direct or indirect ownership interests in Borrower or Guarantor or in any Person that Controls Borrower or Guarantor immediately following such transfer (provided that, as of the Closing Date, such transferee did not Control Borrower or Guarantor or, together with its Affiliates, own ten percent (10%) or greater of the direct or indirect ownership interests in Borrower or Guarantor or any Person that Controls Borrower or Guarantor), Borrower shall deliver (and Borrower shall be responsible for any reasonable out of pocket costs and expenses in connection therewith) the information necessary for Lender to obtain Satisfactory Search Results with respect to such transferee.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DEFAULTS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Each of the following events shall constitute an event of default hereunder (an “</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w:t>
      </w:r>
    </w:p>
    <w:p>
      <w:pPr>
        <w:spacing w:after="0" w:line="229" w:lineRule="exact"/>
        <w:rPr>
          <w:sz w:val="20"/>
          <w:szCs w:val="20"/>
          <w:color w:val="auto"/>
        </w:rPr>
      </w:pPr>
    </w:p>
    <w:p>
      <w:pPr>
        <w:jc w:val="both"/>
        <w:ind w:firstLine="1952"/>
        <w:spacing w:after="0" w:line="287" w:lineRule="auto"/>
        <w:tabs>
          <w:tab w:leader="none" w:pos="2454" w:val="left"/>
        </w:tabs>
        <w:numPr>
          <w:ilvl w:val="1"/>
          <w:numId w:val="414"/>
        </w:numPr>
        <w:rPr>
          <w:rFonts w:ascii="Arial" w:cs="Arial" w:eastAsia="Arial" w:hAnsi="Arial"/>
          <w:sz w:val="16"/>
          <w:szCs w:val="16"/>
          <w:color w:val="auto"/>
        </w:rPr>
      </w:pPr>
      <w:r>
        <w:rPr>
          <w:rFonts w:ascii="Arial" w:cs="Arial" w:eastAsia="Arial" w:hAnsi="Arial"/>
          <w:sz w:val="16"/>
          <w:szCs w:val="16"/>
          <w:color w:val="auto"/>
        </w:rPr>
        <w:t>if (A) the Obligations are not paid in full on the Maturity Date, (B) any regularly scheduled monthly payment of interest, and, if applicable, principal due under the Note is not paid in full on the applicable Monthly Payment Date, (C) any prepayment of principal due under this Agreement or the Note is not paid when due, (D) the Prepayment Fee is not paid when due, (E) the Liquidated Damages Amount is not paid when due, or</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deposit to the Reserve Funds is not made on the required deposit date therefor;</w:t>
      </w:r>
    </w:p>
    <w:p>
      <w:pPr>
        <w:spacing w:after="0" w:line="210" w:lineRule="exact"/>
        <w:rPr>
          <w:rFonts w:ascii="Arial" w:cs="Arial" w:eastAsia="Arial" w:hAnsi="Arial"/>
          <w:sz w:val="18"/>
          <w:szCs w:val="18"/>
          <w:color w:val="auto"/>
        </w:rPr>
      </w:pPr>
    </w:p>
    <w:p>
      <w:pPr>
        <w:jc w:val="both"/>
        <w:ind w:left="660" w:firstLine="1292"/>
        <w:spacing w:after="0" w:line="263" w:lineRule="auto"/>
        <w:tabs>
          <w:tab w:leader="none" w:pos="2469" w:val="left"/>
        </w:tabs>
        <w:numPr>
          <w:ilvl w:val="1"/>
          <w:numId w:val="415"/>
        </w:numPr>
        <w:rPr>
          <w:rFonts w:ascii="Arial" w:cs="Arial" w:eastAsia="Arial" w:hAnsi="Arial"/>
          <w:sz w:val="18"/>
          <w:szCs w:val="18"/>
          <w:color w:val="auto"/>
        </w:rPr>
      </w:pPr>
      <w:r>
        <w:rPr>
          <w:rFonts w:ascii="Arial" w:cs="Arial" w:eastAsia="Arial" w:hAnsi="Arial"/>
          <w:sz w:val="18"/>
          <w:szCs w:val="18"/>
          <w:color w:val="auto"/>
        </w:rPr>
        <w:t xml:space="preserve">if any other amount payable pursuant to this Agreement, the Note or any other Loan Document (other than as set forth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is not paid in full when due and payable in accordance with the provisions of the applicable Loan Document, with such failure continuing for ten (10) Business Days after Lender delivers written notice thereof to Borrower;</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471" w:val="left"/>
        </w:tabs>
        <w:numPr>
          <w:ilvl w:val="1"/>
          <w:numId w:val="415"/>
        </w:numPr>
        <w:rPr>
          <w:rFonts w:ascii="Arial" w:cs="Arial" w:eastAsia="Arial" w:hAnsi="Arial"/>
          <w:sz w:val="18"/>
          <w:szCs w:val="18"/>
          <w:color w:val="auto"/>
        </w:rPr>
      </w:pPr>
      <w:r>
        <w:rPr>
          <w:rFonts w:ascii="Arial" w:cs="Arial" w:eastAsia="Arial" w:hAnsi="Arial"/>
          <w:sz w:val="18"/>
          <w:szCs w:val="18"/>
          <w:color w:val="auto"/>
        </w:rPr>
        <w:t>if any of the Taxes or Other Charges are not paid when due (provided that it shall not be an Event of Default if such past due Taxes are Real Estate Taxes and there are sufficient funds in the Tax Account to pay such amounts when due, no other Event of Default is then continuing and Servicer fails to make such payment in violation of this Agreement);</w:t>
      </w:r>
    </w:p>
    <w:p>
      <w:pPr>
        <w:spacing w:after="0" w:line="183" w:lineRule="exact"/>
        <w:rPr>
          <w:rFonts w:ascii="Arial" w:cs="Arial" w:eastAsia="Arial" w:hAnsi="Arial"/>
          <w:sz w:val="18"/>
          <w:szCs w:val="18"/>
          <w:color w:val="auto"/>
        </w:rPr>
      </w:pPr>
    </w:p>
    <w:p>
      <w:pPr>
        <w:ind w:left="660" w:firstLine="1292"/>
        <w:spacing w:after="0" w:line="277" w:lineRule="auto"/>
        <w:tabs>
          <w:tab w:leader="none" w:pos="2481" w:val="left"/>
        </w:tabs>
        <w:numPr>
          <w:ilvl w:val="1"/>
          <w:numId w:val="415"/>
        </w:numPr>
        <w:rPr>
          <w:rFonts w:ascii="Arial" w:cs="Arial" w:eastAsia="Arial" w:hAnsi="Arial"/>
          <w:sz w:val="18"/>
          <w:szCs w:val="18"/>
          <w:color w:val="auto"/>
        </w:rPr>
      </w:pPr>
      <w:r>
        <w:rPr>
          <w:rFonts w:ascii="Arial" w:cs="Arial" w:eastAsia="Arial" w:hAnsi="Arial"/>
          <w:sz w:val="18"/>
          <w:szCs w:val="18"/>
          <w:color w:val="auto"/>
        </w:rPr>
        <w:t>if the Policies are not (A) delivered to Lender within five (5) days of Lender’s written request and (B) kept in full force and effect, each in accordance with the terms and conditions hereof;</w:t>
      </w:r>
    </w:p>
    <w:p>
      <w:pPr>
        <w:spacing w:after="0" w:line="170" w:lineRule="exact"/>
        <w:rPr>
          <w:rFonts w:ascii="Arial" w:cs="Arial" w:eastAsia="Arial" w:hAnsi="Arial"/>
          <w:sz w:val="18"/>
          <w:szCs w:val="18"/>
          <w:color w:val="auto"/>
        </w:rPr>
      </w:pPr>
    </w:p>
    <w:p>
      <w:pPr>
        <w:ind w:left="2380" w:hanging="428"/>
        <w:spacing w:after="0"/>
        <w:tabs>
          <w:tab w:leader="none" w:pos="238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a Transfer other than a Permitted Transfer occurs without the express and specific prior written consent of Lender;</w:t>
      </w: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2" w:name="page383"/>
    <w:bookmarkEnd w:id="382"/>
    <w:p>
      <w:pPr>
        <w:jc w:val="both"/>
        <w:ind w:firstLine="1292"/>
        <w:spacing w:after="0" w:line="263" w:lineRule="auto"/>
        <w:tabs>
          <w:tab w:leader="none" w:pos="1798"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if any certification, representation or warranty made by Borrower or Guarantor herein or in any other Loan Document, or in any report, certificate, financial statement or other instrument, agreement or document furnished to Lender shall have been false or misleading in any material respect as of the date such representation or warranty was made;</w:t>
      </w:r>
    </w:p>
    <w:p>
      <w:pPr>
        <w:spacing w:after="0" w:line="183" w:lineRule="exact"/>
        <w:rPr>
          <w:rFonts w:ascii="Arial" w:cs="Arial" w:eastAsia="Arial" w:hAnsi="Arial"/>
          <w:sz w:val="18"/>
          <w:szCs w:val="18"/>
          <w:color w:val="auto"/>
        </w:rPr>
      </w:pPr>
    </w:p>
    <w:p>
      <w:pPr>
        <w:ind w:left="1780" w:hanging="488"/>
        <w:spacing w:after="0"/>
        <w:tabs>
          <w:tab w:leader="none" w:pos="178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if Borrower or Guarantor shall make an assignment for the benefit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creditors;</w:t>
      </w:r>
    </w:p>
    <w:p>
      <w:pPr>
        <w:spacing w:after="0" w:line="225" w:lineRule="exact"/>
        <w:rPr>
          <w:sz w:val="20"/>
          <w:szCs w:val="20"/>
          <w:color w:val="auto"/>
        </w:rPr>
      </w:pPr>
    </w:p>
    <w:p>
      <w:pPr>
        <w:jc w:val="both"/>
        <w:ind w:firstLine="1292"/>
        <w:spacing w:after="0" w:line="273" w:lineRule="auto"/>
        <w:tabs>
          <w:tab w:leader="none" w:pos="1851" w:val="left"/>
        </w:tabs>
        <w:numPr>
          <w:ilvl w:val="0"/>
          <w:numId w:val="417"/>
        </w:numPr>
        <w:rPr>
          <w:rFonts w:ascii="Arial" w:cs="Arial" w:eastAsia="Arial" w:hAnsi="Arial"/>
          <w:sz w:val="17"/>
          <w:szCs w:val="17"/>
          <w:color w:val="auto"/>
        </w:rPr>
      </w:pPr>
      <w:r>
        <w:rPr>
          <w:rFonts w:ascii="Arial" w:cs="Arial" w:eastAsia="Arial" w:hAnsi="Arial"/>
          <w:sz w:val="17"/>
          <w:szCs w:val="17"/>
          <w:color w:val="auto"/>
        </w:rPr>
        <w:t>if a receiver, liquidator or trustee shall be appointed for Borrower or Guarantor or if Borrower or Guarantor shall be adjudicated as bankrupt or insolvent, or if any petition for bankruptcy, reorganization or arrangement pursuant to federal bankruptcy law, or any similar federal or state law, shall be filed by or against, consented to, or acquiesced in by, Borrower or Guarantor, or if any proceeding for the dissolution or liquidation of Borrower or Guarantor shall be instituted, or if Borrower or Guarantor is substantively consolidated with any other Person; provided, however, if such appointment, adjudication, petition, proceeding or consolidation was involuntary and not consented to by Borrower or Guarantor, upon the same not being discharged, stayed or dismissed within thirty (30) days following its filing;</w:t>
      </w:r>
    </w:p>
    <w:p>
      <w:pPr>
        <w:spacing w:after="0" w:line="177" w:lineRule="exact"/>
        <w:rPr>
          <w:rFonts w:ascii="Arial" w:cs="Arial" w:eastAsia="Arial" w:hAnsi="Arial"/>
          <w:sz w:val="17"/>
          <w:szCs w:val="17"/>
          <w:color w:val="auto"/>
        </w:rPr>
      </w:pPr>
    </w:p>
    <w:p>
      <w:pPr>
        <w:ind w:firstLine="1292"/>
        <w:spacing w:after="0" w:line="277" w:lineRule="auto"/>
        <w:tabs>
          <w:tab w:leader="none" w:pos="180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if Borrower attempts to assign its rights under this Agreement or any of the other Loan Documents or any interest herein or therein in contravention of the Loan Documents;</w:t>
      </w:r>
    </w:p>
    <w:p>
      <w:pPr>
        <w:spacing w:after="0" w:line="170" w:lineRule="exact"/>
        <w:rPr>
          <w:rFonts w:ascii="Arial" w:cs="Arial" w:eastAsia="Arial" w:hAnsi="Arial"/>
          <w:sz w:val="18"/>
          <w:szCs w:val="18"/>
          <w:color w:val="auto"/>
        </w:rPr>
      </w:pPr>
    </w:p>
    <w:p>
      <w:pPr>
        <w:jc w:val="both"/>
        <w:ind w:firstLine="1292"/>
        <w:spacing w:after="0" w:line="263" w:lineRule="auto"/>
        <w:tabs>
          <w:tab w:leader="none" w:pos="186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if any of the assumptions contained in the Insolvency Opinion, or in any other non-consolidation opinion delivered to Lender in connection with the Loan, or in any other non-consolidation opinion delivered subsequent to the closing of the Loan, is or shall become untrue in any material respect;</w:t>
      </w:r>
    </w:p>
    <w:p>
      <w:pPr>
        <w:spacing w:after="0" w:line="183" w:lineRule="exact"/>
        <w:rPr>
          <w:rFonts w:ascii="Arial" w:cs="Arial" w:eastAsia="Arial" w:hAnsi="Arial"/>
          <w:sz w:val="18"/>
          <w:szCs w:val="18"/>
          <w:color w:val="auto"/>
        </w:rPr>
      </w:pPr>
    </w:p>
    <w:p>
      <w:pPr>
        <w:ind w:left="1780" w:hanging="488"/>
        <w:spacing w:after="0"/>
        <w:tabs>
          <w:tab w:leader="none" w:pos="17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a breach of the covenants set forth in </w:t>
      </w:r>
      <w:r>
        <w:rPr>
          <w:rFonts w:ascii="Arial" w:cs="Arial" w:eastAsia="Arial" w:hAnsi="Arial"/>
          <w:sz w:val="18"/>
          <w:szCs w:val="18"/>
          <w:u w:val="single" w:color="auto"/>
          <w:color w:val="auto"/>
        </w:rPr>
        <w:t>Sections 4.4</w:t>
      </w:r>
      <w:r>
        <w:rPr>
          <w:rFonts w:ascii="Arial" w:cs="Arial" w:eastAsia="Arial" w:hAnsi="Arial"/>
          <w:sz w:val="18"/>
          <w:szCs w:val="18"/>
          <w:color w:val="auto"/>
        </w:rPr>
        <w:t xml:space="preserve">, </w:t>
      </w:r>
      <w:r>
        <w:rPr>
          <w:rFonts w:ascii="Arial" w:cs="Arial" w:eastAsia="Arial" w:hAnsi="Arial"/>
          <w:sz w:val="18"/>
          <w:szCs w:val="18"/>
          <w:u w:val="single" w:color="auto"/>
          <w:color w:val="auto"/>
        </w:rPr>
        <w:t>4.23, 4.31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4.36</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firstLine="1292"/>
        <w:spacing w:after="0" w:line="277" w:lineRule="auto"/>
        <w:tabs>
          <w:tab w:leader="none" w:pos="180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if Borrower shall be in default under any mortgage or security agreement covering any part of the Property whether it be superior,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in Lien to the Mortgage;</w:t>
      </w:r>
    </w:p>
    <w:p>
      <w:pPr>
        <w:spacing w:after="0" w:line="170" w:lineRule="exact"/>
        <w:rPr>
          <w:rFonts w:ascii="Arial" w:cs="Arial" w:eastAsia="Arial" w:hAnsi="Arial"/>
          <w:sz w:val="18"/>
          <w:szCs w:val="18"/>
          <w:color w:val="auto"/>
        </w:rPr>
      </w:pPr>
    </w:p>
    <w:p>
      <w:pPr>
        <w:ind w:right="20" w:firstLine="1292"/>
        <w:spacing w:after="0" w:line="308" w:lineRule="auto"/>
        <w:tabs>
          <w:tab w:leader="none" w:pos="1821" w:val="left"/>
        </w:tabs>
        <w:numPr>
          <w:ilvl w:val="0"/>
          <w:numId w:val="417"/>
        </w:numPr>
        <w:rPr>
          <w:rFonts w:ascii="Arial" w:cs="Arial" w:eastAsia="Arial" w:hAnsi="Arial"/>
          <w:sz w:val="17"/>
          <w:szCs w:val="17"/>
          <w:color w:val="auto"/>
        </w:rPr>
      </w:pPr>
      <w:r>
        <w:rPr>
          <w:rFonts w:ascii="Arial" w:cs="Arial" w:eastAsia="Arial" w:hAnsi="Arial"/>
          <w:sz w:val="17"/>
          <w:szCs w:val="17"/>
          <w:color w:val="auto"/>
        </w:rPr>
        <w:t xml:space="preserve">subject to Borrower’s right to contest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of this Agreement, if the Property becomes subject to any mechanic’s, materialman’s or other Lien except a Permitted Encumbrance or a Lien for Taxes not then due and payable;</w:t>
      </w:r>
    </w:p>
    <w:p>
      <w:pPr>
        <w:spacing w:after="0" w:line="146" w:lineRule="exact"/>
        <w:rPr>
          <w:rFonts w:ascii="Arial" w:cs="Arial" w:eastAsia="Arial" w:hAnsi="Arial"/>
          <w:sz w:val="17"/>
          <w:szCs w:val="17"/>
          <w:color w:val="auto"/>
        </w:rPr>
      </w:pPr>
    </w:p>
    <w:p>
      <w:pPr>
        <w:ind w:firstLine="1292"/>
        <w:spacing w:after="0" w:line="308" w:lineRule="auto"/>
        <w:tabs>
          <w:tab w:leader="none" w:pos="1781"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alteration, improvement, demolition or removal of any of the Improvements without the prior consent of Lender, other than in accordance with this Agreement and the Leases at the Property entered into in accordance with the Loan Documents;</w:t>
      </w:r>
    </w:p>
    <w:p>
      <w:pPr>
        <w:spacing w:after="0" w:line="146" w:lineRule="exact"/>
        <w:rPr>
          <w:rFonts w:ascii="Arial" w:cs="Arial" w:eastAsia="Arial" w:hAnsi="Arial"/>
          <w:sz w:val="17"/>
          <w:szCs w:val="17"/>
          <w:color w:val="auto"/>
        </w:rPr>
      </w:pPr>
    </w:p>
    <w:p>
      <w:pPr>
        <w:jc w:val="both"/>
        <w:ind w:firstLine="1292"/>
        <w:spacing w:after="0" w:line="257" w:lineRule="auto"/>
        <w:tabs>
          <w:tab w:leader="none" w:pos="178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if, on or after the date on which a Management Agreement is entered into with respect to the Property in accordance with the terms and conditions hereof, without Lender’s prior written consent, (i) the Management Agreement is terminated, (ii) if Manager is an Affiliate of Borrower or any Guarantor, the ownership, management or control of Manager is transferred, (iii) there is a material change in the Management Agreement, or (iv) if there shall be a material default by Borrower under the Management Agreement beyond any applicable notice or grace period;</w:t>
      </w:r>
    </w:p>
    <w:p>
      <w:pPr>
        <w:spacing w:after="0" w:line="39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383" w:name="page384"/>
    <w:bookmarkEnd w:id="383"/>
    <w:p>
      <w:pPr>
        <w:ind w:left="-460" w:firstLine="1292"/>
        <w:spacing w:after="0" w:line="277" w:lineRule="auto"/>
        <w:tabs>
          <w:tab w:leader="none" w:pos="1343"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if Borrower or any Person owning a direct or indirect ownership interest in Borrower shall be convicted of a Patriot Act Offense by a court of competent jurisdiction;</w:t>
      </w:r>
    </w:p>
    <w:p>
      <w:pPr>
        <w:spacing w:after="0" w:line="170" w:lineRule="exact"/>
        <w:rPr>
          <w:rFonts w:ascii="Arial" w:cs="Arial" w:eastAsia="Arial" w:hAnsi="Arial"/>
          <w:sz w:val="18"/>
          <w:szCs w:val="18"/>
          <w:color w:val="auto"/>
        </w:rPr>
      </w:pPr>
    </w:p>
    <w:p>
      <w:pPr>
        <w:ind w:left="1320" w:hanging="488"/>
        <w:spacing w:after="0"/>
        <w:tabs>
          <w:tab w:leader="none" w:pos="13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a breach of any representation, warranty or covenant contained </w:t>
      </w:r>
      <w:r>
        <w:rPr>
          <w:rFonts w:ascii="Arial" w:cs="Arial" w:eastAsia="Arial" w:hAnsi="Arial"/>
          <w:sz w:val="18"/>
          <w:szCs w:val="18"/>
          <w:u w:val="single" w:color="auto"/>
          <w:color w:val="auto"/>
        </w:rPr>
        <w:t>Section 3.1.18</w:t>
      </w:r>
      <w:r>
        <w:rPr>
          <w:rFonts w:ascii="Arial" w:cs="Arial" w:eastAsia="Arial" w:hAnsi="Arial"/>
          <w:sz w:val="18"/>
          <w:szCs w:val="18"/>
          <w:color w:val="auto"/>
        </w:rPr>
        <w:t xml:space="preserve"> hereof;</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(xviii)if Borrower breaches any covenant contained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left="-460" w:firstLine="1292"/>
        <w:spacing w:after="0" w:line="288" w:lineRule="auto"/>
        <w:tabs>
          <w:tab w:leader="none" w:pos="1369" w:val="left"/>
        </w:tabs>
        <w:numPr>
          <w:ilvl w:val="0"/>
          <w:numId w:val="419"/>
        </w:numPr>
        <w:rPr>
          <w:rFonts w:ascii="Arial" w:cs="Arial" w:eastAsia="Arial" w:hAnsi="Arial"/>
          <w:sz w:val="16"/>
          <w:szCs w:val="16"/>
          <w:color w:val="auto"/>
        </w:rPr>
      </w:pPr>
      <w:r>
        <w:rPr>
          <w:rFonts w:ascii="Arial" w:cs="Arial" w:eastAsia="Arial" w:hAnsi="Arial"/>
          <w:sz w:val="16"/>
          <w:szCs w:val="16"/>
          <w:color w:val="auto"/>
        </w:rPr>
        <w:t>if (A) Borrower shall fail in the payment of any rent, additional rent or other charge mentioned in or made payable by the Ground Lease as and when such rent or other charge is payable (unless waived by the landlord under the Ground Lease), (B) there shall occur any default by Borrower, as tenant under the Ground Lease, in the observance or performance of any term, covenant or condition of the Ground Lease on the part of Borrower to be observed or performed beyond any applicable notice and cure periods (unless waived by the landlord under the Ground Lease), (C) if any one or more of the events referred to in the Ground Lease shall occur which would cause the Ground Lease to terminate without notice or action by the landlord under the Ground Lease or which would entitle the landlord to terminate the Ground Lease and the term thereof by giving notice to Borrower, as tenant thereunder (unless waived by the landlord under the Ground Lease), (D) if the leasehold estate created by the Ground Lease shall be surrendered or the Ground Lease shall be terminated or canceled for any reason or under any circumstances whatsoever, or (E) if any of the terms, covenants or conditions of the Ground Lease shall in any manner be modified, changed, supplemented, altered or amended without the consent of Lender except as otherwise permitted by this Agreement;</w:t>
      </w:r>
    </w:p>
    <w:p>
      <w:pPr>
        <w:spacing w:after="0" w:line="168" w:lineRule="exact"/>
        <w:rPr>
          <w:rFonts w:ascii="Arial" w:cs="Arial" w:eastAsia="Arial" w:hAnsi="Arial"/>
          <w:sz w:val="16"/>
          <w:szCs w:val="16"/>
          <w:color w:val="auto"/>
        </w:rPr>
      </w:pPr>
    </w:p>
    <w:p>
      <w:pPr>
        <w:jc w:val="both"/>
        <w:ind w:left="-460" w:firstLine="1292"/>
        <w:spacing w:after="0" w:line="279" w:lineRule="auto"/>
        <w:tabs>
          <w:tab w:leader="none" w:pos="1383" w:val="left"/>
        </w:tabs>
        <w:numPr>
          <w:ilvl w:val="0"/>
          <w:numId w:val="419"/>
        </w:numPr>
        <w:rPr>
          <w:rFonts w:ascii="Arial" w:cs="Arial" w:eastAsia="Arial" w:hAnsi="Arial"/>
          <w:sz w:val="17"/>
          <w:szCs w:val="17"/>
          <w:color w:val="auto"/>
        </w:rPr>
      </w:pPr>
      <w:r>
        <w:rPr>
          <w:rFonts w:ascii="Arial" w:cs="Arial" w:eastAsia="Arial" w:hAnsi="Arial"/>
          <w:sz w:val="17"/>
          <w:szCs w:val="17"/>
          <w:color w:val="auto"/>
        </w:rPr>
        <w:t xml:space="preserve">if (A) there is any default by Borrower, any Borrower Affiliated Tenant and/or their respective successors and/or assigns under the PILOT Documents beyond any applicable notice and cure periods, (B) there is any surrender, termination, cancellation, modification, change, supplement, alteration or amendment of any PILOT Document, and/or (C) there is any breach of any representation, warranty and/or covenant set forth in </w:t>
      </w:r>
      <w:r>
        <w:rPr>
          <w:rFonts w:ascii="Arial" w:cs="Arial" w:eastAsia="Arial" w:hAnsi="Arial"/>
          <w:sz w:val="17"/>
          <w:szCs w:val="17"/>
          <w:u w:val="single" w:color="auto"/>
          <w:color w:val="auto"/>
        </w:rPr>
        <w:t>Sections 3.1.34</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4.15</w:t>
      </w:r>
      <w:r>
        <w:rPr>
          <w:rFonts w:ascii="Arial" w:cs="Arial" w:eastAsia="Arial" w:hAnsi="Arial"/>
          <w:sz w:val="17"/>
          <w:szCs w:val="17"/>
          <w:color w:val="auto"/>
        </w:rPr>
        <w:t xml:space="preserve"> hereof, in each case, with respect to any PILOT Document;</w:t>
      </w: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84" w:name="page385"/>
    <w:bookmarkEnd w:id="384"/>
    <w:p>
      <w:pPr>
        <w:jc w:val="both"/>
        <w:ind w:left="-460" w:firstLine="1292"/>
        <w:spacing w:after="0" w:line="284" w:lineRule="auto"/>
        <w:tabs>
          <w:tab w:leader="none" w:pos="144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if (A) any Borrower Affiliated Tenant or any Borrower Affiliated Lease Guarantor shall make an assignment for the benefit of creditors; (B) a receiver, liquidator or trustee shall be appointed for any Borrower Affiliated Tenant or any Borrower Affiliated Lease Guarantor or if any Borrower Affiliated Tenant or any Borrower Affiliated Lease Guarantor shall be adjudicated as bankrupt or insolvent, or if any petition for bankruptcy, reorganization or arrangement pursuant to federal bankruptcy law, or any similar federal or state law, shall be filed by or against, consented to, or acquiesced in by, any Borrower Affiliated Tenant or any Borrower Affiliated Lease Guarantor, or if any proceeding for the dissolution or liquidation of any Borrower Affiliated Tenant or any Borrower Affiliated Lease Guarantor shall be instituted, or if any Borrower Affiliated Tenant or any Borrower Affiliated Lease Guarantor is substantively consolidated with any other Person (including, without limitation, any substantive consolidation or other similar doctrine under the laws of any foreign jurisdiction, including, without limitation, any reconstruction, amalgamation, pooling and/or piercing the corporate veil under Australian law); provided, however, if such appointment, adjudication, petition, proceeding or consolidation was involuntary and not consented to by any Borrower Affiliated Tenant or any Borrower Affiliated Lease Guarantor, upon the same not being discharged, stayed or dismissed within forty-five (45) days following its filing; (C) any Borrower Affiliated Lease Default Event occurs; (D) Borrower Affiliated Lease Guarantor shall be in monetary or material non-monetary default pursuant to the applicable Borrower Affiliated Lease Guaranty following any applicable cure period expressly set forth in such Borrower Affiliated Lease Guaranty, but without taking into account any requirement to deliver any applicable notice of such default; (E) any Borrower Affiliated Lease and/or any Borrower Affiliated Lease Guaranty shall terminate, be cancelled, or otherwise fail to be in full force and/or effect; (F) there is any assignment or sublease of any Borrower Affiliated Lease without Lender’s prior written approval; (G) there is any assignment by any Borrower Affiliated Lease Guarantor of its applicable Borrower Affiliated Lease Guaranty without Lender’s prior written approval; (H) there is any renewal, amendment and/or modification of any Borrower Affiliated Lease without Lender’s prior written approval; (I) there is any amendment and/or modification of any Borrower Affiliated Lease Guaranty without Lender’s prior written approval; (I) there is any failure by Borrower to enforce the terms, covenants and conditions contained in any Borrower Affiliated Lease or any Borrower Affiliated Lease Guaranty upon the part of the Borrower Affiliated Tenant or Borrower Affiliated Lease Guarantor, as applicable, thereunder to be observed or performed; (J) the leasehold estate created by any Borrower Affiliated Lease shall be surrendered; (K) there is any breach of Section 4.11 hereof with respect to any Borrower Affiliated Lease and/or Borrower Affiliated Lease Guaranty; and/or (L) there is any failure by any Borrower Affiliated Tenant to promptly vacate the Property if requested by Lender following a Borrower Affiliated Lease Default Event and/or Event of Default;</w:t>
      </w:r>
    </w:p>
    <w:p>
      <w:pPr>
        <w:spacing w:after="0" w:line="174" w:lineRule="exact"/>
        <w:rPr>
          <w:rFonts w:ascii="Arial" w:cs="Arial" w:eastAsia="Arial" w:hAnsi="Arial"/>
          <w:sz w:val="16"/>
          <w:szCs w:val="16"/>
          <w:color w:val="auto"/>
        </w:rPr>
      </w:pPr>
    </w:p>
    <w:p>
      <w:pPr>
        <w:jc w:val="both"/>
        <w:ind w:left="-460" w:firstLine="1292"/>
        <w:spacing w:after="0" w:line="259" w:lineRule="auto"/>
        <w:tabs>
          <w:tab w:leader="none" w:pos="139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if there shall be a default under any of the other Loan Documents beyond any applicable cure periods contained in such Loan Documents, whether as to Borrower, Guarantor or the Property, or if any other such event shall occur or condition shall exist, if the effect of such event or condition is to accelerate the maturity of any portion of the Obligations or to permit Lender to accelerate the maturity of all or any portion of the Obligations;</w:t>
      </w:r>
    </w:p>
    <w:p>
      <w:pPr>
        <w:spacing w:after="0" w:line="186" w:lineRule="exact"/>
        <w:rPr>
          <w:rFonts w:ascii="Arial" w:cs="Arial" w:eastAsia="Arial" w:hAnsi="Arial"/>
          <w:sz w:val="18"/>
          <w:szCs w:val="18"/>
          <w:color w:val="auto"/>
        </w:rPr>
      </w:pPr>
    </w:p>
    <w:p>
      <w:pPr>
        <w:jc w:val="both"/>
        <w:ind w:left="-460" w:firstLine="1292"/>
        <w:spacing w:after="0" w:line="269" w:lineRule="auto"/>
        <w:tabs>
          <w:tab w:leader="none" w:pos="1379" w:val="left"/>
        </w:tabs>
        <w:numPr>
          <w:ilvl w:val="0"/>
          <w:numId w:val="420"/>
        </w:numPr>
        <w:rPr>
          <w:rFonts w:ascii="Arial" w:cs="Arial" w:eastAsia="Arial" w:hAnsi="Arial"/>
          <w:sz w:val="17"/>
          <w:szCs w:val="17"/>
          <w:color w:val="auto"/>
        </w:rPr>
      </w:pPr>
      <w:r>
        <w:rPr>
          <w:rFonts w:ascii="Arial" w:cs="Arial" w:eastAsia="Arial" w:hAnsi="Arial"/>
          <w:sz w:val="17"/>
          <w:szCs w:val="17"/>
          <w:color w:val="auto"/>
        </w:rPr>
        <w:t>Guarantor breaches any of the Guarantor Financial Covenants, except to the extent that (1) within five (5) Business Days of the occurrence of such default, Borrower delivers a written notice to Lender of Borrower’s intention to provide an Acceptable Additional Guarantor, together with the Acceptable Additional Guarantor Information, and (2) within ten (10) Business Days following Lender’s approval of the Acceptable Additional Guarantor, the Acceptable Additional Guarantor shall execute a supplemental guaranty of recourse obligations and environmental indemnity (each in form and substance substantially identical to the Guaranty and Environmental Indemnity, provided, however, for the avoidance of doubt, that such Acceptable Additional Guarantor shall be required to satisfy the applicable Liquid Asset and Net Worth covenants with only assets located in the United States and/or Canada) whereby such Acceptable Additional Guarantor shall assume all of the obligations of Guarantor pursuant thereto (on a joint and several basis with the then existing Guarantor). Borrower hereby acknowledges and agrees that, it shall be an Event of Default hereunder if, (A) the Acceptable Additional Guarantor is not approved by Lender (based on Lender’s reasonable determination) or (B) any of the foregoing requirements are not satisfied within the time frame provided for above. Borrower further acknowledges and agrees that no more than two (2) Acceptable Additional Guarantors shall be permitted during the Term, at any time, or from time to time;</w:t>
      </w:r>
    </w:p>
    <w:p>
      <w:pPr>
        <w:spacing w:after="0" w:line="38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85" w:name="page386"/>
    <w:bookmarkEnd w:id="385"/>
    <w:p>
      <w:pPr>
        <w:ind w:left="660" w:firstLine="1292"/>
        <w:spacing w:after="0" w:line="277" w:lineRule="auto"/>
        <w:tabs>
          <w:tab w:leader="none" w:pos="25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if Borrower fails to establish a new Clearing Account and enter into a new clearing account agreement in accordance with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on or prior to the termination of any existing Clearing Account Agreement; or</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55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if any of the terms, covenants or conditions of any Lease Sweep Lease shall in any manner be modified, changed, supplemented, altered or amended or if any Lease Sweep Lease shall be terminated or surrendered, in any case without the consent of Lender except as otherwise permitted by this Agreement; or</w:t>
      </w:r>
    </w:p>
    <w:p>
      <w:pPr>
        <w:spacing w:after="0" w:line="183" w:lineRule="exact"/>
        <w:rPr>
          <w:rFonts w:ascii="Arial" w:cs="Arial" w:eastAsia="Arial" w:hAnsi="Arial"/>
          <w:sz w:val="18"/>
          <w:szCs w:val="18"/>
          <w:color w:val="auto"/>
        </w:rPr>
      </w:pPr>
    </w:p>
    <w:p>
      <w:pPr>
        <w:jc w:val="both"/>
        <w:ind w:left="660" w:firstLine="1292"/>
        <w:spacing w:after="0" w:line="271" w:lineRule="auto"/>
        <w:tabs>
          <w:tab w:leader="none" w:pos="2544" w:val="left"/>
        </w:tabs>
        <w:numPr>
          <w:ilvl w:val="0"/>
          <w:numId w:val="421"/>
        </w:numPr>
        <w:rPr>
          <w:rFonts w:ascii="Arial" w:cs="Arial" w:eastAsia="Arial" w:hAnsi="Arial"/>
          <w:sz w:val="17"/>
          <w:szCs w:val="17"/>
          <w:color w:val="auto"/>
        </w:rPr>
      </w:pPr>
      <w:r>
        <w:rPr>
          <w:rFonts w:ascii="Arial" w:cs="Arial" w:eastAsia="Arial" w:hAnsi="Arial"/>
          <w:sz w:val="17"/>
          <w:szCs w:val="17"/>
          <w:color w:val="auto"/>
        </w:rPr>
        <w:t>if Borrower or Guarantor(s) shall continue to be in Default under any of the other terms, covenants or conditions of this Agreement or any other Loan Document not specified in subsections (i) to (xxv) above, and such Default shall continue for ten (10) days after notice to Borrower from Lender, in the case of any such Default which can be cured by the payment of a sum of money, or for thirty (30) days after notice to Borrower from Lender in the case of any other such Default; provided, however, that if such non-monetary Default is susceptible of cure but cannot reasonably be cured within such 30-day period, and provided further that Borrower and/or Guarantor shall have commenced to cure such Default within such 30-day period shall and thereafter diligently and expeditiously proceed to cure the same, such 30-day period shall be extended for such time as is reasonably necessary for Borrower and/or Guarantor in the exercise of due diligence to cure such Default, such additional period not to exceed sixty (60) days.</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5"/>
          <w:szCs w:val="15"/>
          <w:b w:val="1"/>
          <w:bCs w:val="1"/>
          <w:u w:val="single" w:color="auto"/>
          <w:color w:val="auto"/>
        </w:rPr>
        <w:t>Remedies</w:t>
      </w:r>
      <w:r>
        <w:rPr>
          <w:rFonts w:ascii="Arial" w:cs="Arial" w:eastAsia="Arial" w:hAnsi="Arial"/>
          <w:sz w:val="15"/>
          <w:szCs w:val="15"/>
          <w:b w:val="1"/>
          <w:bCs w:val="1"/>
          <w:color w:val="auto"/>
        </w:rPr>
        <w:t>.</w:t>
      </w:r>
    </w:p>
    <w:p>
      <w:pPr>
        <w:spacing w:after="0" w:line="225"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b w:val="1"/>
          <w:bCs w:val="1"/>
          <w:color w:val="auto"/>
        </w:rPr>
        <w:t>8.2.1</w:t>
      </w:r>
      <w:r>
        <w:rPr>
          <w:sz w:val="20"/>
          <w:szCs w:val="20"/>
          <w:color w:val="auto"/>
        </w:rPr>
        <w:tab/>
      </w:r>
      <w:r>
        <w:rPr>
          <w:rFonts w:ascii="Arial" w:cs="Arial" w:eastAsia="Arial" w:hAnsi="Arial"/>
          <w:sz w:val="16"/>
          <w:szCs w:val="16"/>
          <w:b w:val="1"/>
          <w:bCs w:val="1"/>
          <w:u w:val="single" w:color="auto"/>
          <w:color w:val="auto"/>
        </w:rPr>
        <w:t>Acceleration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Upon the occurrence of an Event of Default (other than an Event of Default described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clauses (vii), (viii) or</w:t>
      </w:r>
    </w:p>
    <w:p>
      <w:pPr>
        <w:spacing w:after="0" w:line="27" w:lineRule="exact"/>
        <w:rPr>
          <w:sz w:val="20"/>
          <w:szCs w:val="20"/>
          <w:color w:val="auto"/>
        </w:rPr>
      </w:pPr>
    </w:p>
    <w:p>
      <w:pPr>
        <w:jc w:val="both"/>
        <w:ind w:firstLine="8"/>
        <w:spacing w:after="0" w:line="268" w:lineRule="auto"/>
        <w:tabs>
          <w:tab w:leader="none" w:pos="305" w:val="left"/>
        </w:tabs>
        <w:numPr>
          <w:ilvl w:val="0"/>
          <w:numId w:val="422"/>
        </w:numPr>
        <w:rPr>
          <w:rFonts w:ascii="Arial" w:cs="Arial" w:eastAsia="Arial" w:hAnsi="Arial"/>
          <w:sz w:val="17"/>
          <w:szCs w:val="17"/>
          <w:u w:val="single" w:color="auto"/>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above) and at any time thereafter, Lender may, in addition to any other rights or remedies available to it pursuant to this Agreement and the other Loan Documents or at law or in equity, take such action, without notice or demand (and Borrower hereby expressly waives any such notice or demand), that Lender deems advisable to protect and enforce its rights against Borrower and in and to the Property, including declaring the Obligations to be immediately due and payable, and Lender may enforce or avail itself of any or all rights or remedies provided in the Loan Documents against Borrower and the Property, including all rights or remedies available at law or in equity; and upon any Event of Default described in </w:t>
      </w:r>
      <w:r>
        <w:rPr>
          <w:rFonts w:ascii="Arial" w:cs="Arial" w:eastAsia="Arial" w:hAnsi="Arial"/>
          <w:sz w:val="17"/>
          <w:szCs w:val="17"/>
          <w:u w:val="single" w:color="auto"/>
          <w:color w:val="auto"/>
        </w:rPr>
        <w:t>clauses (vii), (viii) or (ix)</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above, the Obligations of Borrower hereunder and under the other Loan Documents shall immediately and automatically become due and payable in full, without notice or demand, and Borrower hereby expressly waives any such notice or demand, anything contained herein or in any other Loan Document to the contrary notwithstanding.</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6" w:name="page387"/>
    <w:bookmarkEnd w:id="386"/>
    <w:p>
      <w:pPr>
        <w:jc w:val="both"/>
        <w:ind w:firstLine="1296"/>
        <w:spacing w:after="0" w:line="286" w:lineRule="auto"/>
        <w:rPr>
          <w:sz w:val="20"/>
          <w:szCs w:val="20"/>
          <w:color w:val="auto"/>
        </w:rPr>
      </w:pPr>
      <w:r>
        <w:rPr>
          <w:rFonts w:ascii="Arial" w:cs="Arial" w:eastAsia="Arial" w:hAnsi="Arial"/>
          <w:sz w:val="16"/>
          <w:szCs w:val="16"/>
          <w:b w:val="1"/>
          <w:bCs w:val="1"/>
          <w:color w:val="auto"/>
        </w:rPr>
        <w:t xml:space="preserve">8.2.2 </w:t>
      </w:r>
      <w:r>
        <w:rPr>
          <w:rFonts w:ascii="Arial" w:cs="Arial" w:eastAsia="Arial" w:hAnsi="Arial"/>
          <w:sz w:val="16"/>
          <w:szCs w:val="16"/>
          <w:b w:val="1"/>
          <w:bCs w:val="1"/>
          <w:u w:val="single" w:color="auto"/>
          <w:color w:val="auto"/>
        </w:rPr>
        <w:t>Remedies Cumulative</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all or any one or more of the rights, powers, privileges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remedies available to Lender against Borrower under this Agreement or any of the other Loan Documents executed and delivered by, or applicable to, Borrower or at law or in equity may be exercised by Lender at any time and from time to time, whether or not all or any of the Obligations shall be declared due and payable, and whether or not Lender shall have commenced any foreclosure proceeding or other action for the enforcement of its rights and remedies under any of the Loan Documents with respect to the Property. The rights, powers and remedies of Lender under this Agreement shall be cumulative and not exclusive of any other right, power or remedy which Lender may have against Borrower pursuant to this Agreement or the other Loan Documents, or existing at law or in equity or otherwise. Lender’s rights, powers and remedies may be pursued independently, singly, successively, together or otherwise, at such time and in such order as Lender may determine in its sole discretion, to the fullest extent permitted by law, without impairing or otherwise affecting the other rights and remedies of Lender permitted by law or contract or as set forth herein or in the other Loan Documents or by equity. Without limiting the generality of the foregoing, if an Event of Default is continuing (i) Lender shall not be subject to any “one action” or “election of remedies” law or rule, and (ii) all Liens and other rights, remedies or privileges provided to Lender shall remain in full force and effect until Lender has exhausted all of its remedies against the Property and the Mortgage has been foreclosed, sold and/or otherwise realized upon in satisfaction of the Obligations or the Obligations have been paid in full.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Default or Event of Default with respect to Borrower shall not be construed to be a waiver of any subsequent Default or Event of Default by Borrower or to impair any remedy, right or power consequent thereon.</w:t>
      </w:r>
    </w:p>
    <w:p>
      <w:pPr>
        <w:spacing w:after="0" w:line="16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8.2.3</w:t>
      </w:r>
      <w:r>
        <w:rPr>
          <w:sz w:val="20"/>
          <w:szCs w:val="20"/>
          <w:color w:val="auto"/>
        </w:rPr>
        <w:tab/>
      </w:r>
      <w:r>
        <w:rPr>
          <w:rFonts w:ascii="Arial" w:cs="Arial" w:eastAsia="Arial" w:hAnsi="Arial"/>
          <w:sz w:val="15"/>
          <w:szCs w:val="15"/>
          <w:b w:val="1"/>
          <w:bCs w:val="1"/>
          <w:u w:val="single" w:color="auto"/>
          <w:color w:val="auto"/>
        </w:rPr>
        <w:t>Severance</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1304"/>
        <w:spacing w:after="0" w:line="291" w:lineRule="auto"/>
        <w:tabs>
          <w:tab w:leader="none" w:pos="1998" w:val="left"/>
        </w:tabs>
        <w:numPr>
          <w:ilvl w:val="0"/>
          <w:numId w:val="423"/>
        </w:numPr>
        <w:rPr>
          <w:rFonts w:ascii="Arial" w:cs="Arial" w:eastAsia="Arial" w:hAnsi="Arial"/>
          <w:sz w:val="16"/>
          <w:szCs w:val="16"/>
          <w:color w:val="auto"/>
        </w:rPr>
      </w:pPr>
      <w:r>
        <w:rPr>
          <w:rFonts w:ascii="Arial" w:cs="Arial" w:eastAsia="Arial" w:hAnsi="Arial"/>
          <w:sz w:val="16"/>
          <w:szCs w:val="16"/>
          <w:color w:val="auto"/>
        </w:rPr>
        <w:t>During the continuance of an Event of Default, Lender shall have the right from time to time to partially foreclose the Mortgage in any manner and for any amounts secured by the Mortgage then due and payable as determined by Lender in its sole discretion, including the following circumstances: (i) in the event Borrower defaults beyond any applicable grace period in the payment of one or more scheduled payments of principal and interest, Lender may foreclose the Mortgage to recover such delinquent payments, or (ii) in the event Lender elects to accelerate less than the entire Outstanding Principal Balance, Lender may foreclose the Mortgage to recover so much of the principal balance of the Loan as Lender may accelerate and such other sums secured by the Mortgage as Lender may elect. Notwithstanding one or more partial foreclosures, the Property shall remain subject to the Mortgage to secure payment of the sums secured by the Mortgage and not previously recovered.</w:t>
      </w:r>
    </w:p>
    <w:p>
      <w:pPr>
        <w:spacing w:after="0" w:line="166" w:lineRule="exact"/>
        <w:rPr>
          <w:rFonts w:ascii="Arial" w:cs="Arial" w:eastAsia="Arial" w:hAnsi="Arial"/>
          <w:sz w:val="16"/>
          <w:szCs w:val="16"/>
          <w:color w:val="auto"/>
        </w:rPr>
      </w:pPr>
    </w:p>
    <w:p>
      <w:pPr>
        <w:jc w:val="both"/>
        <w:ind w:firstLine="1304"/>
        <w:spacing w:after="0" w:line="271" w:lineRule="auto"/>
        <w:tabs>
          <w:tab w:leader="none" w:pos="210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During the continuance of an Event of Default, Lender shall have the right from time to time to sever the Note and the other Loan Documents into one or more separate notes, mortgages and other security documents in such denominations as Lender shall determine in its sole discretion. Borrower shall execute and deliver to Lender from time to time, promptly after the request of Lender, a severance agreement and such other documents as Lender shall request in order to effect the severance described in the preceding sentence, all in form and substance reasonably satisfactory to Lender. Borrower hereby absolutely and irrevocably appoints Lender as its true and lawful attorney, coupled with an interest, in its name and stead to make and execute all documents necessary or desirable to effect the aforesaid severance, Borrower ratifying all that its said attorney shall do by virtue thereof; provided, however, Lender shall not make or execute any such documents under such power until three (3) days after notice has been given to Borrower by Lender of Lender’s intent to exercise its rights under such power.</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7" w:name="page388"/>
    <w:bookmarkEnd w:id="387"/>
    <w:p>
      <w:pPr>
        <w:jc w:val="both"/>
        <w:ind w:firstLine="1304"/>
        <w:spacing w:after="0" w:line="263" w:lineRule="auto"/>
        <w:tabs>
          <w:tab w:leader="none" w:pos="2075" w:val="left"/>
        </w:tabs>
        <w:numPr>
          <w:ilvl w:val="0"/>
          <w:numId w:val="424"/>
        </w:numPr>
        <w:rPr>
          <w:rFonts w:ascii="Arial" w:cs="Arial" w:eastAsia="Arial" w:hAnsi="Arial"/>
          <w:sz w:val="18"/>
          <w:szCs w:val="18"/>
          <w:color w:val="auto"/>
        </w:rPr>
      </w:pPr>
      <w:r>
        <w:rPr>
          <w:rFonts w:ascii="Arial" w:cs="Arial" w:eastAsia="Arial" w:hAnsi="Arial"/>
          <w:sz w:val="18"/>
          <w:szCs w:val="18"/>
          <w:color w:val="auto"/>
        </w:rPr>
        <w:t>During the continuance of an Event of Default, any amounts recovered from the Property or any other collateral for the Loan after an Event of Default may be applied by Lender toward the payment of any interest and/or principal of the Loan and/or any other amounts due under the Loan Documents, in such order, priority and proportions as Lender in its sole discretion shall determine.</w:t>
      </w:r>
    </w:p>
    <w:p>
      <w:pPr>
        <w:spacing w:after="0" w:line="18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b w:val="1"/>
          <w:bCs w:val="1"/>
          <w:color w:val="auto"/>
        </w:rPr>
        <w:t xml:space="preserve">8.2.4 </w:t>
      </w:r>
      <w:r>
        <w:rPr>
          <w:rFonts w:ascii="Arial" w:cs="Arial" w:eastAsia="Arial" w:hAnsi="Arial"/>
          <w:sz w:val="16"/>
          <w:szCs w:val="16"/>
          <w:b w:val="1"/>
          <w:bCs w:val="1"/>
          <w:u w:val="single" w:color="auto"/>
          <w:color w:val="auto"/>
        </w:rPr>
        <w:t>Lender’s Right to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Lender may, but shall have no obligation to do so</w:t>
      </w:r>
      <w:r>
        <w:rPr>
          <w:rFonts w:ascii="Arial" w:cs="Arial" w:eastAsia="Arial" w:hAnsi="Arial"/>
          <w:sz w:val="16"/>
          <w:szCs w:val="16"/>
          <w:b w:val="1"/>
          <w:bCs w:val="1"/>
          <w:color w:val="auto"/>
        </w:rPr>
        <w:t xml:space="preserve"> </w:t>
      </w:r>
      <w:r>
        <w:rPr>
          <w:rFonts w:ascii="Arial" w:cs="Arial" w:eastAsia="Arial" w:hAnsi="Arial"/>
          <w:sz w:val="16"/>
          <w:szCs w:val="16"/>
          <w:color w:val="auto"/>
        </w:rPr>
        <w:t>and without notice to or demand on Borrower and without releasing Borrower from any covenant or obligation hereunder or under any of the Loan Documents or being deemed to have cured any Default or Event of Default hereunder, and without in any way limiting Lender’s right to exercise any of its rights, powers or remedies as provided hereunder, or under any of the other Loan Documents, perform, or cause the performance of, any covenant or obligation of Borrower hereunder in such manner and to such extent as Lender determines in its sole discretion in each instance, and all costs, expenses, liabilities, penalties and fines of Lender incurred or paid in connection therewith shall be immediately due and payable by Borrower and shall be added to the Obligations (and to the extent permitted under applicable laws, secured by the Mortgage and the other Loan Documents) and in each case shall bear interest at the Default Rate for the period after the date incurred by or on behalf of Lender until the date of payment by Borrower to Lender.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u w:val="single" w:color="auto"/>
          <w:color w:val="auto"/>
        </w:rPr>
        <w:t>SALE AND SECURITIZATION OF MORTGAGE</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Sale of Mortgage and Securitization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304"/>
        <w:spacing w:after="0" w:line="255" w:lineRule="auto"/>
        <w:tabs>
          <w:tab w:leader="none" w:pos="2209"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Lender shall have the right (i) to sell or otherwise transfer the Loan or any portion thereof as a whole loan, (ii) to sell participation interests in the Loan, or (iii) to securitize the Loan or any portion thereof in a single asset securitization or in one or more pooled loan securitizations. (The transactions referred to in </w:t>
      </w:r>
      <w:r>
        <w:rPr>
          <w:rFonts w:ascii="Arial" w:cs="Arial" w:eastAsia="Arial" w:hAnsi="Arial"/>
          <w:sz w:val="18"/>
          <w:szCs w:val="18"/>
          <w:u w:val="single" w:color="auto"/>
          <w:color w:val="auto"/>
        </w:rPr>
        <w:t>clauses (i), (ii) and (iii)</w:t>
      </w:r>
      <w:r>
        <w:rPr>
          <w:rFonts w:ascii="Arial" w:cs="Arial" w:eastAsia="Arial" w:hAnsi="Arial"/>
          <w:sz w:val="18"/>
          <w:szCs w:val="18"/>
          <w:color w:val="auto"/>
        </w:rPr>
        <w:t xml:space="preserve"> are each hereinafter referred to as a “</w:t>
      </w:r>
      <w:r>
        <w:rPr>
          <w:rFonts w:ascii="Arial" w:cs="Arial" w:eastAsia="Arial" w:hAnsi="Arial"/>
          <w:sz w:val="18"/>
          <w:szCs w:val="18"/>
          <w:b w:val="1"/>
          <w:bCs w:val="1"/>
          <w:i w:val="1"/>
          <w:iCs w:val="1"/>
          <w:color w:val="auto"/>
        </w:rPr>
        <w:t>Secondary Market Transaction</w:t>
      </w:r>
      <w:r>
        <w:rPr>
          <w:rFonts w:ascii="Arial" w:cs="Arial" w:eastAsia="Arial" w:hAnsi="Arial"/>
          <w:sz w:val="18"/>
          <w:szCs w:val="18"/>
          <w:color w:val="auto"/>
        </w:rPr>
        <w:t xml:space="preserve">” and the transactions referred to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hereinafter be referred to as a “</w:t>
      </w:r>
      <w:r>
        <w:rPr>
          <w:rFonts w:ascii="Arial" w:cs="Arial" w:eastAsia="Arial" w:hAnsi="Arial"/>
          <w:sz w:val="18"/>
          <w:szCs w:val="18"/>
          <w:b w:val="1"/>
          <w:bCs w:val="1"/>
          <w:i w:val="1"/>
          <w:iCs w:val="1"/>
          <w:color w:val="auto"/>
        </w:rPr>
        <w:t>Securitization</w:t>
      </w:r>
      <w:r>
        <w:rPr>
          <w:rFonts w:ascii="Arial" w:cs="Arial" w:eastAsia="Arial" w:hAnsi="Arial"/>
          <w:sz w:val="18"/>
          <w:szCs w:val="18"/>
          <w:color w:val="auto"/>
        </w:rPr>
        <w:t>”. Any certificates, notes or other securities issued in connection with a Secondary Market Transaction are hereinafter referred to as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At Lender’s election, each note and/or component comprising the Loan may be subject to one or more Secondary Market Transactions.</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8" w:name="page389"/>
    <w:bookmarkEnd w:id="388"/>
    <w:p>
      <w:pPr>
        <w:jc w:val="both"/>
        <w:ind w:firstLine="1304"/>
        <w:spacing w:after="0" w:line="263" w:lineRule="auto"/>
        <w:tabs>
          <w:tab w:leader="none" w:pos="196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If requested by Lender, Borrower shall assist Lender in satisfying the market standards to which Lender customarily adheres or which may be required in the marketplace, by prospective investors, the Rating Agencies, applicable Legal Requirements and/or otherwise in the marketplace in connection with any Secondary Market Transactions, including to:</w:t>
      </w:r>
    </w:p>
    <w:p>
      <w:pPr>
        <w:spacing w:after="0" w:line="183" w:lineRule="exact"/>
        <w:rPr>
          <w:rFonts w:ascii="Arial" w:cs="Arial" w:eastAsia="Arial" w:hAnsi="Arial"/>
          <w:sz w:val="18"/>
          <w:szCs w:val="18"/>
          <w:color w:val="auto"/>
        </w:rPr>
      </w:pPr>
    </w:p>
    <w:p>
      <w:pPr>
        <w:jc w:val="both"/>
        <w:ind w:left="660" w:firstLine="1292"/>
        <w:spacing w:after="0" w:line="289" w:lineRule="auto"/>
        <w:tabs>
          <w:tab w:leader="none" w:pos="2515" w:val="left"/>
        </w:tabs>
        <w:numPr>
          <w:ilvl w:val="1"/>
          <w:numId w:val="426"/>
        </w:numPr>
        <w:rPr>
          <w:rFonts w:ascii="Arial" w:cs="Arial" w:eastAsia="Arial" w:hAnsi="Arial"/>
          <w:sz w:val="16"/>
          <w:szCs w:val="16"/>
          <w:color w:val="auto"/>
        </w:rPr>
      </w:pPr>
      <w:r>
        <w:rPr>
          <w:rFonts w:ascii="Arial" w:cs="Arial" w:eastAsia="Arial" w:hAnsi="Arial"/>
          <w:sz w:val="16"/>
          <w:szCs w:val="16"/>
          <w:color w:val="auto"/>
        </w:rPr>
        <w:t xml:space="preserve">(A) provide updated financial and other information with respect to the Property, the business operated at the Property, Borrower, Guarantor(s), any Borrower Affiliated Lease (including, without limitation, the PUREgraphite Lease), any Borrower Affiliated Tenant (including, without limitation, the PUREgraphite Tenant), any Borrower Affiliated Lease Guarantor (including, without limitation, the PUREgraphite Guarantor), any Borrower Affiliated Lease Guaranty (including, without limitation, the PUREgraphite Guaranty) and the Manager (if any), including, without limitation, the information set forth on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attached hereto, (B) provide updated budgets and rent rolls (including itemized percentage of floor area occupied and percentage of aggregate base rent for each Tenant) relating to the Property, and (C) provide updated appraisals, market studies, environmental reviews and reports (Phase I’s and, if appropriate, Phase II’s), property condition reports and other due diligence investigations of the Property (the “</w:t>
      </w:r>
      <w:r>
        <w:rPr>
          <w:rFonts w:ascii="Arial" w:cs="Arial" w:eastAsia="Arial" w:hAnsi="Arial"/>
          <w:sz w:val="16"/>
          <w:szCs w:val="16"/>
          <w:b w:val="1"/>
          <w:bCs w:val="1"/>
          <w:i w:val="1"/>
          <w:iCs w:val="1"/>
          <w:color w:val="auto"/>
        </w:rPr>
        <w:t>Updated Information</w:t>
      </w:r>
      <w:r>
        <w:rPr>
          <w:rFonts w:ascii="Arial" w:cs="Arial" w:eastAsia="Arial" w:hAnsi="Arial"/>
          <w:sz w:val="16"/>
          <w:szCs w:val="16"/>
          <w:color w:val="auto"/>
        </w:rPr>
        <w:t>”), together, if customary, with appropriate verification of the Updated Information through letters of auditors or opinions of counsel acceptable to Lender and the Rating Agencies;</w:t>
      </w:r>
    </w:p>
    <w:p>
      <w:pPr>
        <w:spacing w:after="0" w:line="166" w:lineRule="exact"/>
        <w:rPr>
          <w:rFonts w:ascii="Arial" w:cs="Arial" w:eastAsia="Arial" w:hAnsi="Arial"/>
          <w:sz w:val="16"/>
          <w:szCs w:val="16"/>
          <w:color w:val="auto"/>
        </w:rPr>
      </w:pPr>
    </w:p>
    <w:p>
      <w:pPr>
        <w:jc w:val="both"/>
        <w:ind w:left="660" w:firstLine="1292"/>
        <w:spacing w:after="0" w:line="296" w:lineRule="auto"/>
        <w:tabs>
          <w:tab w:leader="none" w:pos="250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provide opinions of counsel, which may be relied upon by Lender, trustee in any Securitization, underwriters, NRSROs and their respective counsel, agents and representatives, as to non-consolidation, fraudulent conveyance and true sale or any other opinion customary in Secondary Market Transactions or required by the Rating Agencies with respect to the Property, the Loan Documents, and Borrower and its Affiliates, which counsel and opinions shall be satisfactory to Lender and the Rating Agencies and which may include additional opinions regarding Australian Persons and/or Australian assets as may be requested by the Rating Agencies and/or reasonably requested by Lender;</w:t>
      </w:r>
    </w:p>
    <w:p>
      <w:pPr>
        <w:spacing w:after="0" w:line="161" w:lineRule="exact"/>
        <w:rPr>
          <w:rFonts w:ascii="Arial" w:cs="Arial" w:eastAsia="Arial" w:hAnsi="Arial"/>
          <w:sz w:val="16"/>
          <w:szCs w:val="16"/>
          <w:color w:val="auto"/>
        </w:rPr>
      </w:pPr>
    </w:p>
    <w:p>
      <w:pPr>
        <w:ind w:left="660" w:firstLine="1292"/>
        <w:spacing w:after="0" w:line="277" w:lineRule="auto"/>
        <w:tabs>
          <w:tab w:leader="none" w:pos="247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provide updated, as of the closing date of any Secondary Market Transaction, representations and warranties made in the Loan Documents and such additional representations and warranties as the Rating Agencies may require; and</w:t>
      </w:r>
    </w:p>
    <w:p>
      <w:pPr>
        <w:spacing w:after="0" w:line="170" w:lineRule="exact"/>
        <w:rPr>
          <w:rFonts w:ascii="Arial" w:cs="Arial" w:eastAsia="Arial" w:hAnsi="Arial"/>
          <w:sz w:val="18"/>
          <w:szCs w:val="18"/>
          <w:color w:val="auto"/>
        </w:rPr>
      </w:pPr>
    </w:p>
    <w:p>
      <w:pPr>
        <w:jc w:val="both"/>
        <w:ind w:left="660" w:firstLine="1292"/>
        <w:spacing w:after="0" w:line="254" w:lineRule="auto"/>
        <w:tabs>
          <w:tab w:leader="none" w:pos="2571"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 review any Disclosure Document or any interim draft thereof furnished by Lender to Borrower with respect to information contained therein that was furnished to Lender by or on behalf of Borrower in connection with the preparation of such Disclosure Document or in connection with the underwriting or closing of the Loan, including financial statements of Borrower and Guarantor, operating statements and rent rolls with respect to the Property, and (B) within three (3) Business Days following Borrower’s receipt thereof, provide to Lender in writing any revisions to such Disclosure Document or interim draft thereof necessary or advisable to insure that such reviewed information does not contain any untrue statement of a material fact or omit to state any material fact necessary to make statements contained therein not misleading.</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9" w:name="page390"/>
    <w:bookmarkEnd w:id="389"/>
    <w:p>
      <w:pPr>
        <w:jc w:val="both"/>
        <w:ind w:firstLine="1304"/>
        <w:spacing w:after="0" w:line="259" w:lineRule="auto"/>
        <w:tabs>
          <w:tab w:leader="none" w:pos="2038"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If, at the time a Disclosure Document is being prepared for a Securitization, Lender expects that Borrower alone or Borrower and one or more Affiliates of Borrower (including any guarantor or other Person that is directly or indirectly committed by contract or otherwise to make payments on all or a part of the Loan) collectively, or the Property alone or the Property and Related Properties collectively, will be a Significant Obligor, Borrower shall furnish to Lender upon request the following financial information:</w:t>
      </w:r>
    </w:p>
    <w:p>
      <w:pPr>
        <w:spacing w:after="0" w:line="186" w:lineRule="exact"/>
        <w:rPr>
          <w:rFonts w:ascii="Arial" w:cs="Arial" w:eastAsia="Arial" w:hAnsi="Arial"/>
          <w:sz w:val="18"/>
          <w:szCs w:val="18"/>
          <w:color w:val="auto"/>
        </w:rPr>
      </w:pPr>
    </w:p>
    <w:p>
      <w:pPr>
        <w:jc w:val="both"/>
        <w:ind w:left="660" w:firstLine="1292"/>
        <w:spacing w:after="0" w:line="255" w:lineRule="auto"/>
        <w:tabs>
          <w:tab w:leader="none" w:pos="250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if Lender expects that the principal amount of the Loan together with any Related Loans, as of the cut-off date for such Securitization, may equal or exceed ten percent (10%) (but less than twenty percent (20%)) of the aggregate principal amount of all mortgage loans included or expected to be included in the Securitization, net operating income for the Property and the Related Properties for the most recent Fiscal Year and interim period as required under Item 1112(b)(1) of Regulation AB (or, if the Loan is not treated as a non-recourse loan under Instruction 3 for Item 1101(k) of Regulation AB, selected financial data meeting the requirements and covering the time periods specified in Item 301 of Regulation S-K and Item 1112(b)(1) of Regulation AB), or</w:t>
      </w:r>
    </w:p>
    <w:p>
      <w:pPr>
        <w:spacing w:after="0" w:line="192" w:lineRule="exact"/>
        <w:rPr>
          <w:rFonts w:ascii="Arial" w:cs="Arial" w:eastAsia="Arial" w:hAnsi="Arial"/>
          <w:sz w:val="18"/>
          <w:szCs w:val="18"/>
          <w:color w:val="auto"/>
        </w:rPr>
      </w:pPr>
    </w:p>
    <w:p>
      <w:pPr>
        <w:jc w:val="both"/>
        <w:ind w:left="660" w:firstLine="1292"/>
        <w:spacing w:after="0" w:line="269" w:lineRule="auto"/>
        <w:tabs>
          <w:tab w:leader="none" w:pos="2494" w:val="left"/>
        </w:tabs>
        <w:numPr>
          <w:ilvl w:val="1"/>
          <w:numId w:val="427"/>
        </w:numPr>
        <w:rPr>
          <w:rFonts w:ascii="Arial" w:cs="Arial" w:eastAsia="Arial" w:hAnsi="Arial"/>
          <w:sz w:val="17"/>
          <w:szCs w:val="17"/>
          <w:color w:val="auto"/>
        </w:rPr>
      </w:pPr>
      <w:r>
        <w:rPr>
          <w:rFonts w:ascii="Arial" w:cs="Arial" w:eastAsia="Arial" w:hAnsi="Arial"/>
          <w:sz w:val="17"/>
          <w:szCs w:val="17"/>
          <w:color w:val="auto"/>
        </w:rPr>
        <w:t>if Lender expects that the principal amount of the Loan together with any Related Loans, as of the cut-off date for such Securitization, may equal or exceed twenty percent (20%) of the aggregate principal amount of all mortgage loans included or expected to be included in the Securitization, the financial statements required under Item 1112(b)(2) of Regulation AB (which includes, but may not be limited to, a balance sheet with respect to the entity that Lender determines to be a Significant Obligor for the two most recent Fiscal Years and applicable interim periods, meeting the requirements of Rule 3-01 of Regulation S-X, and statements of income and statements of cash flows with respect to the Property for the three most recent Fiscal Years and applicable interim periods, meeting the requirements of Rule 3-02 of Regulation S-X (or if Lender determines that the Property is the Significant Obligor and the Property (other than properties that are hotels, nursing homes, or other properties that would be deemed to constitute a business and not real estate under Regulation S-X or other legal requirements) was acquired from an unaffiliated third party and the other conditions set forth in Rule 3-14 of Regulation S-X have been met, the financial statements required by Rule 3-14 of Regulation S-X)).</w:t>
      </w:r>
    </w:p>
    <w:p>
      <w:pPr>
        <w:spacing w:after="0" w:line="185" w:lineRule="exact"/>
        <w:rPr>
          <w:rFonts w:ascii="Arial" w:cs="Arial" w:eastAsia="Arial" w:hAnsi="Arial"/>
          <w:sz w:val="17"/>
          <w:szCs w:val="17"/>
          <w:color w:val="auto"/>
        </w:rPr>
      </w:pPr>
    </w:p>
    <w:p>
      <w:pPr>
        <w:jc w:val="both"/>
        <w:ind w:firstLine="1304"/>
        <w:spacing w:after="0" w:line="269" w:lineRule="auto"/>
        <w:tabs>
          <w:tab w:leader="none" w:pos="2046" w:val="left"/>
        </w:tabs>
        <w:numPr>
          <w:ilvl w:val="0"/>
          <w:numId w:val="427"/>
        </w:numPr>
        <w:rPr>
          <w:rFonts w:ascii="Arial" w:cs="Arial" w:eastAsia="Arial" w:hAnsi="Arial"/>
          <w:sz w:val="17"/>
          <w:szCs w:val="17"/>
          <w:color w:val="auto"/>
        </w:rPr>
      </w:pPr>
      <w:r>
        <w:rPr>
          <w:rFonts w:ascii="Arial" w:cs="Arial" w:eastAsia="Arial" w:hAnsi="Arial"/>
          <w:sz w:val="17"/>
          <w:szCs w:val="17"/>
          <w:color w:val="auto"/>
        </w:rPr>
        <w:t>Further, if requested by Lender, Borrower shall, promptly upon Lender’s request, furnish to Lender financial data or financial statements meeting the requirements of Item 1112(b)(1) or (2) of Regulation AB, as specified by Lender, for any Tenant of the Property (to the extent available to Borrower) if, in connection with a Securitization, Lender expects there to be, as of the cutoff date for such Securitization, a concentration with respect to such Tenant or group of affiliated Tenants within all of the mortgage loans included or expected to be included in the Securitization such that such Tenant or group of affiliated Tenants would constitute a Significant Obligor. Borrower shall furnish to Lender, in connection with the preparation of the Disclosure Documents and on an ongoing basis, financial data and/or financial statements with respect to such Tenants meeting the requirements of Item 1112(b)(1) or (2) of Regulation AB, as specified by Lender, but only for so long as such entity or entities are a Significant Obligor and either (x) filings pursuant to the Exchange Act in connection with or relating to the Securitization (an “</w:t>
      </w:r>
      <w:r>
        <w:rPr>
          <w:rFonts w:ascii="Arial" w:cs="Arial" w:eastAsia="Arial" w:hAnsi="Arial"/>
          <w:sz w:val="17"/>
          <w:szCs w:val="17"/>
          <w:b w:val="1"/>
          <w:bCs w:val="1"/>
          <w:i w:val="1"/>
          <w:iCs w:val="1"/>
          <w:color w:val="auto"/>
        </w:rPr>
        <w:t>Exchange Act Filing</w:t>
      </w:r>
      <w:r>
        <w:rPr>
          <w:rFonts w:ascii="Arial" w:cs="Arial" w:eastAsia="Arial" w:hAnsi="Arial"/>
          <w:sz w:val="17"/>
          <w:szCs w:val="17"/>
          <w:color w:val="auto"/>
        </w:rPr>
        <w:t>”) are required to be made under applicable Legal Requirements or (y) comparable information is required to otherwise be “available” to holders of the Securities under Regulation AB or applicable Legal Requirements.</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0" w:name="page391"/>
    <w:bookmarkEnd w:id="390"/>
    <w:p>
      <w:pPr>
        <w:jc w:val="both"/>
        <w:ind w:firstLine="1304"/>
        <w:spacing w:after="0" w:line="296" w:lineRule="auto"/>
        <w:tabs>
          <w:tab w:leader="none" w:pos="1946"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If Lender determines that Borrower alone or Borrower and one or more Affiliates of Borrower collectively, or the Property alone or the Property and Related Properties collectively, are a Significant Obligor, then Borrower shall furnish to Lender, on an ongoing basis, selected financial data or financial statements meeting the requirements of Item 1112(b)(1) or (2) of Regulation AB, as specified by Lender, but only for so long as such entity or entities are a Significant Obligor and either (x) Exchange Act Filings are required to be made under applicable Legal Requirements or (y) comparable information is required to otherwise be “available” to holders of the Securities under Regulation AB or applicable Legal Requirements.</w:t>
      </w:r>
    </w:p>
    <w:p>
      <w:pPr>
        <w:spacing w:after="0" w:line="161" w:lineRule="exact"/>
        <w:rPr>
          <w:rFonts w:ascii="Arial" w:cs="Arial" w:eastAsia="Arial" w:hAnsi="Arial"/>
          <w:sz w:val="16"/>
          <w:szCs w:val="16"/>
          <w:color w:val="auto"/>
        </w:rPr>
      </w:pPr>
    </w:p>
    <w:p>
      <w:pPr>
        <w:ind w:left="1980" w:hanging="676"/>
        <w:spacing w:after="0"/>
        <w:tabs>
          <w:tab w:leader="none" w:pos="198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 xml:space="preserve">Any financial data or financial statements provided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be furnished to Lender within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 time periods:</w:t>
      </w:r>
    </w:p>
    <w:p>
      <w:pPr>
        <w:spacing w:after="0" w:line="210" w:lineRule="exact"/>
        <w:rPr>
          <w:rFonts w:ascii="Arial" w:cs="Arial" w:eastAsia="Arial" w:hAnsi="Arial"/>
          <w:sz w:val="17"/>
          <w:szCs w:val="17"/>
          <w:color w:val="auto"/>
        </w:rPr>
      </w:pPr>
    </w:p>
    <w:p>
      <w:pPr>
        <w:ind w:left="660" w:firstLine="1292"/>
        <w:spacing w:after="0" w:line="277" w:lineRule="auto"/>
        <w:tabs>
          <w:tab w:leader="none" w:pos="252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with respect to information requested in connection with the preparation of Disclosure Documents for a Securitization, within ten (10) Business Days after notice from Lender; and</w:t>
      </w:r>
    </w:p>
    <w:p>
      <w:pPr>
        <w:spacing w:after="0" w:line="170" w:lineRule="exact"/>
        <w:rPr>
          <w:rFonts w:ascii="Arial" w:cs="Arial" w:eastAsia="Arial" w:hAnsi="Arial"/>
          <w:sz w:val="18"/>
          <w:szCs w:val="18"/>
          <w:color w:val="auto"/>
        </w:rPr>
      </w:pPr>
    </w:p>
    <w:p>
      <w:pPr>
        <w:ind w:left="660" w:right="20" w:firstLine="1292"/>
        <w:spacing w:after="0" w:line="308" w:lineRule="auto"/>
        <w:tabs>
          <w:tab w:leader="none" w:pos="2489" w:val="left"/>
        </w:tabs>
        <w:numPr>
          <w:ilvl w:val="1"/>
          <w:numId w:val="428"/>
        </w:numPr>
        <w:rPr>
          <w:rFonts w:ascii="Arial" w:cs="Arial" w:eastAsia="Arial" w:hAnsi="Arial"/>
          <w:sz w:val="17"/>
          <w:szCs w:val="17"/>
          <w:color w:val="auto"/>
        </w:rPr>
      </w:pPr>
      <w:r>
        <w:rPr>
          <w:rFonts w:ascii="Arial" w:cs="Arial" w:eastAsia="Arial" w:hAnsi="Arial"/>
          <w:sz w:val="17"/>
          <w:szCs w:val="17"/>
          <w:color w:val="auto"/>
        </w:rPr>
        <w:t xml:space="preserve">with respect to ongoing information required under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(1) not later than thirty (30) days after the end of each fiscal quarter of Borrower and (2) not later than seventy-five (75) days after the end of each Fiscal Year of Borrower.</w:t>
      </w:r>
    </w:p>
    <w:p>
      <w:pPr>
        <w:spacing w:after="0" w:line="146" w:lineRule="exact"/>
        <w:rPr>
          <w:rFonts w:ascii="Arial" w:cs="Arial" w:eastAsia="Arial" w:hAnsi="Arial"/>
          <w:sz w:val="17"/>
          <w:szCs w:val="17"/>
          <w:color w:val="auto"/>
        </w:rPr>
      </w:pPr>
    </w:p>
    <w:p>
      <w:pPr>
        <w:jc w:val="both"/>
        <w:ind w:firstLine="1304"/>
        <w:spacing w:after="0" w:line="279" w:lineRule="auto"/>
        <w:tabs>
          <w:tab w:leader="none" w:pos="2032" w:val="left"/>
        </w:tabs>
        <w:numPr>
          <w:ilvl w:val="0"/>
          <w:numId w:val="428"/>
        </w:numPr>
        <w:rPr>
          <w:rFonts w:ascii="Arial" w:cs="Arial" w:eastAsia="Arial" w:hAnsi="Arial"/>
          <w:sz w:val="17"/>
          <w:szCs w:val="17"/>
          <w:color w:val="auto"/>
        </w:rPr>
      </w:pPr>
      <w:r>
        <w:rPr>
          <w:rFonts w:ascii="Arial" w:cs="Arial" w:eastAsia="Arial" w:hAnsi="Arial"/>
          <w:sz w:val="17"/>
          <w:szCs w:val="17"/>
          <w:color w:val="auto"/>
        </w:rPr>
        <w:t>If requested by Lender, Borrower shall provide Lender, promptly, and in any event within three (3) Business Days following Lender’s request therefor, with any other or additional financial statements, or financial, statistical or operating information, as Lender shall reasonably determine to be required pursuant to Regulation S-K or Regulation S-X, as applicable, Regulation AB, or any amendment, modification or replacement thereto or other Legal Requirements relating to a Securitization or as shall otherwise be reasonably requested by the Lender.</w:t>
      </w:r>
    </w:p>
    <w:p>
      <w:pPr>
        <w:spacing w:after="0" w:line="171" w:lineRule="exact"/>
        <w:rPr>
          <w:rFonts w:ascii="Arial" w:cs="Arial" w:eastAsia="Arial" w:hAnsi="Arial"/>
          <w:sz w:val="17"/>
          <w:szCs w:val="17"/>
          <w:color w:val="auto"/>
        </w:rPr>
      </w:pPr>
    </w:p>
    <w:p>
      <w:pPr>
        <w:jc w:val="both"/>
        <w:ind w:firstLine="1304"/>
        <w:spacing w:after="0" w:line="301" w:lineRule="auto"/>
        <w:tabs>
          <w:tab w:leader="none" w:pos="2032"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If requested by Lender, whether in connection with a Securitization or at any time thereafter during which the Loan and any Related Loans are included in a Securitization, Borrower shall provide Lender, promptly upon request, a list of Tenants (including all affiliates of such Tenants) that in the aggregate (1) occupy 10% or more (but less than 20%) of the total floor area of the improvements or represent 10% or more (but less than 20%) of aggregate base rent, and (2) occupy 20% or more of the total floor area of the improvements or represent 20% or more of aggregate base rent.</w:t>
      </w:r>
    </w:p>
    <w:p>
      <w:pPr>
        <w:spacing w:after="0" w:line="157" w:lineRule="exact"/>
        <w:rPr>
          <w:rFonts w:ascii="Arial" w:cs="Arial" w:eastAsia="Arial" w:hAnsi="Arial"/>
          <w:sz w:val="16"/>
          <w:szCs w:val="16"/>
          <w:color w:val="auto"/>
        </w:rPr>
      </w:pPr>
    </w:p>
    <w:p>
      <w:pPr>
        <w:jc w:val="both"/>
        <w:ind w:firstLine="1304"/>
        <w:spacing w:after="0" w:line="269" w:lineRule="auto"/>
        <w:tabs>
          <w:tab w:leader="none" w:pos="1968" w:val="left"/>
        </w:tabs>
        <w:numPr>
          <w:ilvl w:val="0"/>
          <w:numId w:val="428"/>
        </w:numPr>
        <w:rPr>
          <w:rFonts w:ascii="Arial" w:cs="Arial" w:eastAsia="Arial" w:hAnsi="Arial"/>
          <w:sz w:val="17"/>
          <w:szCs w:val="17"/>
          <w:color w:val="auto"/>
        </w:rPr>
      </w:pPr>
      <w:r>
        <w:rPr>
          <w:rFonts w:ascii="Arial" w:cs="Arial" w:eastAsia="Arial" w:hAnsi="Arial"/>
          <w:sz w:val="17"/>
          <w:szCs w:val="17"/>
          <w:color w:val="auto"/>
        </w:rPr>
        <w:t xml:space="preserve">All financial statements provided by Borrower pursuant to this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xml:space="preserve"> shall be prepared in accordance with GAAP, and shall meet the requirements of Regulation S-K or Regulation S-X, as applicable, Regulation AB, and other applicable Legal Requirements. All financial statements relating to a Fiscal Year shall be audited by Independent Accountants in accordance with generally accepted auditing standards, Regulation S-X or Regulation S-K, as applicable, Regulation AB, and all other applicable Legal Requirements, shall be accompanied by the manually executed report of the Independent Accountants thereon, which report shall meet the requirements of Regulation S-K or Regulation S-X, as applicable, Regulation AB, and all other applicable Legal Requirements, and shall be further accompanied by a manually executed written consent of the Independent Accountants, in form and substance acceptable to Lender, to the inclusion of such financial statements in any Disclosure Document and any Exchange Act Filing and to the use of the name of such Independent Accountants and the reference to such Independent Accountants as “experts” in any Disclosure Document and Exchange Act Filing (or comparable information is required to otherwise be available to holders of the Securities under Regulation AB or applicable Legal Requirements), all of which shall be provided at the same time as the related financial statements are required to be provided. All other financial statements shall be certified by the chief financial officer of Borrower, which certification shall state that such financial statements meet the requirements set forth in the first sentence of this paragraph.</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1" w:name="page392"/>
    <w:bookmarkEnd w:id="391"/>
    <w:p>
      <w:pPr>
        <w:jc w:val="both"/>
        <w:ind w:firstLine="1304"/>
        <w:spacing w:after="0" w:line="275" w:lineRule="auto"/>
        <w:tabs>
          <w:tab w:leader="none" w:pos="2023" w:val="left"/>
        </w:tabs>
        <w:numPr>
          <w:ilvl w:val="0"/>
          <w:numId w:val="429"/>
        </w:numPr>
        <w:rPr>
          <w:rFonts w:ascii="Arial" w:cs="Arial" w:eastAsia="Arial" w:hAnsi="Arial"/>
          <w:sz w:val="17"/>
          <w:szCs w:val="17"/>
          <w:color w:val="auto"/>
        </w:rPr>
      </w:pPr>
      <w:r>
        <w:rPr>
          <w:rFonts w:ascii="Arial" w:cs="Arial" w:eastAsia="Arial" w:hAnsi="Arial"/>
          <w:sz w:val="17"/>
          <w:szCs w:val="17"/>
          <w:color w:val="auto"/>
        </w:rPr>
        <w:t>In connection with any Secondary Market Transaction, Lender shall have the right, and Borrower hereby authorizes Lender, to disclose any and all information in Lender’s possession regarding Borrower, Guarantor, any Manager, any tenants and provisions of any leases, the Property and/or the Loan in any Disclosure Document, in any promotional, pre-marketing materials or marketing materials that are prepared by or on behalf of Lender in connection with such Secondary Market Transaction or in connection with any oral or written presentation made by or on behalf of Lender, including without limitation, to any actual or potential investors and any Rating Agencies and other NRSROs.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b w:val="1"/>
          <w:bCs w:val="1"/>
          <w:u w:val="single" w:color="auto"/>
          <w:color w:val="auto"/>
        </w:rPr>
        <w:t>Securitization Indemnification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304"/>
        <w:spacing w:after="0" w:line="269" w:lineRule="auto"/>
        <w:tabs>
          <w:tab w:leader="none" w:pos="2043" w:val="left"/>
        </w:tabs>
        <w:numPr>
          <w:ilvl w:val="0"/>
          <w:numId w:val="430"/>
        </w:numPr>
        <w:rPr>
          <w:rFonts w:ascii="Arial" w:cs="Arial" w:eastAsia="Arial" w:hAnsi="Arial"/>
          <w:sz w:val="17"/>
          <w:szCs w:val="17"/>
          <w:color w:val="auto"/>
        </w:rPr>
      </w:pPr>
      <w:r>
        <w:rPr>
          <w:rFonts w:ascii="Arial" w:cs="Arial" w:eastAsia="Arial" w:hAnsi="Arial"/>
          <w:sz w:val="17"/>
          <w:szCs w:val="17"/>
          <w:color w:val="auto"/>
        </w:rPr>
        <w:t>Borrower understands that certain of the Provided Information and other information provided to Lender by Borrower and its agents, counsel and representatives may be included in preliminary and final disclosure documents in connection with any Secondary Market Transaction, including a Securitization, including without limitation, an offering circular, a prospectus, a prospectus supplement, a private placement memorandum, a structural and collateral term sheet or any other offering document (each, a “</w:t>
      </w:r>
      <w:r>
        <w:rPr>
          <w:rFonts w:ascii="Arial" w:cs="Arial" w:eastAsia="Arial" w:hAnsi="Arial"/>
          <w:sz w:val="17"/>
          <w:szCs w:val="17"/>
          <w:b w:val="1"/>
          <w:bCs w:val="1"/>
          <w:i w:val="1"/>
          <w:iCs w:val="1"/>
          <w:color w:val="auto"/>
        </w:rPr>
        <w:t>Disclosure Document</w:t>
      </w:r>
      <w:r>
        <w:rPr>
          <w:rFonts w:ascii="Arial" w:cs="Arial" w:eastAsia="Arial" w:hAnsi="Arial"/>
          <w:sz w:val="17"/>
          <w:szCs w:val="17"/>
          <w:color w:val="auto"/>
        </w:rPr>
        <w:t>”) (such Provided Information and such other information included in any Disclosure Document collectively, the “</w:t>
      </w:r>
      <w:r>
        <w:rPr>
          <w:rFonts w:ascii="Arial" w:cs="Arial" w:eastAsia="Arial" w:hAnsi="Arial"/>
          <w:sz w:val="17"/>
          <w:szCs w:val="17"/>
          <w:b w:val="1"/>
          <w:bCs w:val="1"/>
          <w:i w:val="1"/>
          <w:iCs w:val="1"/>
          <w:color w:val="auto"/>
        </w:rPr>
        <w:t>Covered Disclosure Information</w:t>
      </w:r>
      <w:r>
        <w:rPr>
          <w:rFonts w:ascii="Arial" w:cs="Arial" w:eastAsia="Arial" w:hAnsi="Arial"/>
          <w:sz w:val="17"/>
          <w:szCs w:val="17"/>
          <w:color w:val="auto"/>
        </w:rPr>
        <w:t>”) and may also be included in filings with the Securities and Exchange Commission pursuant to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or the Securities and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may be made available to investors or prospective investors in the Securities, investment banking firms, NRSROs, accounting firms, law firms and other third-party advisory and service providers relating to any Secondary Market Transaction, including a Securitization. Borrower also understands that the findings and conclusions of any third-party due diligence report obtained by the Lender, the Issuer or the Securitization placement agent or underwriter may be made publicly available if required, and in the manner prescribed, by Section 15E(s)(4)(A) of the Exchange Act and any rules promulgated thereunder.</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2" w:name="page393"/>
    <w:bookmarkEnd w:id="392"/>
    <w:p>
      <w:pPr>
        <w:jc w:val="both"/>
        <w:ind w:firstLine="1304"/>
        <w:spacing w:after="0" w:line="284" w:lineRule="auto"/>
        <w:tabs>
          <w:tab w:leader="none" w:pos="1984"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Borrower and Guarantor each hereby agrees to indemnify Lender (and for purposes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Lender shall include the initial lender, its successors and assigns, and their respective officers and directors) and each Person who controls the Lender within the meaning of Section 15 of the Securities Act or Section 20 of the Exchange Act (collectively, the “</w:t>
      </w:r>
      <w:r>
        <w:rPr>
          <w:rFonts w:ascii="Arial" w:cs="Arial" w:eastAsia="Arial" w:hAnsi="Arial"/>
          <w:sz w:val="16"/>
          <w:szCs w:val="16"/>
          <w:b w:val="1"/>
          <w:bCs w:val="1"/>
          <w:i w:val="1"/>
          <w:iCs w:val="1"/>
          <w:color w:val="auto"/>
        </w:rPr>
        <w:t>Lender Group</w:t>
      </w:r>
      <w:r>
        <w:rPr>
          <w:rFonts w:ascii="Arial" w:cs="Arial" w:eastAsia="Arial" w:hAnsi="Arial"/>
          <w:sz w:val="16"/>
          <w:szCs w:val="16"/>
          <w:color w:val="auto"/>
        </w:rPr>
        <w:t>”), the issuer of the Securities (the “</w:t>
      </w:r>
      <w:r>
        <w:rPr>
          <w:rFonts w:ascii="Arial" w:cs="Arial" w:eastAsia="Arial" w:hAnsi="Arial"/>
          <w:sz w:val="16"/>
          <w:szCs w:val="16"/>
          <w:b w:val="1"/>
          <w:bCs w:val="1"/>
          <w:i w:val="1"/>
          <w:iCs w:val="1"/>
          <w:color w:val="auto"/>
        </w:rPr>
        <w:t>Issuer</w:t>
      </w:r>
      <w:r>
        <w:rPr>
          <w:rFonts w:ascii="Arial" w:cs="Arial" w:eastAsia="Arial" w:hAnsi="Arial"/>
          <w:sz w:val="16"/>
          <w:szCs w:val="16"/>
          <w:color w:val="auto"/>
        </w:rPr>
        <w:t xml:space="preserve">” and for purposes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Issuer shall include its officers, director and each Person who controls the Issuer within the meaning of Section 15 of the Securities Act or Section 20 of the Exchange Act), and any placement agent or underwriter with respect to the Securitization, each of their respective officers and directors and each Person who controls the placement agent or underwriter within the meaning of Section 15 of the Securities Act or Section 20 of the Exchange Act (collectively, the “</w:t>
      </w:r>
      <w:r>
        <w:rPr>
          <w:rFonts w:ascii="Arial" w:cs="Arial" w:eastAsia="Arial" w:hAnsi="Arial"/>
          <w:sz w:val="16"/>
          <w:szCs w:val="16"/>
          <w:b w:val="1"/>
          <w:bCs w:val="1"/>
          <w:i w:val="1"/>
          <w:iCs w:val="1"/>
          <w:color w:val="auto"/>
        </w:rPr>
        <w:t>Underwriter Group</w:t>
      </w:r>
      <w:r>
        <w:rPr>
          <w:rFonts w:ascii="Arial" w:cs="Arial" w:eastAsia="Arial" w:hAnsi="Arial"/>
          <w:sz w:val="16"/>
          <w:szCs w:val="16"/>
          <w:color w:val="auto"/>
        </w:rPr>
        <w:t>”) for any losses, claims, damages or liabilities (collectively, the “</w:t>
      </w:r>
      <w:r>
        <w:rPr>
          <w:rFonts w:ascii="Arial" w:cs="Arial" w:eastAsia="Arial" w:hAnsi="Arial"/>
          <w:sz w:val="16"/>
          <w:szCs w:val="16"/>
          <w:b w:val="1"/>
          <w:bCs w:val="1"/>
          <w:i w:val="1"/>
          <w:iCs w:val="1"/>
          <w:color w:val="auto"/>
        </w:rPr>
        <w:t>Liabilities</w:t>
      </w:r>
      <w:r>
        <w:rPr>
          <w:rFonts w:ascii="Arial" w:cs="Arial" w:eastAsia="Arial" w:hAnsi="Arial"/>
          <w:sz w:val="16"/>
          <w:szCs w:val="16"/>
          <w:color w:val="auto"/>
        </w:rPr>
        <w:t xml:space="preserve">”) to which Lender, the Lender Group, the Issuer or the Underwriter Group may become subject insofar as the Liabilities arise out of, or are based upon, (A) any untrue statement or alleged untrue statement of any material fact contained in the Covered Disclosure Information, (B) the omission or alleged omission to state in the Covered Disclosure Information a material fact required to be stated therein or necessary in order to make the statements in the Covered Disclosure Information, in light of the circumstances under which they were made, not misleading in any material respect, except, in each case, that Borrower shall have no responsibility for (x) any statements contained in any Disclosure Document to which Borrower or its authorized representatives have objected in writing to Lender or that were derived from the Covered Disclosure Information to which Borrower or its authorized representative alerted Lender in writing of the relevant untrue statement or omission, (y) numbers which have been submitted by Borrower and adjusted by any Indemnified Person from those submitted by Borrower to the extent of such adjustment, and/or (z) any third-party report utilized in underwriting and originating the Loan whereby neither Borrower nor any Affiliate thereof had any role in the preparation thereof (with respect to the applicable information) and to the extent the applicable information therein is not derived from Provided Information, or (C) a breach of the representations and warranties made by Borrower in </w:t>
      </w:r>
      <w:r>
        <w:rPr>
          <w:rFonts w:ascii="Arial" w:cs="Arial" w:eastAsia="Arial" w:hAnsi="Arial"/>
          <w:sz w:val="16"/>
          <w:szCs w:val="16"/>
          <w:u w:val="single" w:color="auto"/>
          <w:color w:val="auto"/>
        </w:rPr>
        <w:t>Section 3.1.31</w:t>
      </w:r>
      <w:r>
        <w:rPr>
          <w:rFonts w:ascii="Arial" w:cs="Arial" w:eastAsia="Arial" w:hAnsi="Arial"/>
          <w:sz w:val="16"/>
          <w:szCs w:val="16"/>
          <w:color w:val="auto"/>
        </w:rPr>
        <w:t xml:space="preserve"> of this Agreement (Full and Accurate Disclosure). Borrower also agrees to reimburse Lender, the Lender Group, the Issuer and/or the Underwriter Group for any legal or other expenses reasonably incurred by Lender, the Lender Group, the Issuer and/or the Underwriter Group in connection with investigating or defending the Liabilities. This indemnification provision will be in addition to any liability which Borrower may otherwise have. Borrower acknowledges and agrees that any Person that is included in the Lender Group, the Issuer and/or the Underwriter Group that is not a direct party to this Agreement shall be deemed to be a third-party beneficiary to this Agreement with respect to this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Within five (5) Business Days after Lender’s written request, Borrower and Guarantor shall execute and deliver to Lender a separate indemnification and reimbursement agreement in favor of the Lender Group, the Issuer and the Underwriter Group in form and substance consistent with the indemnification and reimbursement obligations of Borrower under this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Notwithstanding the foregoing, the indemnification provided for under this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shall be effective whether or not an indemnification and reimbursement agreement described above is provided.</w:t>
      </w:r>
    </w:p>
    <w:p>
      <w:pPr>
        <w:spacing w:after="0" w:line="389" w:lineRule="exact"/>
        <w:rPr>
          <w:rFonts w:ascii="Arial" w:cs="Arial" w:eastAsia="Arial" w:hAnsi="Arial"/>
          <w:sz w:val="16"/>
          <w:szCs w:val="16"/>
          <w:color w:val="auto"/>
        </w:rPr>
      </w:pPr>
    </w:p>
    <w:p>
      <w:pPr>
        <w:jc w:val="both"/>
        <w:ind w:firstLine="1304"/>
        <w:spacing w:after="0" w:line="254" w:lineRule="auto"/>
        <w:tabs>
          <w:tab w:leader="none" w:pos="212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In connection with any Exchange Act Filing or other reports containing comparable information that is required to be made “available” to holders of the Securities under Regulation AB or applicable Legal Requirements, Borrower agrees to (i) indemnify Lender, the Lender Group, the Issuer and the Underwriter Group for Liabilities to which Lender, the Lender Group, the Issuer and/or the Underwriter Group may become subject insofar as the Liabilities arise out of, or are based upon, an alleged untrue statement or alleged omission or an untrue statement or omission made in reliance upon, and in conformity with, the Covered Disclosure Information, and (ii) reimburse Lender, the Lender Group, the Issuer and/or the Underwriter Group for any legal or other expenses reasonably incurred by Lender, the Lender Group, the Issuer and/or the Underwriter Group in connection with defending or investigating the Liabilities.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3" w:name="page394"/>
    <w:bookmarkEnd w:id="393"/>
    <w:p>
      <w:pPr>
        <w:jc w:val="both"/>
        <w:ind w:firstLine="1304"/>
        <w:spacing w:after="0" w:line="284" w:lineRule="auto"/>
        <w:tabs>
          <w:tab w:leader="none" w:pos="2113" w:val="left"/>
        </w:tabs>
        <w:numPr>
          <w:ilvl w:val="0"/>
          <w:numId w:val="432"/>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notice of the commencement of any action, such indemnified party will, if a claim in respect thereof is to be made against the indemnifying party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notify the indemnifying party in writing of the commencement thereof, but the omission to so notify the indemnifying party will not relieve the indemnifying party from any liability which the indemnifying party may have to any indemnified party hereunder except to the extent that failure to notify causes prejudice to the indemnifying party. In the event that any action is brought against any indemnified party, and it notifies the indemnifying party of the commencement thereof, the indemnifying party will be entitled, jointly with any other indemnifying party, to participate therein and, to the extent that it (or they) may elect by written notice delivered to the indemnified party promptly after receiving the aforesaid notice from such indemnified party, to assume the defense thereof with counsel satisfactory to such indemnified party. After notice from the indemnifying party to such indemnified party pursuant to the immediately preceding sentence of this </w:t>
      </w:r>
      <w:r>
        <w:rPr>
          <w:rFonts w:ascii="Arial" w:cs="Arial" w:eastAsia="Arial" w:hAnsi="Arial"/>
          <w:sz w:val="16"/>
          <w:szCs w:val="16"/>
          <w:u w:val="single" w:color="auto"/>
          <w:color w:val="auto"/>
        </w:rPr>
        <w:t>Section 9.2(d)</w:t>
      </w:r>
      <w:r>
        <w:rPr>
          <w:rFonts w:ascii="Arial" w:cs="Arial" w:eastAsia="Arial" w:hAnsi="Arial"/>
          <w:sz w:val="16"/>
          <w:szCs w:val="16"/>
          <w:color w:val="auto"/>
        </w:rPr>
        <w:t>, such indemnifying party shall not pay for any legal or other expenses subsequently incurred by such indemnified party in connection with the defense thereof other than reasonable costs of investigation; provided, however, if the defendants in any such action include both the indemnified party and the indemnifying party and the indemnified party shall have reasonably concluded that there are any legal defenses available to it and/or other indemnified parties that are different from or additional to those available to the indemnifying party, the indemnified party or parties shall have the right to select separate counsel to assert such legal defenses and to otherwise participate in the defense of such action on behalf of such indemnified party at the cost of the indemnifying party. The indemnifying party shall not be liable for the expenses of more than one separate counsel unless an indemnified party shall have reasonably concluded that there may be legal defenses available to it that are different from or additional to those available to any other indemnified party. Without the prior written consent of Lender (which consent shall not be unreasonably withheld or delayed), no indemnifying party shall settle or compromise or consent to the entry of any judgment in any pending or threatened claim, action, suit or proceeding in respect of which indemnification may be sought hereunder (whether or not any indemnified party is an actual or potential party to such claim, action, suit or proceeding) unless the indemnifying party shall have given Lender reasonable prior written notice thereof and shall have obtained an unconditional release of each indemnified party hereunder from all liability arising out of such claim, action, suit or proceedings, and such settlement requires no statement as to, or an admission of, fault, culpability or a failure to act, by or on behalf of the Indemnified Party.</w:t>
      </w:r>
    </w:p>
    <w:p>
      <w:pPr>
        <w:spacing w:after="0" w:line="397" w:lineRule="exact"/>
        <w:rPr>
          <w:rFonts w:ascii="Arial" w:cs="Arial" w:eastAsia="Arial" w:hAnsi="Arial"/>
          <w:sz w:val="16"/>
          <w:szCs w:val="16"/>
          <w:color w:val="auto"/>
        </w:rPr>
      </w:pPr>
    </w:p>
    <w:p>
      <w:pPr>
        <w:jc w:val="both"/>
        <w:ind w:firstLine="1304"/>
        <w:spacing w:after="0" w:line="289" w:lineRule="auto"/>
        <w:tabs>
          <w:tab w:leader="none" w:pos="2141" w:val="left"/>
        </w:tabs>
        <w:numPr>
          <w:ilvl w:val="0"/>
          <w:numId w:val="432"/>
        </w:numPr>
        <w:rPr>
          <w:rFonts w:ascii="Arial" w:cs="Arial" w:eastAsia="Arial" w:hAnsi="Arial"/>
          <w:sz w:val="16"/>
          <w:szCs w:val="16"/>
          <w:color w:val="auto"/>
        </w:rPr>
      </w:pPr>
      <w:r>
        <w:rPr>
          <w:rFonts w:ascii="Arial" w:cs="Arial" w:eastAsia="Arial" w:hAnsi="Arial"/>
          <w:sz w:val="16"/>
          <w:szCs w:val="16"/>
          <w:color w:val="auto"/>
        </w:rPr>
        <w:t xml:space="preserve">In order to provide for just and equitable contribution in circumstances in which the indemnity agreement provided for in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or (c) is for any reason held to be unenforceable as to an indemnified party in respect of any Liabilities (or action in respect thereof) referred to therein which would otherwise be indemnifiable under </w:t>
      </w:r>
      <w:r>
        <w:rPr>
          <w:rFonts w:ascii="Arial" w:cs="Arial" w:eastAsia="Arial" w:hAnsi="Arial"/>
          <w:sz w:val="16"/>
          <w:szCs w:val="16"/>
          <w:u w:val="single" w:color="auto"/>
          <w:color w:val="auto"/>
        </w:rPr>
        <w:t>Section 9.2(b)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the indemnifying party shall contribute to the amount paid or payable by the indemnified party as a result of such Liabilities (or action in respect thereof); provided, however, that no Person guilty of fraudulent misrepresentation (within the meaning of Section 11(f) of the Securities Act) shall be entitled to contribution from any Person who was not guilty of such fraudulent misrepresentation. In determining the amount of contribution to which the respective parties are entitled, the following factors shall be considered: (i) the Issuer’s and Borrower’s relative knowledge and access to information concerning the matter with respect to which the claim was asserted; (ii) the opportunity to correct and prevent any statement or omission; and (iii) any other equitable considerations appropriate in the circumstances. Lender and Borrower hereby agree that it would not be equitable if the amount of such contribution were determined by pro rata or per capita allocation.</w:t>
      </w: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4" w:name="page395"/>
    <w:bookmarkEnd w:id="394"/>
    <w:p>
      <w:pPr>
        <w:ind w:firstLine="1304"/>
        <w:spacing w:after="0" w:line="277" w:lineRule="auto"/>
        <w:tabs>
          <w:tab w:leader="none" w:pos="2253"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The liabilities and obligations of both Borrower and Lender under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survive the termination of this Agreement and the satisfaction and discharge of the Debt.</w:t>
      </w:r>
    </w:p>
    <w:p>
      <w:pPr>
        <w:spacing w:after="0" w:line="16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5"/>
          <w:szCs w:val="15"/>
          <w:b w:val="1"/>
          <w:bCs w:val="1"/>
          <w:u w:val="single" w:color="auto"/>
          <w:color w:val="auto"/>
        </w:rPr>
        <w:t>Severance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9.3.1 </w:t>
      </w:r>
      <w:r>
        <w:rPr>
          <w:rFonts w:ascii="Arial" w:cs="Arial" w:eastAsia="Arial" w:hAnsi="Arial"/>
          <w:sz w:val="16"/>
          <w:szCs w:val="16"/>
          <w:b w:val="1"/>
          <w:bCs w:val="1"/>
          <w:u w:val="single" w:color="auto"/>
          <w:color w:val="auto"/>
        </w:rPr>
        <w:t>Severance Documentation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Lender, without in any way limiting Lender’s other rights hereunder, in its sole and absolute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discretion, shall have the right, at any time (whether prior to or after any sale, participation or Securitization of all or any portion of the Loan), to require Borrower to execute and deliver “component” notes and/or modify the Loan in order to create one or more senior and subordinate notes (i.e., an A/B or A/B/C structure) and/or one or more additional components of the Note or Notes (including the implementation of one or more New Mezzanine Loans (in accordance with </w:t>
      </w:r>
      <w:r>
        <w:rPr>
          <w:rFonts w:ascii="Arial" w:cs="Arial" w:eastAsia="Arial" w:hAnsi="Arial"/>
          <w:sz w:val="16"/>
          <w:szCs w:val="16"/>
          <w:u w:val="single" w:color="auto"/>
          <w:color w:val="auto"/>
        </w:rPr>
        <w:t>Section 9.3.2</w:t>
      </w:r>
      <w:r>
        <w:rPr>
          <w:rFonts w:ascii="Arial" w:cs="Arial" w:eastAsia="Arial" w:hAnsi="Arial"/>
          <w:sz w:val="16"/>
          <w:szCs w:val="16"/>
          <w:color w:val="auto"/>
        </w:rPr>
        <w:t xml:space="preserve"> below)), reduce the number of components of the Note or Notes, revise the interest rate for each component, reallocate the principal balances of the Notes and/or the components, increase or decrease the monthly debt service payments for each component or eliminate the component structure and/or the multiple note structure of the Loan (including the elimination of the related allocations of principal and interest payments), provided that the Outstanding Principal Balance of all components immediately after the effective date of such modification equals the Outstanding Principal Balance immediately prior to such modification and the weighted average of the interest rates for all components immediately after the effective date of such modification equals the interest rate of the original Note immediately prior to such modification. At Lender’s election, each note comprising the Loan may be subject to one or more Securitizations. Lender shall have the right to modify the Note and/or Notes and any components in accordance with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provided that such modification shall comply with the terms of this </w:t>
      </w:r>
      <w:r>
        <w:rPr>
          <w:rFonts w:ascii="Arial" w:cs="Arial" w:eastAsia="Arial" w:hAnsi="Arial"/>
          <w:sz w:val="16"/>
          <w:szCs w:val="16"/>
          <w:u w:val="single" w:color="auto"/>
          <w:color w:val="auto"/>
        </w:rPr>
        <w:t>Section 9.3</w:t>
      </w:r>
      <w:r>
        <w:rPr>
          <w:rFonts w:ascii="Arial" w:cs="Arial" w:eastAsia="Arial" w:hAnsi="Arial"/>
          <w:sz w:val="16"/>
          <w:szCs w:val="16"/>
          <w:color w:val="auto"/>
        </w:rPr>
        <w:t>, it shall become immediately effective.</w:t>
      </w:r>
    </w:p>
    <w:p>
      <w:pPr>
        <w:spacing w:after="0" w:line="16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9.3.2 </w:t>
      </w:r>
      <w:r>
        <w:rPr>
          <w:rFonts w:ascii="Arial" w:cs="Arial" w:eastAsia="Arial" w:hAnsi="Arial"/>
          <w:sz w:val="16"/>
          <w:szCs w:val="16"/>
          <w:b w:val="1"/>
          <w:bCs w:val="1"/>
          <w:u w:val="single" w:color="auto"/>
          <w:color w:val="auto"/>
        </w:rPr>
        <w:t>New Mezzanine Loan Option</w:t>
      </w:r>
      <w:r>
        <w:rPr>
          <w:rFonts w:ascii="Arial" w:cs="Arial" w:eastAsia="Arial" w:hAnsi="Arial"/>
          <w:sz w:val="16"/>
          <w:szCs w:val="16"/>
          <w:color w:val="auto"/>
        </w:rPr>
        <w:t>. Lender, without in any way limiting Lender’s other rights hereunder, in its sole and absolute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shall have the right, at any time (whether prior to or after any Secondary Market Transaction), to create one or more mezzanine loans (each, a “</w:t>
      </w:r>
      <w:r>
        <w:rPr>
          <w:rFonts w:ascii="Arial" w:cs="Arial" w:eastAsia="Arial" w:hAnsi="Arial"/>
          <w:sz w:val="16"/>
          <w:szCs w:val="16"/>
          <w:b w:val="1"/>
          <w:bCs w:val="1"/>
          <w:i w:val="1"/>
          <w:iCs w:val="1"/>
          <w:color w:val="auto"/>
        </w:rPr>
        <w:t>New Mezzanine Loan</w:t>
      </w:r>
      <w:r>
        <w:rPr>
          <w:rFonts w:ascii="Arial" w:cs="Arial" w:eastAsia="Arial" w:hAnsi="Arial"/>
          <w:sz w:val="16"/>
          <w:szCs w:val="16"/>
          <w:color w:val="auto"/>
        </w:rPr>
        <w:t xml:space="preserve">”), to (i) establish different interest rates and to reallocate the Outstanding Principal Balance and Monthly Debt Service Payment Amount of the Loan to the Loan and such New Mezzanine Loan(s), (ii) require the payment of the Loan and any New Mezzanine Loan(s) in such order of priority as may be designated by Lender and (iii) modify the Debt Service Coverage Ratio covenants to provide for mortgage only and aggregate tests based on a calculation of each based on the Loan only balance and the aggregate balance of the Loan plus the New Mezzanine Loan(s); </w:t>
      </w:r>
      <w:r>
        <w:rPr>
          <w:rFonts w:ascii="Arial" w:cs="Arial" w:eastAsia="Arial" w:hAnsi="Arial"/>
          <w:sz w:val="16"/>
          <w:szCs w:val="16"/>
          <w:i w:val="1"/>
          <w:iCs w:val="1"/>
          <w:color w:val="auto"/>
        </w:rPr>
        <w:t>provided</w:t>
      </w:r>
      <w:r>
        <w:rPr>
          <w:rFonts w:ascii="Arial" w:cs="Arial" w:eastAsia="Arial" w:hAnsi="Arial"/>
          <w:sz w:val="16"/>
          <w:szCs w:val="16"/>
          <w:color w:val="auto"/>
        </w:rPr>
        <w:t>, that the outstanding principal balance of the Loan and such New Mezzanine Loan(s) immediately after the effective date of the creation of such New Mezzanine Loan(s) equals the Outstanding Principal Balance immediately prior to such modification, the weighted average of the interest rates for the Loan and such New Mezzanine Loan(s) immediately after the effective date of the creation of such New Mezzanine Loan(s) equals the interest rate of the original Note immediately prior to such modification and the combined Debt Service Coverage Ratio threshold equals the Debt Service Coverage Ratio threshold in the Low DSCR Period definition set forth herein. Borrower shall cause the formation of one or more special purpose, bankruptcy remote entities as required by Lender in order to serve as the borrower under any New Mezzanine Loan (each, a “</w:t>
      </w:r>
      <w:r>
        <w:rPr>
          <w:rFonts w:ascii="Arial" w:cs="Arial" w:eastAsia="Arial" w:hAnsi="Arial"/>
          <w:sz w:val="16"/>
          <w:szCs w:val="16"/>
          <w:b w:val="1"/>
          <w:bCs w:val="1"/>
          <w:i w:val="1"/>
          <w:iCs w:val="1"/>
          <w:color w:val="auto"/>
        </w:rPr>
        <w:t>New Mezzanine Loan Borrower</w:t>
      </w:r>
      <w:r>
        <w:rPr>
          <w:rFonts w:ascii="Arial" w:cs="Arial" w:eastAsia="Arial" w:hAnsi="Arial"/>
          <w:sz w:val="16"/>
          <w:szCs w:val="16"/>
          <w:color w:val="auto"/>
        </w:rPr>
        <w:t>”) and the applicable organizational documents of Borrower shall be amended and modified as necessary or required in the formation of any New Mezzanine Loan Borrower.</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5" w:name="page396"/>
    <w:bookmarkEnd w:id="395"/>
    <w:p>
      <w:pPr>
        <w:jc w:val="both"/>
        <w:ind w:firstLine="1296"/>
        <w:spacing w:after="0" w:line="286" w:lineRule="auto"/>
        <w:rPr>
          <w:sz w:val="20"/>
          <w:szCs w:val="20"/>
          <w:color w:val="auto"/>
        </w:rPr>
      </w:pPr>
      <w:r>
        <w:rPr>
          <w:rFonts w:ascii="Arial" w:cs="Arial" w:eastAsia="Arial" w:hAnsi="Arial"/>
          <w:sz w:val="16"/>
          <w:szCs w:val="16"/>
          <w:b w:val="1"/>
          <w:bCs w:val="1"/>
          <w:color w:val="auto"/>
        </w:rPr>
        <w:t xml:space="preserve">9.3.3 </w:t>
      </w:r>
      <w:r>
        <w:rPr>
          <w:rFonts w:ascii="Arial" w:cs="Arial" w:eastAsia="Arial" w:hAnsi="Arial"/>
          <w:sz w:val="16"/>
          <w:szCs w:val="16"/>
          <w:b w:val="1"/>
          <w:bCs w:val="1"/>
          <w:u w:val="single" w:color="auto"/>
          <w:color w:val="auto"/>
        </w:rPr>
        <w:t>Cooperation; Execution; Delivery</w:t>
      </w:r>
      <w:r>
        <w:rPr>
          <w:rFonts w:ascii="Arial" w:cs="Arial" w:eastAsia="Arial" w:hAnsi="Arial"/>
          <w:sz w:val="16"/>
          <w:szCs w:val="16"/>
          <w:color w:val="auto"/>
        </w:rPr>
        <w:t>. Borrower shall reasonably cooperate with all reasonable requests of Lender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If requested by Lender, Borrower shall promptly execute and deliver such documents as shall be required by Lender and any Rating Agency in connection with any modification or New Mezzanine Loan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all in form and substance satisfactory to Lender and satisfactory to any applicable Rating Agency, including, the severance of security documents if requested and/or, in connection with the creation of any New Mezzanine Loan: (i) execution and delivery of a promissory note and loan documents necessary to evidence such New Mezzanine Loan, (ii) execution and delivery of such amendments to the Loan Documents as are necessary in connection with the creation of such New Mezzanine Loan, (iii) delivery of opinions of legal counsel with respect to due execution, authority and enforceability of any modification documents or documents evidencing or securing any New Mezzanine Loan, as applicable and (iv) with respect to any New Mezzanine Loan, delivery of an additional Insolvency Opinion for the Loan and a substantive non-consolidation opinion; each as reasonably acceptable to Lender, prospective investors and/or the Rating Agencies. In the event Borrower fails to execute and deliver such documents to Lender within five (5) Business Days following such request by Lender, Borrower hereby absolutely and irrevocably appoints Lender as its true and lawful attorney, coupled with an interest, in its name and stead to make and execute all documents necessary or desirable to effect such transactions, Borrower hereby ratifying all that such attorney shall do by virtue thereof. It shall be an Event of Default under this Agreement, the Note, the Mortgage and the other Loan Documents if Borrower fails to comply with any of the terms, covenants or conditions of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after expiration of ten (10) Business Days after notice thereof.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b w:val="1"/>
          <w:bCs w:val="1"/>
          <w:u w:val="single" w:color="auto"/>
          <w:color w:val="auto"/>
        </w:rPr>
        <w:t>Exculpation</w:t>
      </w:r>
      <w:r>
        <w:rPr>
          <w:rFonts w:ascii="Arial" w:cs="Arial" w:eastAsia="Arial" w:hAnsi="Arial"/>
          <w:sz w:val="16"/>
          <w:szCs w:val="16"/>
          <w:color w:val="auto"/>
        </w:rPr>
        <w:t>. Subject to the qualifications below, Lender shall not enforce the liability and obligation of Borrower to perform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observe the Obligations contained in the Note, this Agreement, the Mortgage or the other Loan Documents by any action or proceeding wherein a money judgment shall be sought against Borrower, except that Lender may bring a foreclosure action, an action for specific performance or any other appropriate action or proceeding to enable Lender to enforce and realize upon its interest under the Note, this Agreement, the Mortgage and the other Loan Documents, or in the Property, the Gross Revenues or any other collateral given to Lender pursuant to the Loan Documents; provided, however, that, except as specifically provided herein, any judgment in any such action or proceeding shall be enforceable against Borrower only to the extent of Borrower’s interest in the Property, in the Gross Revenues and in any other collateral given to Lender, and Lender, by accepting the Note, this Agreement, the Mortgage and the other Loan Documents, shall not sue for, seek or demand any deficiency judgment against Borrower in any such action or proceeding under or by reason of or under or in connection with the Note, this Agreement, the Mortgage or the other Loan Documents. The provisions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not, however, (a) constitute a waiver, release or impairment of any obligation evidenced or secured by any of the Loan Documents; (b) impair the right of Lender to name Borrower as a party defendant in any action or suit for foreclosure and sale under the Mortgage; (c) affect the validity or enforceability of any of the Loan Documents or any guaranty made in connection with the Loan or any of the rights and remedies of Lender thereunder; (d) impair the right of Lender to obtain the appointment of a receiver; (e) impair the enforcement of the Assignment of Leases; (f) impair the enforcement of the Environmental Indemnity; (g) constitute a prohibition against Lender to seek a deficiency judgment against Borrower in order to fully realize the security granted by the Mortgage or to commence any other appropriate action or proceeding in order for Lender to exercise its remedies against the Property; or (h) constitute a waiver of the right of Lender to enforce the liability and obligation of Borrower, by money judgment or otherwise, to the extent of any loss, damage, cost, expense, liability, claim or other obligation incurred by Lender (including attorneys’ fees and costs reasonably incurred) arising out of or in connection with the following (all such liability and obligation of Borrower for any or all of the following being referred to herein as “</w:t>
      </w:r>
      <w:r>
        <w:rPr>
          <w:rFonts w:ascii="Arial" w:cs="Arial" w:eastAsia="Arial" w:hAnsi="Arial"/>
          <w:sz w:val="16"/>
          <w:szCs w:val="16"/>
          <w:b w:val="1"/>
          <w:bCs w:val="1"/>
          <w:i w:val="1"/>
          <w:iCs w:val="1"/>
          <w:color w:val="auto"/>
        </w:rPr>
        <w:t>Borrower’s Recourse Liabilities</w:t>
      </w:r>
      <w:r>
        <w:rPr>
          <w:rFonts w:ascii="Arial" w:cs="Arial" w:eastAsia="Arial" w:hAnsi="Arial"/>
          <w:sz w:val="16"/>
          <w:szCs w:val="16"/>
          <w:color w:val="auto"/>
        </w:rPr>
        <w:t>”):</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6" w:name="page397"/>
    <w:bookmarkEnd w:id="396"/>
    <w:p>
      <w:pPr>
        <w:ind w:left="660" w:firstLine="1292"/>
        <w:spacing w:after="0" w:line="308" w:lineRule="auto"/>
        <w:tabs>
          <w:tab w:leader="none" w:pos="2855" w:val="left"/>
        </w:tabs>
        <w:numPr>
          <w:ilvl w:val="0"/>
          <w:numId w:val="434"/>
        </w:numPr>
        <w:rPr>
          <w:rFonts w:ascii="Arial" w:cs="Arial" w:eastAsia="Arial" w:hAnsi="Arial"/>
          <w:sz w:val="17"/>
          <w:szCs w:val="17"/>
          <w:color w:val="auto"/>
        </w:rPr>
      </w:pPr>
      <w:r>
        <w:rPr>
          <w:rFonts w:ascii="Arial" w:cs="Arial" w:eastAsia="Arial" w:hAnsi="Arial"/>
          <w:sz w:val="17"/>
          <w:szCs w:val="17"/>
          <w:color w:val="auto"/>
        </w:rPr>
        <w:t>fraud, willful misconduct, misrepresentation or intentional failure to disclose a material fact by or on behalf of Borrower, Guarantor, any Affiliate of Borrower or Guarantor, or any of their respective agents or representatives in connection with the Loan;</w:t>
      </w:r>
    </w:p>
    <w:p>
      <w:pPr>
        <w:spacing w:after="0" w:line="146" w:lineRule="exact"/>
        <w:rPr>
          <w:rFonts w:ascii="Arial" w:cs="Arial" w:eastAsia="Arial" w:hAnsi="Arial"/>
          <w:sz w:val="17"/>
          <w:szCs w:val="17"/>
          <w:color w:val="auto"/>
        </w:rPr>
      </w:pPr>
    </w:p>
    <w:p>
      <w:pPr>
        <w:jc w:val="both"/>
        <w:ind w:left="660" w:firstLine="1292"/>
        <w:spacing w:after="0" w:line="263" w:lineRule="auto"/>
        <w:tabs>
          <w:tab w:leader="none" w:pos="257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breach of any representation, warranty, covenant or indemnification provision in the Environmental Indemnity or in any other Loan Document concerning environmental laws, hazardous substances and/or asbestos and any indemnification of Lender with respect thereto in either document;</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wrongful removal or destruction of any portion of the Property or damage to the Property caused by willful misconduct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 gross negligence;</w:t>
      </w:r>
    </w:p>
    <w:p>
      <w:pPr>
        <w:spacing w:after="0" w:line="210" w:lineRule="exact"/>
        <w:rPr>
          <w:rFonts w:ascii="Arial" w:cs="Arial" w:eastAsia="Arial" w:hAnsi="Arial"/>
          <w:sz w:val="16"/>
          <w:szCs w:val="16"/>
          <w:color w:val="auto"/>
        </w:rPr>
      </w:pPr>
    </w:p>
    <w:p>
      <w:pPr>
        <w:ind w:left="2440" w:hanging="488"/>
        <w:spacing w:after="0"/>
        <w:tabs>
          <w:tab w:leader="none" w:pos="24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physical waste of the Property;</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691"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forfeiture by Borrower of the Property, or any portion thereof, because of the conduct or purported conduct of criminal activity by Borrower or Guarantor or any of their respective agents or representatives in connection therewith, including by reason of any claim under the Racketeer Influenced and Corrupt Organizations Act (RICO);</w:t>
      </w:r>
    </w:p>
    <w:p>
      <w:pPr>
        <w:spacing w:after="0" w:line="183" w:lineRule="exact"/>
        <w:rPr>
          <w:rFonts w:ascii="Arial" w:cs="Arial" w:eastAsia="Arial" w:hAnsi="Arial"/>
          <w:sz w:val="18"/>
          <w:szCs w:val="18"/>
          <w:color w:val="auto"/>
        </w:rPr>
      </w:pPr>
    </w:p>
    <w:p>
      <w:pPr>
        <w:jc w:val="both"/>
        <w:ind w:firstLine="1952"/>
        <w:spacing w:after="0" w:line="272" w:lineRule="auto"/>
        <w:tabs>
          <w:tab w:leader="none" w:pos="2597"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the misappropriation or conversion by or on behalf of Borrower of (A) any Insurance Proceeds paid by reason of any loss, damage or destruction to the Property, or (B) any Awards or other amounts received in connection with the Condemnation of all or a portion of the Property, or (C) any Gross Revenues (including Rents, Insurance Proceeds, security deposits, advance deposits or any other deposits and Lease Sweep Lease Termination Payments and Lease Termination Payments) or (D) any other funds due under the Loan Documents, including, in connection with any of the foregoing, by reason of failure to comply with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or breach of the Clearing Account Agreement or the Cash Management Agreement or (E) following the occurrence of the first Trigger Period, Borrower’s failure to establish a Clearing Account pursuant to a Clearing Account Agreement as, when and to the extent required by Section 6.1 hereof;</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7" w:name="page398"/>
    <w:bookmarkEnd w:id="397"/>
    <w:p>
      <w:pPr>
        <w:ind w:left="660" w:firstLine="1292"/>
        <w:spacing w:after="0" w:line="277" w:lineRule="auto"/>
        <w:tabs>
          <w:tab w:leader="none" w:pos="268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subject to Borrower’s right to contest set forth in Section 4.3 hereof, failure to pay charges for labor or materials or other charges that can create Liens on any portion of the Property;</w:t>
      </w:r>
    </w:p>
    <w:p>
      <w:pPr>
        <w:spacing w:after="0" w:line="170" w:lineRule="exact"/>
        <w:rPr>
          <w:rFonts w:ascii="Arial" w:cs="Arial" w:eastAsia="Arial" w:hAnsi="Arial"/>
          <w:sz w:val="18"/>
          <w:szCs w:val="18"/>
          <w:color w:val="auto"/>
        </w:rPr>
      </w:pPr>
    </w:p>
    <w:p>
      <w:pPr>
        <w:ind w:left="660" w:firstLine="1292"/>
        <w:spacing w:after="0" w:line="277" w:lineRule="auto"/>
        <w:tabs>
          <w:tab w:leader="none" w:pos="272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security deposits, advance deposits or any other deposits collected with respect to the Property which are not delivered to Lender in accordance with the provisions of the Loan Documents;</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failure to pay Taxes or transfer taxes;</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729"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failure to obtain and maintain the fully paid for Policies in accordance with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hereof, including, without limitation, any failure of the Borrower to obtain and maintain the Required Excess Flood Coverage Policy pursuant to and in accordance with </w:t>
      </w:r>
      <w:r>
        <w:rPr>
          <w:rFonts w:ascii="Arial" w:cs="Arial" w:eastAsia="Arial" w:hAnsi="Arial"/>
          <w:sz w:val="18"/>
          <w:szCs w:val="18"/>
          <w:u w:val="single" w:color="auto"/>
          <w:color w:val="auto"/>
        </w:rPr>
        <w:t>Section 5.1.1(j)</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color w:val="auto"/>
        </w:rPr>
      </w:pPr>
    </w:p>
    <w:p>
      <w:pPr>
        <w:jc w:val="both"/>
        <w:ind w:left="660" w:firstLine="1292"/>
        <w:spacing w:after="0" w:line="275" w:lineRule="auto"/>
        <w:tabs>
          <w:tab w:leader="none" w:pos="2652" w:val="left"/>
        </w:tabs>
        <w:numPr>
          <w:ilvl w:val="0"/>
          <w:numId w:val="435"/>
        </w:numPr>
        <w:rPr>
          <w:rFonts w:ascii="Arial" w:cs="Arial" w:eastAsia="Arial" w:hAnsi="Arial"/>
          <w:sz w:val="17"/>
          <w:szCs w:val="17"/>
          <w:color w:val="auto"/>
        </w:rPr>
      </w:pPr>
      <w:r>
        <w:rPr>
          <w:rFonts w:ascii="Arial" w:cs="Arial" w:eastAsia="Arial" w:hAnsi="Arial"/>
          <w:sz w:val="17"/>
          <w:szCs w:val="17"/>
          <w:color w:val="auto"/>
        </w:rPr>
        <w:t xml:space="preserve">if there is (A) any default by Borrower, any Borrower Affiliated Tenant (including, without limitation, PUREgraphite Tenant), and/or their respective successors and/or assigns under the PILOT Documents, (B) any surrender, termination, cancellation, modification, change, supplement, alteration or amendment of any PILOT Document, including, without limitation, in each case, any increase in Real Estate Taxes as a result of any of the foregoing, and/or (C) any breach of any representation, warranty and/or covenant set forth in </w:t>
      </w:r>
      <w:r>
        <w:rPr>
          <w:rFonts w:ascii="Arial" w:cs="Arial" w:eastAsia="Arial" w:hAnsi="Arial"/>
          <w:sz w:val="17"/>
          <w:szCs w:val="17"/>
          <w:u w:val="single" w:color="auto"/>
          <w:color w:val="auto"/>
        </w:rPr>
        <w:t>Sections 3.1.34</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4.15</w:t>
      </w:r>
      <w:r>
        <w:rPr>
          <w:rFonts w:ascii="Arial" w:cs="Arial" w:eastAsia="Arial" w:hAnsi="Arial"/>
          <w:sz w:val="17"/>
          <w:szCs w:val="17"/>
          <w:color w:val="auto"/>
        </w:rPr>
        <w:t xml:space="preserve"> hereof, in each case, with respect to any PILOT Document;</w:t>
      </w:r>
    </w:p>
    <w:p>
      <w:pPr>
        <w:spacing w:after="0" w:line="176" w:lineRule="exact"/>
        <w:rPr>
          <w:rFonts w:ascii="Arial" w:cs="Arial" w:eastAsia="Arial" w:hAnsi="Arial"/>
          <w:sz w:val="17"/>
          <w:szCs w:val="17"/>
          <w:color w:val="auto"/>
        </w:rPr>
      </w:pPr>
    </w:p>
    <w:p>
      <w:pPr>
        <w:ind w:left="2900" w:hanging="948"/>
        <w:spacing w:after="0"/>
        <w:tabs>
          <w:tab w:leader="none" w:pos="290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failure of Manager (if any) to comply with the transition obligations under the applicable Assignment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Management Agreement;</w:t>
      </w:r>
    </w:p>
    <w:p>
      <w:pPr>
        <w:spacing w:after="0" w:line="210" w:lineRule="exact"/>
        <w:rPr>
          <w:rFonts w:ascii="Arial" w:cs="Arial" w:eastAsia="Arial" w:hAnsi="Arial"/>
          <w:sz w:val="17"/>
          <w:szCs w:val="17"/>
          <w:color w:val="auto"/>
        </w:rPr>
      </w:pPr>
    </w:p>
    <w:p>
      <w:pPr>
        <w:ind w:left="2620" w:hanging="668"/>
        <w:spacing w:after="0"/>
        <w:tabs>
          <w:tab w:leader="none" w:pos="26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Borrower’s indemnification of Lender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660" w:firstLine="1292"/>
        <w:spacing w:after="0" w:line="277" w:lineRule="auto"/>
        <w:tabs>
          <w:tab w:leader="none" w:pos="277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cost or expense incurred by Lender in connection with the enforcement of its rights and remedies under this Section 10.1, under the Guaranty and/or under the Environmental Indemnity;</w:t>
      </w:r>
    </w:p>
    <w:p>
      <w:pPr>
        <w:spacing w:after="0" w:line="170" w:lineRule="exact"/>
        <w:rPr>
          <w:rFonts w:ascii="Arial" w:cs="Arial" w:eastAsia="Arial" w:hAnsi="Arial"/>
          <w:sz w:val="18"/>
          <w:szCs w:val="18"/>
          <w:color w:val="auto"/>
        </w:rPr>
      </w:pPr>
    </w:p>
    <w:p>
      <w:pPr>
        <w:jc w:val="both"/>
        <w:ind w:firstLine="1952"/>
        <w:spacing w:after="0" w:line="255" w:lineRule="auto"/>
        <w:tabs>
          <w:tab w:leader="none" w:pos="274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if (A) any Borrower Affiliated Lease Default Event occurs; (B) Borrower Affiliated Lease Guarantor shall be in monetary or material non-monetary default pursuant to the applicable Borrower Affiliated Lease Guaranty following any applicable cure period expressly set forth in such Borrower Affiliated Lease Guaranty, but without taking into account any requirement to deliver any applicable notice of such default; and/or (C) there is any failure by Borrower to enforce the terms, covenants and conditions contained in any Borrower Affiliated Lease or any Borrower Affiliated Lease Guaranty upon the part of the Borrower Affiliated Tenant or Borrower Affiliated Lease Guarantor, as applicable, thereunder to be observed or performed;</w:t>
      </w:r>
    </w:p>
    <w:p>
      <w:pPr>
        <w:spacing w:after="0" w:line="192" w:lineRule="exact"/>
        <w:rPr>
          <w:rFonts w:ascii="Arial" w:cs="Arial" w:eastAsia="Arial" w:hAnsi="Arial"/>
          <w:sz w:val="18"/>
          <w:szCs w:val="18"/>
          <w:color w:val="auto"/>
        </w:rPr>
      </w:pPr>
    </w:p>
    <w:p>
      <w:pPr>
        <w:ind w:left="2620" w:hanging="668"/>
        <w:spacing w:after="0"/>
        <w:tabs>
          <w:tab w:leader="none" w:pos="26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if any Monthly OpEx Certification shall be false or misleading in any material respect;</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8" w:name="page399"/>
    <w:bookmarkEnd w:id="398"/>
    <w:p>
      <w:pPr>
        <w:ind w:left="-460" w:firstLine="1292"/>
        <w:spacing w:after="0" w:line="277" w:lineRule="auto"/>
        <w:tabs>
          <w:tab w:leader="none" w:pos="163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any Borrower Affiliated Tenant files a voluntary petition under the Bankruptcy Code or any other Federal or state bankruptcy or insolvency law;</w:t>
      </w:r>
    </w:p>
    <w:p>
      <w:pPr>
        <w:spacing w:after="0" w:line="170" w:lineRule="exact"/>
        <w:rPr>
          <w:rFonts w:ascii="Arial" w:cs="Arial" w:eastAsia="Arial" w:hAnsi="Arial"/>
          <w:sz w:val="18"/>
          <w:szCs w:val="18"/>
          <w:color w:val="auto"/>
        </w:rPr>
      </w:pPr>
    </w:p>
    <w:p>
      <w:pPr>
        <w:jc w:val="both"/>
        <w:ind w:left="-460" w:firstLine="1292"/>
        <w:spacing w:after="0" w:line="275" w:lineRule="auto"/>
        <w:tabs>
          <w:tab w:leader="none" w:pos="1477" w:val="left"/>
        </w:tabs>
        <w:numPr>
          <w:ilvl w:val="0"/>
          <w:numId w:val="436"/>
        </w:numPr>
        <w:rPr>
          <w:rFonts w:ascii="Arial" w:cs="Arial" w:eastAsia="Arial" w:hAnsi="Arial"/>
          <w:sz w:val="17"/>
          <w:szCs w:val="17"/>
          <w:color w:val="auto"/>
        </w:rPr>
      </w:pPr>
      <w:r>
        <w:rPr>
          <w:rFonts w:ascii="Arial" w:cs="Arial" w:eastAsia="Arial" w:hAnsi="Arial"/>
          <w:sz w:val="17"/>
          <w:szCs w:val="17"/>
          <w:color w:val="auto"/>
        </w:rPr>
        <w:t>any Borrower Affiliated Tenant is substantively consolidated with any other Person (including, without limitation, any substantive consolidation or other similar doctrine under the laws of any foreign jurisdiction, including, without limitation, any reconstruction, amalgamation, pooling and/or piercing the corporate veil under Australian law); unless such consolidation was involuntary and not consented to by Borrower, Guarantor, any Borrower Affiliated Lease Guarantor, and/or such Borrower Affiliated Tenant and is discharged, stayed or dismissed within thirty (30) days following the occurrence of such consolidation;</w:t>
      </w:r>
    </w:p>
    <w:p>
      <w:pPr>
        <w:spacing w:after="0" w:line="176" w:lineRule="exact"/>
        <w:rPr>
          <w:rFonts w:ascii="Arial" w:cs="Arial" w:eastAsia="Arial" w:hAnsi="Arial"/>
          <w:sz w:val="17"/>
          <w:szCs w:val="17"/>
          <w:color w:val="auto"/>
        </w:rPr>
      </w:pPr>
    </w:p>
    <w:p>
      <w:pPr>
        <w:jc w:val="both"/>
        <w:ind w:left="-460" w:firstLine="1292"/>
        <w:spacing w:after="0" w:line="257" w:lineRule="auto"/>
        <w:tabs>
          <w:tab w:leader="none" w:pos="152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filing of an involuntary petition against any Borrower Affiliated Tenant under the Bankruptcy Code or any other Federal or state bankruptcy or insolvency law by any other Person in which Borrower, Guarantor, Borrower Affiliated Tenant or Borrower Affiliated Lease Guarantor colludes with or otherwise intentionally assists such Person, and/or Borrower, Guarantor, Borrower Affiliated Tenant or Borrower Affiliated Lease Guarantor solicits or causes to be solicited petitioning creditors for any involuntary petition against Borrower Affiliated Tenant by any Person;</w:t>
      </w:r>
    </w:p>
    <w:p>
      <w:pPr>
        <w:spacing w:after="0" w:line="187" w:lineRule="exact"/>
        <w:rPr>
          <w:rFonts w:ascii="Arial" w:cs="Arial" w:eastAsia="Arial" w:hAnsi="Arial"/>
          <w:sz w:val="18"/>
          <w:szCs w:val="18"/>
          <w:color w:val="auto"/>
        </w:rPr>
      </w:pPr>
    </w:p>
    <w:p>
      <w:pPr>
        <w:ind w:left="-460" w:firstLine="1292"/>
        <w:spacing w:after="0" w:line="342" w:lineRule="auto"/>
        <w:tabs>
          <w:tab w:leader="none" w:pos="1417"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any Borrower Affiliated Tenant files an answer consenting to, or otherwise acquiescing in, or joining in, any involuntary petition filed against it by any other Person under the Bankruptcy Code or any other Federal or state bankruptcy or insolvency law;</w:t>
      </w:r>
    </w:p>
    <w:p>
      <w:pPr>
        <w:spacing w:after="0" w:line="123" w:lineRule="exact"/>
        <w:rPr>
          <w:rFonts w:ascii="Arial" w:cs="Arial" w:eastAsia="Arial" w:hAnsi="Arial"/>
          <w:sz w:val="16"/>
          <w:szCs w:val="16"/>
          <w:color w:val="auto"/>
        </w:rPr>
      </w:pPr>
    </w:p>
    <w:p>
      <w:pPr>
        <w:jc w:val="both"/>
        <w:ind w:left="-460" w:firstLine="1292"/>
        <w:spacing w:after="0" w:line="259" w:lineRule="auto"/>
        <w:tabs>
          <w:tab w:leader="none" w:pos="1568" w:val="left"/>
        </w:tabs>
        <w:numPr>
          <w:ilvl w:val="0"/>
          <w:numId w:val="436"/>
        </w:numPr>
        <w:rPr>
          <w:rFonts w:ascii="Arial" w:cs="Arial" w:eastAsia="Arial" w:hAnsi="Arial"/>
          <w:sz w:val="18"/>
          <w:szCs w:val="18"/>
          <w:color w:val="auto"/>
        </w:rPr>
      </w:pPr>
      <w:r>
        <w:rPr>
          <w:rFonts w:ascii="Arial" w:cs="Arial" w:eastAsia="Arial" w:hAnsi="Arial"/>
          <w:sz w:val="18"/>
          <w:szCs w:val="18"/>
          <w:color w:val="auto"/>
        </w:rPr>
        <w:t>Borrower, Guarantor, any Borrower Affiliated Tenant or any Borrower Affiliated Lease Guarantor or any Affiliate, officer, director or representative which controls Borrower, Guarantor, Borrower Affiliated Tenant or Borrower Affiliated Lease Guarantor consents to, or acquiesces in, or joins in, an application for the appointment of a custodian, receiver, trustee or examiner for any Borrower Affiliated Tenant or any portion of the Property;</w:t>
      </w:r>
    </w:p>
    <w:p>
      <w:pPr>
        <w:spacing w:after="0" w:line="186" w:lineRule="exact"/>
        <w:rPr>
          <w:rFonts w:ascii="Arial" w:cs="Arial" w:eastAsia="Arial" w:hAnsi="Arial"/>
          <w:sz w:val="18"/>
          <w:szCs w:val="18"/>
          <w:color w:val="auto"/>
        </w:rPr>
      </w:pPr>
    </w:p>
    <w:p>
      <w:pPr>
        <w:ind w:left="-460" w:firstLine="1292"/>
        <w:spacing w:after="0" w:line="277" w:lineRule="auto"/>
        <w:tabs>
          <w:tab w:leader="none" w:pos="154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any Borrower Affiliated Tenant makes an assignment for the benefit of creditors or admits, in writing or in any legal proceeding, its insolvency or inability to pay its debts as they become due;</w:t>
      </w:r>
    </w:p>
    <w:p>
      <w:pPr>
        <w:spacing w:after="0" w:line="170" w:lineRule="exact"/>
        <w:rPr>
          <w:rFonts w:ascii="Arial" w:cs="Arial" w:eastAsia="Arial" w:hAnsi="Arial"/>
          <w:sz w:val="18"/>
          <w:szCs w:val="18"/>
          <w:color w:val="auto"/>
        </w:rPr>
      </w:pPr>
    </w:p>
    <w:p>
      <w:pPr>
        <w:ind w:left="-460" w:right="20" w:firstLine="1292"/>
        <w:spacing w:after="0" w:line="342" w:lineRule="auto"/>
        <w:tabs>
          <w:tab w:leader="none" w:pos="1426"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any failure of the Property to have access to, and/or to be served by, the Affected Underground Utilities, any curtailment and/or interruption of the Affected Underground Utilities, and/or any breach of the covenants set forth in Section 4.38 hereto; and/or</w:t>
      </w:r>
    </w:p>
    <w:p>
      <w:pPr>
        <w:spacing w:after="0" w:line="123" w:lineRule="exact"/>
        <w:rPr>
          <w:rFonts w:ascii="Arial" w:cs="Arial" w:eastAsia="Arial" w:hAnsi="Arial"/>
          <w:sz w:val="16"/>
          <w:szCs w:val="16"/>
          <w:color w:val="auto"/>
        </w:rPr>
      </w:pPr>
    </w:p>
    <w:p>
      <w:pPr>
        <w:ind w:left="-460" w:firstLine="1292"/>
        <w:spacing w:after="0" w:line="277" w:lineRule="auto"/>
        <w:tabs>
          <w:tab w:leader="none" w:pos="145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any failure of the Required Excess Flood Coverage Policy to be in full force and effect prior to the date on which such Required Excess Flood Coverage Policy is obtained pursuant to and in accordance with Section 5.1.1(j) hereof.</w:t>
      </w:r>
    </w:p>
    <w:p>
      <w:pPr>
        <w:spacing w:after="0" w:line="37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99" w:name="page400"/>
    <w:bookmarkEnd w:id="399"/>
    <w:p>
      <w:pPr>
        <w:jc w:val="both"/>
        <w:spacing w:after="0" w:line="301" w:lineRule="auto"/>
        <w:rPr>
          <w:sz w:val="20"/>
          <w:szCs w:val="20"/>
          <w:color w:val="auto"/>
        </w:rPr>
      </w:pPr>
      <w:r>
        <w:rPr>
          <w:rFonts w:ascii="Arial" w:cs="Arial" w:eastAsia="Arial" w:hAnsi="Arial"/>
          <w:sz w:val="16"/>
          <w:szCs w:val="16"/>
          <w:color w:val="auto"/>
        </w:rPr>
        <w:t>Notwithstanding anything to the contrary in this Agreement or any of the other Loan Documents, (A) Lender shall not be deemed to have waived any right which Lender may have under Section 506(a), 506(b), 1111(b) or any other provisions of the Bankruptcy Code to file a claim for the full amount of the Obligations or to require that all collateral shall continue to secure all of the Obligations owing to Lender in accordance with the Loan Documents, and (B) the Obligations shall be fully recourse to Borrower in the event that any of the following occur (each, a “</w:t>
      </w:r>
      <w:r>
        <w:rPr>
          <w:rFonts w:ascii="Arial" w:cs="Arial" w:eastAsia="Arial" w:hAnsi="Arial"/>
          <w:sz w:val="16"/>
          <w:szCs w:val="16"/>
          <w:b w:val="1"/>
          <w:bCs w:val="1"/>
          <w:i w:val="1"/>
          <w:iCs w:val="1"/>
          <w:color w:val="auto"/>
        </w:rPr>
        <w:t>Springing Recourse Event</w:t>
      </w:r>
      <w:r>
        <w:rPr>
          <w:rFonts w:ascii="Arial" w:cs="Arial" w:eastAsia="Arial" w:hAnsi="Arial"/>
          <w:sz w:val="16"/>
          <w:szCs w:val="16"/>
          <w:color w:val="auto"/>
        </w:rPr>
        <w:t>”):</w:t>
      </w:r>
    </w:p>
    <w:p>
      <w:pPr>
        <w:spacing w:after="0" w:line="157" w:lineRule="exact"/>
        <w:rPr>
          <w:sz w:val="20"/>
          <w:szCs w:val="20"/>
          <w:color w:val="auto"/>
        </w:rPr>
      </w:pPr>
    </w:p>
    <w:p>
      <w:pPr>
        <w:ind w:left="2400" w:hanging="448"/>
        <w:spacing w:after="0"/>
        <w:tabs>
          <w:tab w:leader="none" w:pos="24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a breach of the covenants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hereof;</w:t>
      </w:r>
    </w:p>
    <w:p>
      <w:pPr>
        <w:spacing w:after="0" w:line="225" w:lineRule="exact"/>
        <w:rPr>
          <w:rFonts w:ascii="Arial" w:cs="Arial" w:eastAsia="Arial" w:hAnsi="Arial"/>
          <w:sz w:val="18"/>
          <w:szCs w:val="18"/>
          <w:color w:val="auto"/>
        </w:rPr>
      </w:pPr>
    </w:p>
    <w:p>
      <w:pPr>
        <w:ind w:left="660" w:firstLine="1292"/>
        <w:spacing w:after="0" w:line="277" w:lineRule="auto"/>
        <w:tabs>
          <w:tab w:leader="none" w:pos="2631" w:val="left"/>
        </w:tabs>
        <w:numPr>
          <w:ilvl w:val="0"/>
          <w:numId w:val="437"/>
        </w:numPr>
        <w:rPr>
          <w:rFonts w:ascii="Arial" w:cs="Arial" w:eastAsia="Arial" w:hAnsi="Arial"/>
          <w:sz w:val="18"/>
          <w:szCs w:val="18"/>
          <w:color w:val="auto"/>
        </w:rPr>
      </w:pPr>
      <w:r>
        <w:rPr>
          <w:rFonts w:ascii="Arial" w:cs="Arial" w:eastAsia="Arial" w:hAnsi="Arial"/>
          <w:sz w:val="18"/>
          <w:szCs w:val="18"/>
          <w:color w:val="auto"/>
        </w:rPr>
        <w:t>Borrower fails to obtain Lender’s prior consent to any subordinate financing secured by the Property or other voluntary Lien encumbering the Property;</w:t>
      </w:r>
    </w:p>
    <w:p>
      <w:pPr>
        <w:spacing w:after="0" w:line="170" w:lineRule="exact"/>
        <w:rPr>
          <w:rFonts w:ascii="Arial" w:cs="Arial" w:eastAsia="Arial" w:hAnsi="Arial"/>
          <w:sz w:val="18"/>
          <w:szCs w:val="18"/>
          <w:color w:val="auto"/>
        </w:rPr>
      </w:pPr>
    </w:p>
    <w:p>
      <w:pPr>
        <w:ind w:left="660" w:right="20" w:firstLine="1292"/>
        <w:spacing w:after="0" w:line="342" w:lineRule="auto"/>
        <w:tabs>
          <w:tab w:leader="none" w:pos="2589" w:val="left"/>
        </w:tabs>
        <w:numPr>
          <w:ilvl w:val="0"/>
          <w:numId w:val="437"/>
        </w:numPr>
        <w:rPr>
          <w:rFonts w:ascii="Arial" w:cs="Arial" w:eastAsia="Arial" w:hAnsi="Arial"/>
          <w:sz w:val="16"/>
          <w:szCs w:val="16"/>
          <w:color w:val="auto"/>
        </w:rPr>
      </w:pPr>
      <w:r>
        <w:rPr>
          <w:rFonts w:ascii="Arial" w:cs="Arial" w:eastAsia="Arial" w:hAnsi="Arial"/>
          <w:sz w:val="16"/>
          <w:szCs w:val="16"/>
          <w:color w:val="auto"/>
        </w:rPr>
        <w:t>Borrower fails to obtain Lender’s prior consent to any Transfer of the Property or any interest therein or any Transfer of any direct or indirect interest in Borrower, in either case as required by the Mortgage or this Agreement other than a Permitted Transfer;</w:t>
      </w:r>
    </w:p>
    <w:p>
      <w:pPr>
        <w:spacing w:after="0" w:line="123" w:lineRule="exact"/>
        <w:rPr>
          <w:rFonts w:ascii="Arial" w:cs="Arial" w:eastAsia="Arial" w:hAnsi="Arial"/>
          <w:sz w:val="16"/>
          <w:szCs w:val="16"/>
          <w:color w:val="auto"/>
        </w:rPr>
      </w:pPr>
    </w:p>
    <w:p>
      <w:pPr>
        <w:jc w:val="both"/>
        <w:ind w:left="660" w:firstLine="1292"/>
        <w:spacing w:after="0" w:line="263" w:lineRule="auto"/>
        <w:tabs>
          <w:tab w:leader="none" w:pos="258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any termination, rejection, cancellation, change, amendment, supplementation or other modification to or of the Ground Lease or any surrender of the leasehold estate created by the Ground Lease unless, in each case, such action was consented to by Lender in writing;</w:t>
      </w:r>
    </w:p>
    <w:p>
      <w:pPr>
        <w:spacing w:after="0" w:line="183" w:lineRule="exact"/>
        <w:rPr>
          <w:rFonts w:ascii="Arial" w:cs="Arial" w:eastAsia="Arial" w:hAnsi="Arial"/>
          <w:sz w:val="18"/>
          <w:szCs w:val="18"/>
          <w:color w:val="auto"/>
        </w:rPr>
      </w:pPr>
    </w:p>
    <w:p>
      <w:pPr>
        <w:ind w:left="2660" w:hanging="708"/>
        <w:spacing w:after="0"/>
        <w:tabs>
          <w:tab w:leader="none" w:pos="266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Borrower files a voluntary petition under the Bankruptcy Code or any other Federal or state bankruptcy or insolvency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jc w:val="both"/>
        <w:ind w:left="660" w:firstLine="1292"/>
        <w:spacing w:after="0" w:line="279" w:lineRule="auto"/>
        <w:tabs>
          <w:tab w:leader="none" w:pos="2795" w:val="left"/>
        </w:tabs>
        <w:numPr>
          <w:ilvl w:val="0"/>
          <w:numId w:val="437"/>
        </w:numPr>
        <w:rPr>
          <w:rFonts w:ascii="Arial" w:cs="Arial" w:eastAsia="Arial" w:hAnsi="Arial"/>
          <w:sz w:val="17"/>
          <w:szCs w:val="17"/>
          <w:color w:val="auto"/>
        </w:rPr>
      </w:pPr>
      <w:r>
        <w:rPr>
          <w:rFonts w:ascii="Arial" w:cs="Arial" w:eastAsia="Arial" w:hAnsi="Arial"/>
          <w:sz w:val="17"/>
          <w:szCs w:val="17"/>
          <w:color w:val="auto"/>
        </w:rPr>
        <w:t xml:space="preserve">Borrower is substantively consolidated with any other Person (including, without limitation, any substantive consolidation or other similar doctrine under the laws of any foreign jurisdiction, including, without limitation, any reconstruction, amalgamation, pooling and/or piercing the corporate veil under Australian law); </w:t>
      </w:r>
      <w:r>
        <w:rPr>
          <w:rFonts w:ascii="Arial" w:cs="Arial" w:eastAsia="Arial" w:hAnsi="Arial"/>
          <w:sz w:val="17"/>
          <w:szCs w:val="17"/>
          <w:i w:val="1"/>
          <w:iCs w:val="1"/>
          <w:color w:val="auto"/>
        </w:rPr>
        <w:t>unless</w:t>
      </w:r>
      <w:r>
        <w:rPr>
          <w:rFonts w:ascii="Arial" w:cs="Arial" w:eastAsia="Arial" w:hAnsi="Arial"/>
          <w:sz w:val="17"/>
          <w:szCs w:val="17"/>
          <w:color w:val="auto"/>
        </w:rPr>
        <w:t xml:space="preserve"> such consolidation was involuntary and not consented to by Borrower or Guarantor and is discharged, stayed or dismissed within thirty (30) days following the occurrence of such consolidation;</w:t>
      </w:r>
    </w:p>
    <w:p>
      <w:pPr>
        <w:spacing w:after="0" w:line="171" w:lineRule="exact"/>
        <w:rPr>
          <w:rFonts w:ascii="Arial" w:cs="Arial" w:eastAsia="Arial" w:hAnsi="Arial"/>
          <w:sz w:val="17"/>
          <w:szCs w:val="17"/>
          <w:color w:val="auto"/>
        </w:rPr>
      </w:pPr>
    </w:p>
    <w:p>
      <w:pPr>
        <w:jc w:val="both"/>
        <w:ind w:left="660" w:firstLine="1292"/>
        <w:spacing w:after="0" w:line="259" w:lineRule="auto"/>
        <w:tabs>
          <w:tab w:leader="none" w:pos="273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filing of an involuntary petition against Borrower under the Bankruptcy Code or any other Federal or state bankruptcy or insolvency law by any other Person in which Borrower and/or Guarantor colludes with or otherwise intentionally assists such Person, and/or Borrower and/or Guarantor solicits or causes to be solicited petitioning creditors for any involuntary petition against Borrower by any Person;</w:t>
      </w:r>
    </w:p>
    <w:p>
      <w:pPr>
        <w:spacing w:after="0" w:line="186" w:lineRule="exact"/>
        <w:rPr>
          <w:rFonts w:ascii="Arial" w:cs="Arial" w:eastAsia="Arial" w:hAnsi="Arial"/>
          <w:sz w:val="18"/>
          <w:szCs w:val="18"/>
          <w:color w:val="auto"/>
        </w:rPr>
      </w:pPr>
    </w:p>
    <w:p>
      <w:pPr>
        <w:ind w:left="660" w:firstLine="1292"/>
        <w:spacing w:after="0" w:line="277" w:lineRule="auto"/>
        <w:tabs>
          <w:tab w:leader="none" w:pos="2621" w:val="left"/>
        </w:tabs>
        <w:numPr>
          <w:ilvl w:val="0"/>
          <w:numId w:val="437"/>
        </w:numPr>
        <w:rPr>
          <w:rFonts w:ascii="Arial" w:cs="Arial" w:eastAsia="Arial" w:hAnsi="Arial"/>
          <w:sz w:val="18"/>
          <w:szCs w:val="18"/>
          <w:color w:val="auto"/>
        </w:rPr>
      </w:pPr>
      <w:r>
        <w:rPr>
          <w:rFonts w:ascii="Arial" w:cs="Arial" w:eastAsia="Arial" w:hAnsi="Arial"/>
          <w:sz w:val="18"/>
          <w:szCs w:val="18"/>
          <w:color w:val="auto"/>
        </w:rPr>
        <w:t>Borrower files an answer consenting to, or otherwise acquiescing in, or joining in, any involuntary petition filed against it by any other Person under the Bankruptcy Code or any other Federal or state bankruptcy or insolvency law;</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557" w:val="left"/>
        </w:tabs>
        <w:numPr>
          <w:ilvl w:val="0"/>
          <w:numId w:val="437"/>
        </w:numPr>
        <w:rPr>
          <w:rFonts w:ascii="Arial" w:cs="Arial" w:eastAsia="Arial" w:hAnsi="Arial"/>
          <w:sz w:val="18"/>
          <w:szCs w:val="18"/>
          <w:color w:val="auto"/>
        </w:rPr>
      </w:pPr>
      <w:r>
        <w:rPr>
          <w:rFonts w:ascii="Arial" w:cs="Arial" w:eastAsia="Arial" w:hAnsi="Arial"/>
          <w:sz w:val="18"/>
          <w:szCs w:val="18"/>
          <w:color w:val="auto"/>
        </w:rPr>
        <w:t>Borrower, Guarantor or any Affiliate, officer, director or representative which controls Borrower or Guarantor consents to, or acquiesces in, or joins in, an application for the appointment of a custodian, receiver, trustee or examiner for Borrower or any portion of the Property;</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0" w:name="page401"/>
    <w:bookmarkEnd w:id="400"/>
    <w:p>
      <w:pPr>
        <w:ind w:left="660" w:firstLine="1292"/>
        <w:spacing w:after="0" w:line="277" w:lineRule="auto"/>
        <w:tabs>
          <w:tab w:leader="none" w:pos="2721" w:val="left"/>
        </w:tabs>
        <w:numPr>
          <w:ilvl w:val="0"/>
          <w:numId w:val="438"/>
        </w:numPr>
        <w:rPr>
          <w:rFonts w:ascii="Arial" w:cs="Arial" w:eastAsia="Arial" w:hAnsi="Arial"/>
          <w:sz w:val="18"/>
          <w:szCs w:val="18"/>
          <w:color w:val="auto"/>
        </w:rPr>
      </w:pPr>
      <w:r>
        <w:rPr>
          <w:rFonts w:ascii="Arial" w:cs="Arial" w:eastAsia="Arial" w:hAnsi="Arial"/>
          <w:sz w:val="18"/>
          <w:szCs w:val="18"/>
          <w:color w:val="auto"/>
        </w:rPr>
        <w:t>Borrower makes an assignment for the benefit of creditors or admits, in writing or in any legal proceeding, its insolvency or inability to pay its debts as they become due;</w:t>
      </w:r>
    </w:p>
    <w:p>
      <w:pPr>
        <w:spacing w:after="0" w:line="170" w:lineRule="exact"/>
        <w:rPr>
          <w:rFonts w:ascii="Arial" w:cs="Arial" w:eastAsia="Arial" w:hAnsi="Arial"/>
          <w:sz w:val="18"/>
          <w:szCs w:val="18"/>
          <w:color w:val="auto"/>
        </w:rPr>
      </w:pPr>
    </w:p>
    <w:p>
      <w:pPr>
        <w:jc w:val="both"/>
        <w:ind w:left="660" w:firstLine="1292"/>
        <w:spacing w:after="0" w:line="257" w:lineRule="auto"/>
        <w:tabs>
          <w:tab w:leader="none" w:pos="269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if Guarantor (or any Person comprising Guarantor), Borrower or any Affiliate of any of the foregoing, in connection with any enforcement action or exercise or assertion of any right or remedy by or on behalf of Lender under or in connection with the Guaranty, the Note, the Mortgage or any other Loan Document, seeks a defense, judicial intervention or injunctive or other equitable relief of any kind, or asserts in a pleading filed in connection with a judicial proceeding any defense against Lender or any right in connection with any security for the Loan;</w:t>
      </w:r>
    </w:p>
    <w:p>
      <w:pPr>
        <w:spacing w:after="0" w:line="187" w:lineRule="exact"/>
        <w:rPr>
          <w:rFonts w:ascii="Arial" w:cs="Arial" w:eastAsia="Arial" w:hAnsi="Arial"/>
          <w:sz w:val="18"/>
          <w:szCs w:val="18"/>
          <w:color w:val="auto"/>
        </w:rPr>
      </w:pPr>
    </w:p>
    <w:p>
      <w:pPr>
        <w:jc w:val="both"/>
        <w:ind w:left="660" w:firstLine="1292"/>
        <w:spacing w:after="0" w:line="273" w:lineRule="auto"/>
        <w:tabs>
          <w:tab w:leader="none" w:pos="2731" w:val="left"/>
        </w:tabs>
        <w:numPr>
          <w:ilvl w:val="0"/>
          <w:numId w:val="438"/>
        </w:numPr>
        <w:rPr>
          <w:rFonts w:ascii="Arial" w:cs="Arial" w:eastAsia="Arial" w:hAnsi="Arial"/>
          <w:sz w:val="17"/>
          <w:szCs w:val="17"/>
          <w:color w:val="auto"/>
        </w:rPr>
      </w:pPr>
      <w:r>
        <w:rPr>
          <w:rFonts w:ascii="Arial" w:cs="Arial" w:eastAsia="Arial" w:hAnsi="Arial"/>
          <w:sz w:val="17"/>
          <w:szCs w:val="17"/>
          <w:color w:val="auto"/>
        </w:rPr>
        <w:t>(A) Borrower voluntarily avails itself of the benefits of any Emergency Law or otherwise voluntarily exercises any right or option under any Emergency Law and (B) such Emergency Law either (X) permits (I) Borrower to defer payment of, or otherwise elect not to pay, any amounts as and when due under the Loan Documents or (II) Borrower to delay performance of, or otherwise elect not to perform, any non-monetary obligation of Borrower as and when required under the Loan Documents or (Y) prevents Lender, or requires Lender to forbear, from exercising (at such time or another time in the future) any one or more rights or remedies that, in the absence of such Emergency Law, could otherwise be available to Lender under the Loan Documents or applicable Legal Requirements;</w:t>
      </w:r>
    </w:p>
    <w:p>
      <w:pPr>
        <w:spacing w:after="0" w:line="177" w:lineRule="exact"/>
        <w:rPr>
          <w:rFonts w:ascii="Arial" w:cs="Arial" w:eastAsia="Arial" w:hAnsi="Arial"/>
          <w:sz w:val="17"/>
          <w:szCs w:val="17"/>
          <w:color w:val="auto"/>
        </w:rPr>
      </w:pPr>
    </w:p>
    <w:p>
      <w:pPr>
        <w:jc w:val="both"/>
        <w:ind w:left="660" w:firstLine="1292"/>
        <w:spacing w:after="0" w:line="257" w:lineRule="auto"/>
        <w:tabs>
          <w:tab w:leader="none" w:pos="274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Borrower fails to comply promptly (and in any event within any applicable timeframe provided under the relevant Emergency Law) with any request made by Lender pursuant to an Emergency Law for Borrower to take any action that, in Lender’s reasonable judgment, is necessary or reasonably necessary in order to permit Lender to exercise (at such time or another time in the future) any one or more rights or remedies that, in the absence of such Emergency Law, could otherwise be available to Lender under the Loan Documents or applicable Legal Requirements;</w:t>
      </w:r>
    </w:p>
    <w:p>
      <w:pPr>
        <w:spacing w:after="0" w:line="187" w:lineRule="exact"/>
        <w:rPr>
          <w:rFonts w:ascii="Arial" w:cs="Arial" w:eastAsia="Arial" w:hAnsi="Arial"/>
          <w:sz w:val="18"/>
          <w:szCs w:val="18"/>
          <w:color w:val="auto"/>
        </w:rPr>
      </w:pPr>
    </w:p>
    <w:p>
      <w:pPr>
        <w:jc w:val="both"/>
        <w:ind w:left="660" w:firstLine="1292"/>
        <w:spacing w:after="0" w:line="279" w:lineRule="auto"/>
        <w:tabs>
          <w:tab w:leader="none" w:pos="2601" w:val="left"/>
        </w:tabs>
        <w:numPr>
          <w:ilvl w:val="0"/>
          <w:numId w:val="438"/>
        </w:numPr>
        <w:rPr>
          <w:rFonts w:ascii="Arial" w:cs="Arial" w:eastAsia="Arial" w:hAnsi="Arial"/>
          <w:sz w:val="17"/>
          <w:szCs w:val="17"/>
          <w:color w:val="auto"/>
        </w:rPr>
      </w:pPr>
      <w:r>
        <w:rPr>
          <w:rFonts w:ascii="Arial" w:cs="Arial" w:eastAsia="Arial" w:hAnsi="Arial"/>
          <w:sz w:val="17"/>
          <w:szCs w:val="17"/>
          <w:color w:val="auto"/>
        </w:rPr>
        <w:t>any termination, rejection, cancellation, change, amendment, modification, release, surrender, supplementation or other modification to or of any Borrower Affiliated Lease or any Borrower Affiliated Lease Guaranty, any assignment or sublease by any Borrower Affiliated Tenant of its applicable Borrower Affiliated Lease, and/or any assignment by any Borrower Affiliated Lease Guarantor of its applicable Borrower Affiliated Lease Guaranty, in each case, unless the same was consented to by Lender in writing; or</w:t>
      </w:r>
    </w:p>
    <w:p>
      <w:pPr>
        <w:spacing w:after="0" w:line="171" w:lineRule="exact"/>
        <w:rPr>
          <w:rFonts w:ascii="Arial" w:cs="Arial" w:eastAsia="Arial" w:hAnsi="Arial"/>
          <w:sz w:val="17"/>
          <w:szCs w:val="17"/>
          <w:color w:val="auto"/>
        </w:rPr>
      </w:pPr>
    </w:p>
    <w:p>
      <w:pPr>
        <w:ind w:left="660" w:right="20" w:firstLine="1292"/>
        <w:spacing w:after="0" w:line="277" w:lineRule="auto"/>
        <w:tabs>
          <w:tab w:leader="none" w:pos="279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there is any failure by any Borrower Affiliated Tenant to promptly vacate the Property if requested by Lender following a Borrower Affiliated Lease Default Event and/or Event of Default.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Borrower hereby guarantees and shall be fully personally liable for (without the benefit of any exculpation provision contained herein and/or in any other Loan Documents) (I) the payment in full of any and all amounts payable pursuant to Section 6(e) of the PILOT Agreement (all such liability and obligation of Borrower, the “</w:t>
      </w:r>
      <w:r>
        <w:rPr>
          <w:rFonts w:ascii="Arial" w:cs="Arial" w:eastAsia="Arial" w:hAnsi="Arial"/>
          <w:sz w:val="18"/>
          <w:szCs w:val="18"/>
          <w:b w:val="1"/>
          <w:bCs w:val="1"/>
          <w:i w:val="1"/>
          <w:iCs w:val="1"/>
          <w:color w:val="auto"/>
        </w:rPr>
        <w:t>PILOT Clawback Liabilities</w:t>
      </w:r>
      <w:r>
        <w:rPr>
          <w:rFonts w:ascii="Arial" w:cs="Arial" w:eastAsia="Arial" w:hAnsi="Arial"/>
          <w:sz w:val="18"/>
          <w:szCs w:val="18"/>
          <w:color w:val="auto"/>
        </w:rPr>
        <w:t>”), including, without limitation, any amounts payable thereunder on or following the date on which Lender, its designee or nominee, or any purchaser at a foreclosure sale, acquires title to the Property, whether by foreclosure, exercise of power of sale, acceptance of a deed-in-lieu of foreclosure, and (II) the payment in full of any and all deductibles with respect to the Policy maintained pursuant to Section 5.1.1(a)(i) hereof (except with respect to deductibles for windstorm or earthquake coverage) (all such liability and obligation of Borrower, the “</w:t>
      </w:r>
      <w:r>
        <w:rPr>
          <w:rFonts w:ascii="Arial" w:cs="Arial" w:eastAsia="Arial" w:hAnsi="Arial"/>
          <w:sz w:val="18"/>
          <w:szCs w:val="18"/>
          <w:b w:val="1"/>
          <w:bCs w:val="1"/>
          <w:i w:val="1"/>
          <w:iCs w:val="1"/>
          <w:color w:val="auto"/>
        </w:rPr>
        <w:t>Insurance Deductible Liabilities</w:t>
      </w:r>
      <w:r>
        <w:rPr>
          <w:rFonts w:ascii="Arial" w:cs="Arial" w:eastAsia="Arial" w:hAnsi="Arial"/>
          <w:sz w:val="18"/>
          <w:szCs w:val="18"/>
          <w:color w:val="auto"/>
        </w:rPr>
        <w:t>”).</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1" w:name="page402"/>
    <w:bookmarkEnd w:id="401"/>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10.2 </w:t>
      </w:r>
      <w:r>
        <w:rPr>
          <w:rFonts w:ascii="Arial" w:cs="Arial" w:eastAsia="Arial" w:hAnsi="Arial"/>
          <w:sz w:val="17"/>
          <w:szCs w:val="17"/>
          <w:b w:val="1"/>
          <w:bCs w:val="1"/>
          <w:u w:val="single" w:color="auto"/>
          <w:color w:val="auto"/>
        </w:rPr>
        <w:t>Survival; 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all covenants, agreements, representations and warranties made herein</w:t>
      </w:r>
      <w:r>
        <w:rPr>
          <w:rFonts w:ascii="Arial" w:cs="Arial" w:eastAsia="Arial" w:hAnsi="Arial"/>
          <w:sz w:val="17"/>
          <w:szCs w:val="17"/>
          <w:b w:val="1"/>
          <w:bCs w:val="1"/>
          <w:color w:val="auto"/>
        </w:rPr>
        <w:t xml:space="preserve"> </w:t>
      </w:r>
      <w:r>
        <w:rPr>
          <w:rFonts w:ascii="Arial" w:cs="Arial" w:eastAsia="Arial" w:hAnsi="Arial"/>
          <w:sz w:val="17"/>
          <w:szCs w:val="17"/>
          <w:color w:val="auto"/>
        </w:rPr>
        <w:t>and in the certificates delivered pursuant hereto shall survive the making by Lender of the Loan and the execution and delivery to Lender of the Note, and shall continue in full force and effect so long as all or any of the Obligations are outstanding and unpaid unless a longer period is expressly set forth herein or in the other Loan Documents. Whenever in this Agreement any of the parties hereto is referred to, such reference shall be deemed to include the legal representatives, successors and assigns of such party. All covenants, promises and agreements in this Agreement, by or on behalf of Borrower, shall inure to the benefit of the legal representatives, successors and assigns of Lender.</w:t>
      </w:r>
    </w:p>
    <w:p>
      <w:pPr>
        <w:spacing w:after="0" w:line="17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6"/>
          <w:szCs w:val="16"/>
          <w:b w:val="1"/>
          <w:bCs w:val="1"/>
          <w:u w:val="single" w:color="auto"/>
          <w:color w:val="auto"/>
        </w:rPr>
        <w:t>Lender’s Discretion; Rating Agency Review Waiver</w:t>
      </w:r>
      <w:r>
        <w:rPr>
          <w:rFonts w:ascii="Arial" w:cs="Arial" w:eastAsia="Arial" w:hAnsi="Arial"/>
          <w:sz w:val="16"/>
          <w:szCs w:val="16"/>
          <w:color w:val="auto"/>
        </w:rPr>
        <w:t>.</w:t>
      </w:r>
    </w:p>
    <w:p>
      <w:pPr>
        <w:spacing w:after="0" w:line="229" w:lineRule="exact"/>
        <w:rPr>
          <w:sz w:val="20"/>
          <w:szCs w:val="20"/>
          <w:color w:val="auto"/>
        </w:rPr>
      </w:pPr>
    </w:p>
    <w:p>
      <w:pPr>
        <w:jc w:val="both"/>
        <w:ind w:firstLine="1304"/>
        <w:spacing w:after="0" w:line="293" w:lineRule="auto"/>
        <w:tabs>
          <w:tab w:leader="none" w:pos="2117" w:val="left"/>
        </w:tabs>
        <w:numPr>
          <w:ilvl w:val="0"/>
          <w:numId w:val="439"/>
        </w:numPr>
        <w:rPr>
          <w:rFonts w:ascii="Arial" w:cs="Arial" w:eastAsia="Arial" w:hAnsi="Arial"/>
          <w:sz w:val="16"/>
          <w:szCs w:val="16"/>
          <w:color w:val="auto"/>
        </w:rPr>
      </w:pPr>
      <w:r>
        <w:rPr>
          <w:rFonts w:ascii="Arial" w:cs="Arial" w:eastAsia="Arial" w:hAnsi="Arial"/>
          <w:sz w:val="16"/>
          <w:szCs w:val="16"/>
          <w:color w:val="auto"/>
        </w:rPr>
        <w:t>Whenever pursuant to this Agreement Lender exercises any right given to it to approve or disapprove any matter, or any arrangement or term is to be satisfactory to Lender, the decision of Lender to approve or disapprove such matter or to decide whether arrangements or terms are satisfactory or not satisfactory shall (except as is otherwise specifically herein provided) be in the sole discretion of Lender and shall be final and conclusive. Prior to a Securitization, whenever pursuant to this Agreement the Rating Agencies are given any right to approve or disapprove any matter, or any arrangement or term is to be satisfactory to the Rating Agencies, the decision of Lender to approve or disapprove such matter or to decide whether arrangements or terms are satisfactory or not satisfactory, based upon Lender’s determination of Rating Agency criteria, shall be substituted therefor.</w:t>
      </w:r>
    </w:p>
    <w:p>
      <w:pPr>
        <w:spacing w:after="0" w:line="164" w:lineRule="exact"/>
        <w:rPr>
          <w:rFonts w:ascii="Arial" w:cs="Arial" w:eastAsia="Arial" w:hAnsi="Arial"/>
          <w:sz w:val="16"/>
          <w:szCs w:val="16"/>
          <w:color w:val="auto"/>
        </w:rPr>
      </w:pPr>
    </w:p>
    <w:p>
      <w:pPr>
        <w:jc w:val="both"/>
        <w:ind w:firstLine="1304"/>
        <w:spacing w:after="0" w:line="254" w:lineRule="auto"/>
        <w:tabs>
          <w:tab w:leader="none" w:pos="2066"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Whenever, pursuant to this Agreement or any other Loan Documents, a Rating Agency Confirmation is required from each applicable Rating Agency, in the event that any applicable Rating Agency “declines review”, “waives review” or otherwise indicates in writing or otherwise to Lender’s or Servicer’s satisfaction that no Rating Agency Confirmation will or needs to be issued with respect to the matter in question (each, a “</w:t>
      </w:r>
      <w:r>
        <w:rPr>
          <w:rFonts w:ascii="Arial" w:cs="Arial" w:eastAsia="Arial" w:hAnsi="Arial"/>
          <w:sz w:val="18"/>
          <w:szCs w:val="18"/>
          <w:b w:val="1"/>
          <w:bCs w:val="1"/>
          <w:i w:val="1"/>
          <w:iCs w:val="1"/>
          <w:color w:val="auto"/>
        </w:rPr>
        <w:t>Review Waiver</w:t>
      </w:r>
      <w:r>
        <w:rPr>
          <w:rFonts w:ascii="Arial" w:cs="Arial" w:eastAsia="Arial" w:hAnsi="Arial"/>
          <w:sz w:val="18"/>
          <w:szCs w:val="18"/>
          <w:color w:val="auto"/>
        </w:rPr>
        <w:t>”), then the Rating Agency Confirmation requirement shall be deemed to be satisfied with respect to such matter. It is expressly agreed and understood, however, that receipt of a Review Waiver (i) from any one Rating Agency shall not be binding or apply with respect to any other Rating Agency and (ii) with respect to one matter shall not apply or be deemed to apply to any subsequent matter for which Rating Agency Confirmation is required.</w:t>
      </w:r>
    </w:p>
    <w:p>
      <w:pPr>
        <w:spacing w:after="0" w:line="194" w:lineRule="exact"/>
        <w:rPr>
          <w:rFonts w:ascii="Arial" w:cs="Arial" w:eastAsia="Arial" w:hAnsi="Arial"/>
          <w:sz w:val="18"/>
          <w:szCs w:val="18"/>
          <w:color w:val="auto"/>
        </w:rPr>
      </w:pPr>
    </w:p>
    <w:p>
      <w:pPr>
        <w:jc w:val="both"/>
        <w:ind w:firstLine="1304"/>
        <w:spacing w:after="0" w:line="263" w:lineRule="auto"/>
        <w:tabs>
          <w:tab w:leader="none" w:pos="2158"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Prior to a Securitization or in the event that there is a Review Waiver, if Lender does not have a separate and independent approval right with respect to the matter in question, then the term Rating Agency Confirmation shall be deemed instead to require the prior written consent of Lender.</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2" w:name="page403"/>
    <w:bookmarkEnd w:id="402"/>
    <w:p>
      <w:pPr>
        <w:ind w:left="660"/>
        <w:spacing w:after="0"/>
        <w:rPr>
          <w:sz w:val="20"/>
          <w:szCs w:val="20"/>
          <w:color w:val="auto"/>
        </w:rPr>
      </w:pPr>
      <w:r>
        <w:rPr>
          <w:rFonts w:ascii="Arial" w:cs="Arial" w:eastAsia="Arial" w:hAnsi="Arial"/>
          <w:sz w:val="22"/>
          <w:szCs w:val="22"/>
          <w:b w:val="1"/>
          <w:bCs w:val="1"/>
          <w:color w:val="auto"/>
        </w:rPr>
        <w:t xml:space="preserve">Section 10.4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304"/>
        <w:spacing w:after="0" w:line="252" w:lineRule="auto"/>
        <w:tabs>
          <w:tab w:leader="none" w:pos="196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THIS AGREEMENT WAS NEGOTIATED IN THE STATE OF NEW YORK, AND MADE BY LENDER AND ACCEPTED BY BORROWER IN THE STATE OF NEW YORK, AND THE PROCEEDS OF THE NOTE DELIVERED PURSUANT HERETO WERE DISBURSED FROM THE STATE OF NEW YORK, WHICH STATE THE PARTIES AGREE HAS A SUBSTANTIAL RELATIONSHIP TO THE PARTIES AND TO THE UNDERLYING TRANSACTION EMBODIED HEREBY, AND IN ALL RESPECTS, INCLUDING, WITHOUT LIMITING THE GENERALITY OF THE FOREGOING, MATTERS OF CONSTRUCTION, VALIDITY AND PERFORMANCE, THIS AGREEMENT AND THE OBLIGATIONS ARISING HEREUNDER SHALL BE GOVERNED BY, AND CONSTRUED IN ACCORDANCE WITH, THE LAWS OF THE STATE OF NEW YORK APPLICABLE TO CONTRACTS MADE AND PERFORMED IN SUCH STATE (WITHOUT REGARD TO PRINCIPLES OF CONFLICT OF LAWS) AND ANY APPLICABLE LAW OF THE UNITED STATES OF AMERICA, EXCEPT THAT AT ALL TIMES THE PROVISIONS FOR THE CREATION, PERFECTION AND ENFORCEMENT OF THE LIEN AND SECURITY INTEREST CREATED PURSUANT HERETO AND PURSUANT TO THE OTHER LOAN DOCUMENTS SHALL BE GOVERNED BY, AND CONSTRUED ACCORDING TO, THE LAW OF THE STATE, COMMONWEALTH OR DISTRICT, AS APPLICABLE, IN WHICH THE PROPERTY IS LOCATED, IT BEING UNDERSTOOD THAT, TO THE FULLEST EXTENT PERMITTED BY THE LAW OF SUCH STATE, COMMONWEALTH OR DISTRICT, AS APPLICABLE, THE LAW OF THE STATE OF NEW YORK SHALL GOVERN THE CONSTRUCTION, VALIDITY AND ENFORCEABILITY OF ALL LOAN DOCUMENTS AND ALL OF THE OBLIGATIONS ARISING HEREUNDER OR THEREUNDER. TO THE FULLEST EXTENT PERMITTED BY LAW, BORROWER HEREBY UNCONDITIONALLY AND IRREVOCABLY WAIVES ANY CLAIM TO ASSERT THAT THE LAW OF ANY OTHER JURISDICTION GOVERNS THIS AGREEMENT AND THE NOTE, AND THIS AGREEMENT AND THE NOTE SHALL BE GOVERNED BY AND CONSTRUED IN ACCORDANCE WITH THE LAWS OF THE STATE OF NEW YORK PURSUANT TO SECTION 5-1401 OF THE NEW YORK GENERAL OBLIGATIONS LAW.</w:t>
      </w:r>
    </w:p>
    <w:p>
      <w:pPr>
        <w:spacing w:after="0" w:line="191" w:lineRule="exact"/>
        <w:rPr>
          <w:rFonts w:ascii="Arial" w:cs="Arial" w:eastAsia="Arial" w:hAnsi="Arial"/>
          <w:sz w:val="18"/>
          <w:szCs w:val="18"/>
          <w:color w:val="auto"/>
        </w:rPr>
      </w:pPr>
    </w:p>
    <w:p>
      <w:pPr>
        <w:jc w:val="both"/>
        <w:ind w:firstLine="1304"/>
        <w:spacing w:after="0" w:line="273" w:lineRule="auto"/>
        <w:tabs>
          <w:tab w:leader="none" w:pos="2275" w:val="left"/>
        </w:tabs>
        <w:numPr>
          <w:ilvl w:val="0"/>
          <w:numId w:val="440"/>
        </w:numPr>
        <w:rPr>
          <w:rFonts w:ascii="Arial" w:cs="Arial" w:eastAsia="Arial" w:hAnsi="Arial"/>
          <w:sz w:val="17"/>
          <w:szCs w:val="17"/>
          <w:color w:val="auto"/>
        </w:rPr>
      </w:pPr>
      <w:r>
        <w:rPr>
          <w:rFonts w:ascii="Arial" w:cs="Arial" w:eastAsia="Arial" w:hAnsi="Arial"/>
          <w:sz w:val="17"/>
          <w:szCs w:val="17"/>
          <w:color w:val="auto"/>
        </w:rPr>
        <w:t>ANY LEGAL SUIT, ACTION OR PROCEEDING AGAINST LENDER OR BORROWER ARISING OUT OF OR RELATING TO THIS AGREEMENT MAY AT LENDER’S OPTION BE INSTITUTED IN ANY FEDERAL OR STATE COURT IN THE CITY OF NEW YORK, COUNTY OF NEW YORK, PURSUANT TO SECTION 5-1402 OF THE NEW YORK GENERAL OBLIGATIONS LAW, AND BORROWER WAIVES ANY OBJECTIONS WHICH IT MAY NOW OR HEREAFTER HAVE BASED ON VENUE AND/OR FORUM NON CONVENIENS OF ANY SUCH SUIT, ACTION OR PROCEEDING, AND BORROWER HEREBY IRREVOCABLY SUBMITS TO THE EXCLUSIVE JURISDICTION OF ANY SUCH COURT IN ANY SUIT, ACTION OR PROCEEDING. BORROWER DOES HEREBY DESIGNATE AND APPOINT:</w:t>
      </w:r>
    </w:p>
    <w:p>
      <w:pPr>
        <w:spacing w:after="0" w:line="17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NATIONAL REGISTERED AGENTS,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 LIBERTY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03" w:name="page404"/>
    <w:bookmarkEnd w:id="403"/>
    <w:p>
      <w:pPr>
        <w:jc w:val="both"/>
        <w:spacing w:after="0" w:line="267" w:lineRule="auto"/>
        <w:rPr>
          <w:sz w:val="20"/>
          <w:szCs w:val="20"/>
          <w:color w:val="auto"/>
        </w:rPr>
      </w:pPr>
      <w:r>
        <w:rPr>
          <w:rFonts w:ascii="Arial" w:cs="Arial" w:eastAsia="Arial" w:hAnsi="Arial"/>
          <w:sz w:val="17"/>
          <w:szCs w:val="17"/>
          <w:color w:val="auto"/>
        </w:rPr>
        <w:t>AS ITS AUTHORIZED AGENT TO RECEIVE AND FORWARD ON ITS BEHALF SERVICE OF ANY AND ALL PROCESS WHICH MAY BE SERVED IN ANY SUCH SUIT, ACTION OR PROCEEDING IN ANY FEDERAL OR STATE COURT IN NEW YORK, NEW YORK, AND BORROWER AGREES THAT SERVICE OF PROCESS UPON SAID AGENT AT SAID ADDRESS AND WRITTEN NOTICE OF SAID SERVICE MAILED OR DELIVERED TO BORROWER IN THE MANNER PROVIDED HEREIN SHALL BE DEEMED IN EVERY RESPECT EFFECTIVE SERVICE OF PROCESS UPON BORROWER IN ANY SUCH SUIT, ACTION OR PROCEEDING IN THE STATE OF NEW YORK. BORROWER (I) SHALL GIVE PROMPT NOTICE TO LENDER OF ANY CHANGED ADDRESS OF ITS AUTHORIZED AGENT HEREUNDER, (II) MAY AT ANY TIME AND FROM TIME TO TIME DESIGNATE A SUBSTITUTE AUTHORIZED AGENT WITH AN OFFICE IN NEW YORK, NEW YORK (WHICH SUBSTITUTE AGENT AND OFFICE SHALL BE DESIGNATED AS THE PERSON AND ADDRESS FOR SERVICE OF PROCESS), AND</w:t>
      </w:r>
    </w:p>
    <w:p>
      <w:pPr>
        <w:spacing w:after="0" w:line="3" w:lineRule="exact"/>
        <w:rPr>
          <w:sz w:val="20"/>
          <w:szCs w:val="20"/>
          <w:color w:val="auto"/>
        </w:rPr>
      </w:pPr>
    </w:p>
    <w:p>
      <w:pPr>
        <w:jc w:val="both"/>
        <w:ind w:firstLine="8"/>
        <w:spacing w:after="0" w:line="253" w:lineRule="auto"/>
        <w:tabs>
          <w:tab w:leader="none" w:pos="361"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SHALL PROMPTLY DESIGNATE SUCH A SUBSTITUTE IF ITS AUTHORIZED AGENT CEASES TO HAVE AN OFFICE IN NEW YORK, NEW YORK OR IS DISSOLVED WITHOUT LEAVING A SUCCESSOR. NOTHING CONTAINED HEREIN SHALL AFFECT THE RIGHT OF LENDER TO SERVE PROCESS IN ANY OTHER MANNER PERMITTED BY LAW OR TO COMMENCE LEGAL PROCEEDINGS OR OTHERWISE PROCEED AGAINST BORROWER IN ANY OTHER JURISDICTION.</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10.5 </w:t>
      </w:r>
      <w:r>
        <w:rPr>
          <w:rFonts w:ascii="Arial" w:cs="Arial" w:eastAsia="Arial" w:hAnsi="Arial"/>
          <w:sz w:val="17"/>
          <w:szCs w:val="17"/>
          <w:b w:val="1"/>
          <w:bCs w:val="1"/>
          <w:u w:val="single" w:color="auto"/>
          <w:color w:val="auto"/>
        </w:rPr>
        <w:t>Modification, Waiver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No modification, amendment, extension, discharge, termination or waiver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of any other Loan Document, nor consent to any departure by Borrower therefrom, shall in any event be effective unless the same shall be in a writing signed by the party or parties against whom enforcement is sought, and then such waiver or consent shall be effective only in the specific instance, and for the purpose, for which given. Except as otherwise expressly provided herein, no notice to, or demand on, Borrower shall entitle Borrower to any other or future notice or demand in the same, similar or other circumstances. Neither any failure nor any delay on the part of Lender in insisting upon strict performance of any term, condition, covenant or agreement, or exercising any right, power, remedy or privilege hereunder or under any other Loan Document, shall operate as or constitute a waiver thereof, nor shall a single or partial exercise thereof preclude any other future exercise, or the exercise of any other right, power, remedy or privilege. In particular, and not by way of limitation, by accepting payment after the due date of any amount payable under this Agreement or any other Loan Document, Lender shall not be deemed to have waived any right either to require prompt payment when due of all other amounts due under this Agreement or the other Loan Documents, or to declare a default for failure to effect prompt payment of any such other amount. Lender shall have the right to waive or reduce any time periods that Lender is entitled to under the Loan Documents in its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4" w:name="page405"/>
    <w:bookmarkEnd w:id="404"/>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10.6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demands, requests, consents, approvals or other communications (any of the foregoing, a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permitted or desired to be given hereunder shall be in writing and shall be sent by facsimile (with answer back acknowledged) or by registered or certified mail, postage prepaid, return receipt requested, or delivered by hand or by reputable overnight courier, or electronically transmitted by e-mail with hard copy delivered by hand or reputable overnight courier (unless waived by Agent as described below), addressed to the party to be so notified at its address hereinafter set forth, or to such other address as such party may hereafter specify in accordance with the provisions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Any Notice shall be deemed to have been received: (a) three (3) days after the date such Notice is mailed, (b) on the date of sending by facsimile if sent during business hours on a Business Day (otherwise on the next Business Day), (c) on the date of delivery by hand if delivered during business hours on a Business Day (otherwise on the next Business Day), (d) on the next Business Day if sent by an overnight commercial courier and (e) if transmitted by e-mail, (A) if such e-mail was sent prior to 5 P.M. EST on a Business Day, then on the date such e-mail was sent, provided that a hard copy of such e-mail (and any and all attachments) is delivered by hand or reputable overnight courier on the immediately succeeding Business Day, or (y) if such e-mail was sent on a day that is not a Business Day or after 5 P.M. EST on a Business Day, then on the Business Day immediately succeeding the date such e-mail was sent, provided that a hard copy of such e-mail (and any and all attachments) is delivered by hand or reputable overnight courier on the second Business Day immediately following the date on which such e-mail was sent; provided, however, that by written notice to Borrower, Agent shall have the unilateral right at any time to waive the hard copy requirement with respect to all Notices sent via e-mail, in each case addressed to the parties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ind w:left="660"/>
              <w:spacing w:after="0"/>
              <w:rPr>
                <w:sz w:val="20"/>
                <w:szCs w:val="20"/>
                <w:color w:val="auto"/>
              </w:rPr>
            </w:pPr>
            <w:r>
              <w:rPr>
                <w:rFonts w:ascii="Arial" w:cs="Arial" w:eastAsia="Arial" w:hAnsi="Arial"/>
                <w:sz w:val="18"/>
                <w:szCs w:val="18"/>
                <w:color w:val="auto"/>
              </w:rPr>
              <w:t>If to Lender:</w:t>
            </w: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DBR INVESTMENTS CO. LIMITED</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60 Wall Street, 10th Floor</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New York, New York 10005</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Attention:</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820"/>
              <w:spacing w:after="0"/>
              <w:rPr>
                <w:sz w:val="20"/>
                <w:szCs w:val="20"/>
                <w:color w:val="auto"/>
              </w:rPr>
            </w:pPr>
            <w:r>
              <w:rPr>
                <w:rFonts w:ascii="Arial" w:cs="Arial" w:eastAsia="Arial" w:hAnsi="Arial"/>
                <w:sz w:val="18"/>
                <w:szCs w:val="18"/>
                <w:color w:val="auto"/>
              </w:rPr>
              <w:t>Peter DiConza</w:t>
            </w:r>
          </w:p>
        </w:tc>
      </w:tr>
      <w:tr>
        <w:trPr>
          <w:trHeight w:val="190"/>
        </w:trPr>
        <w:tc>
          <w:tcPr>
            <w:tcW w:w="2880" w:type="dxa"/>
            <w:vAlign w:val="bottom"/>
          </w:tcPr>
          <w:p>
            <w:pPr>
              <w:spacing w:after="0"/>
              <w:rPr>
                <w:sz w:val="16"/>
                <w:szCs w:val="16"/>
                <w:color w:val="auto"/>
              </w:rPr>
            </w:pPr>
          </w:p>
        </w:tc>
        <w:tc>
          <w:tcPr>
            <w:tcW w:w="8360" w:type="dxa"/>
            <w:vAlign w:val="bottom"/>
            <w:gridSpan w:val="5"/>
          </w:tcPr>
          <w:p>
            <w:pPr>
              <w:ind w:left="1820"/>
              <w:spacing w:after="0" w:line="190" w:lineRule="exact"/>
              <w:rPr>
                <w:sz w:val="20"/>
                <w:szCs w:val="20"/>
                <w:color w:val="auto"/>
              </w:rPr>
            </w:pPr>
            <w:r>
              <w:rPr>
                <w:rFonts w:ascii="Arial" w:cs="Arial" w:eastAsia="Arial" w:hAnsi="Arial"/>
                <w:sz w:val="18"/>
                <w:szCs w:val="18"/>
                <w:color w:val="auto"/>
              </w:rPr>
              <w:t>Email: peter.diconza@db.com</w:t>
            </w:r>
          </w:p>
        </w:tc>
      </w:tr>
      <w:tr>
        <w:trPr>
          <w:trHeight w:val="20"/>
        </w:trPr>
        <w:tc>
          <w:tcPr>
            <w:tcW w:w="2880" w:type="dxa"/>
            <w:vAlign w:val="bottom"/>
          </w:tcPr>
          <w:p>
            <w:pPr>
              <w:spacing w:after="0" w:line="20" w:lineRule="exact"/>
              <w:rPr>
                <w:sz w:val="1"/>
                <w:szCs w:val="1"/>
                <w:color w:val="auto"/>
              </w:rPr>
            </w:pPr>
          </w:p>
        </w:tc>
        <w:tc>
          <w:tcPr>
            <w:tcW w:w="2400" w:type="dxa"/>
            <w:vAlign w:val="bottom"/>
            <w:tcBorders>
              <w:right w:val="single" w:sz="8" w:color="auto"/>
            </w:tcBorders>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360" w:type="dxa"/>
            <w:vAlign w:val="bottom"/>
            <w:gridSpan w:val="5"/>
          </w:tcPr>
          <w:p>
            <w:pPr>
              <w:ind w:left="1820"/>
              <w:spacing w:after="0"/>
              <w:rPr>
                <w:sz w:val="20"/>
                <w:szCs w:val="20"/>
                <w:color w:val="auto"/>
              </w:rPr>
            </w:pPr>
            <w:r>
              <w:rPr>
                <w:rFonts w:ascii="Arial" w:cs="Arial" w:eastAsia="Arial" w:hAnsi="Arial"/>
                <w:sz w:val="18"/>
                <w:szCs w:val="18"/>
                <w:color w:val="auto"/>
              </w:rPr>
              <w:t>Robert W. Pettinato, Jr.</w:t>
            </w:r>
          </w:p>
        </w:tc>
      </w:tr>
      <w:tr>
        <w:trPr>
          <w:trHeight w:val="190"/>
        </w:trPr>
        <w:tc>
          <w:tcPr>
            <w:tcW w:w="2880" w:type="dxa"/>
            <w:vAlign w:val="bottom"/>
          </w:tcPr>
          <w:p>
            <w:pPr>
              <w:spacing w:after="0"/>
              <w:rPr>
                <w:sz w:val="16"/>
                <w:szCs w:val="16"/>
                <w:color w:val="auto"/>
              </w:rPr>
            </w:pPr>
          </w:p>
        </w:tc>
        <w:tc>
          <w:tcPr>
            <w:tcW w:w="8360" w:type="dxa"/>
            <w:vAlign w:val="bottom"/>
            <w:gridSpan w:val="5"/>
          </w:tcPr>
          <w:p>
            <w:pPr>
              <w:ind w:left="1820"/>
              <w:spacing w:after="0" w:line="190" w:lineRule="exact"/>
              <w:rPr>
                <w:sz w:val="20"/>
                <w:szCs w:val="20"/>
                <w:color w:val="auto"/>
              </w:rPr>
            </w:pPr>
            <w:r>
              <w:rPr>
                <w:rFonts w:ascii="Arial" w:cs="Arial" w:eastAsia="Arial" w:hAnsi="Arial"/>
                <w:sz w:val="18"/>
                <w:szCs w:val="18"/>
                <w:color w:val="auto"/>
              </w:rPr>
              <w:t>Email: Robert.Pettinato@db.com</w:t>
            </w:r>
          </w:p>
        </w:tc>
      </w:tr>
      <w:tr>
        <w:trPr>
          <w:trHeight w:val="20"/>
        </w:trPr>
        <w:tc>
          <w:tcPr>
            <w:tcW w:w="2880" w:type="dxa"/>
            <w:vAlign w:val="bottom"/>
          </w:tcPr>
          <w:p>
            <w:pPr>
              <w:spacing w:after="0" w:line="20" w:lineRule="exact"/>
              <w:rPr>
                <w:sz w:val="1"/>
                <w:szCs w:val="1"/>
                <w:color w:val="auto"/>
              </w:rPr>
            </w:pPr>
          </w:p>
        </w:tc>
        <w:tc>
          <w:tcPr>
            <w:tcW w:w="2400" w:type="dxa"/>
            <w:vAlign w:val="bottom"/>
            <w:tcBorders>
              <w:right w:val="single" w:sz="8" w:color="auto"/>
            </w:tcBorders>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360" w:type="dxa"/>
            <w:vAlign w:val="bottom"/>
            <w:gridSpan w:val="5"/>
          </w:tcPr>
          <w:p>
            <w:pPr>
              <w:ind w:left="1820"/>
              <w:spacing w:after="0"/>
              <w:rPr>
                <w:sz w:val="20"/>
                <w:szCs w:val="20"/>
                <w:color w:val="auto"/>
              </w:rPr>
            </w:pPr>
            <w:r>
              <w:rPr>
                <w:rFonts w:ascii="Arial" w:cs="Arial" w:eastAsia="Arial" w:hAnsi="Arial"/>
                <w:sz w:val="18"/>
                <w:szCs w:val="18"/>
                <w:color w:val="auto"/>
              </w:rPr>
              <w:t>Donna A. Corrigan</w:t>
            </w:r>
          </w:p>
        </w:tc>
      </w:tr>
      <w:tr>
        <w:trPr>
          <w:trHeight w:val="190"/>
        </w:trPr>
        <w:tc>
          <w:tcPr>
            <w:tcW w:w="2880" w:type="dxa"/>
            <w:vAlign w:val="bottom"/>
          </w:tcPr>
          <w:p>
            <w:pPr>
              <w:spacing w:after="0"/>
              <w:rPr>
                <w:sz w:val="16"/>
                <w:szCs w:val="16"/>
                <w:color w:val="auto"/>
              </w:rPr>
            </w:pPr>
          </w:p>
        </w:tc>
        <w:tc>
          <w:tcPr>
            <w:tcW w:w="8360" w:type="dxa"/>
            <w:vAlign w:val="bottom"/>
            <w:gridSpan w:val="5"/>
          </w:tcPr>
          <w:p>
            <w:pPr>
              <w:ind w:left="1820"/>
              <w:spacing w:after="0" w:line="190" w:lineRule="exact"/>
              <w:rPr>
                <w:sz w:val="20"/>
                <w:szCs w:val="20"/>
                <w:color w:val="auto"/>
              </w:rPr>
            </w:pPr>
            <w:r>
              <w:rPr>
                <w:rFonts w:ascii="Arial" w:cs="Arial" w:eastAsia="Arial" w:hAnsi="Arial"/>
                <w:sz w:val="18"/>
                <w:szCs w:val="18"/>
                <w:color w:val="auto"/>
              </w:rPr>
              <w:t>Email: Donna-A.Corrigan@db.com</w:t>
            </w:r>
          </w:p>
        </w:tc>
      </w:tr>
      <w:tr>
        <w:trPr>
          <w:trHeight w:val="20"/>
        </w:trPr>
        <w:tc>
          <w:tcPr>
            <w:tcW w:w="2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360" w:type="dxa"/>
            <w:vAlign w:val="bottom"/>
            <w:gridSpan w:val="5"/>
          </w:tcPr>
          <w:p>
            <w:pPr>
              <w:ind w:left="1820"/>
              <w:spacing w:after="0"/>
              <w:rPr>
                <w:sz w:val="20"/>
                <w:szCs w:val="20"/>
                <w:color w:val="auto"/>
              </w:rPr>
            </w:pPr>
            <w:r>
              <w:rPr>
                <w:rFonts w:ascii="Arial" w:cs="Arial" w:eastAsia="Arial" w:hAnsi="Arial"/>
                <w:sz w:val="18"/>
                <w:szCs w:val="18"/>
                <w:color w:val="auto"/>
              </w:rPr>
              <w:t>Theresa Elle</w:t>
            </w:r>
          </w:p>
        </w:tc>
      </w:tr>
      <w:tr>
        <w:trPr>
          <w:trHeight w:val="190"/>
        </w:trPr>
        <w:tc>
          <w:tcPr>
            <w:tcW w:w="2880" w:type="dxa"/>
            <w:vAlign w:val="bottom"/>
          </w:tcPr>
          <w:p>
            <w:pPr>
              <w:spacing w:after="0"/>
              <w:rPr>
                <w:sz w:val="16"/>
                <w:szCs w:val="16"/>
                <w:color w:val="auto"/>
              </w:rPr>
            </w:pPr>
          </w:p>
        </w:tc>
        <w:tc>
          <w:tcPr>
            <w:tcW w:w="8360" w:type="dxa"/>
            <w:vAlign w:val="bottom"/>
            <w:gridSpan w:val="5"/>
          </w:tcPr>
          <w:p>
            <w:pPr>
              <w:ind w:left="1820"/>
              <w:spacing w:after="0" w:line="190" w:lineRule="exact"/>
              <w:rPr>
                <w:sz w:val="20"/>
                <w:szCs w:val="20"/>
                <w:color w:val="auto"/>
              </w:rPr>
            </w:pPr>
            <w:r>
              <w:rPr>
                <w:rFonts w:ascii="Arial" w:cs="Arial" w:eastAsia="Arial" w:hAnsi="Arial"/>
                <w:sz w:val="18"/>
                <w:szCs w:val="18"/>
                <w:color w:val="auto"/>
              </w:rPr>
              <w:t>Email: Theresa.Elle@db.com</w:t>
            </w:r>
          </w:p>
        </w:tc>
      </w:tr>
      <w:tr>
        <w:trPr>
          <w:trHeight w:val="20"/>
        </w:trPr>
        <w:tc>
          <w:tcPr>
            <w:tcW w:w="2880" w:type="dxa"/>
            <w:vAlign w:val="bottom"/>
          </w:tcPr>
          <w:p>
            <w:pPr>
              <w:spacing w:after="0" w:line="20" w:lineRule="exact"/>
              <w:rPr>
                <w:sz w:val="1"/>
                <w:szCs w:val="1"/>
                <w:color w:val="auto"/>
              </w:rPr>
            </w:pPr>
          </w:p>
        </w:tc>
        <w:tc>
          <w:tcPr>
            <w:tcW w:w="2400" w:type="dxa"/>
            <w:vAlign w:val="bottom"/>
            <w:tcBorders>
              <w:right w:val="single" w:sz="8" w:color="auto"/>
            </w:tcBorders>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360" w:type="dxa"/>
            <w:vAlign w:val="bottom"/>
            <w:gridSpan w:val="5"/>
          </w:tcPr>
          <w:p>
            <w:pPr>
              <w:ind w:left="1820"/>
              <w:spacing w:after="0"/>
              <w:rPr>
                <w:sz w:val="20"/>
                <w:szCs w:val="20"/>
                <w:color w:val="auto"/>
              </w:rPr>
            </w:pPr>
            <w:r>
              <w:rPr>
                <w:rFonts w:ascii="Arial" w:cs="Arial" w:eastAsia="Arial" w:hAnsi="Arial"/>
                <w:sz w:val="18"/>
                <w:szCs w:val="18"/>
                <w:color w:val="auto"/>
              </w:rPr>
              <w:t>Jeremy Crystal</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820"/>
              <w:spacing w:after="0"/>
              <w:rPr>
                <w:sz w:val="20"/>
                <w:szCs w:val="20"/>
                <w:color w:val="auto"/>
              </w:rPr>
            </w:pPr>
            <w:r>
              <w:rPr>
                <w:rFonts w:ascii="Arial" w:cs="Arial" w:eastAsia="Arial" w:hAnsi="Arial"/>
                <w:sz w:val="18"/>
                <w:szCs w:val="18"/>
                <w:color w:val="auto"/>
              </w:rPr>
              <w:t>Email: Jeremy.Crystal@db.com</w:t>
            </w:r>
          </w:p>
        </w:tc>
      </w:tr>
      <w:tr>
        <w:trPr>
          <w:trHeight w:val="230"/>
        </w:trPr>
        <w:tc>
          <w:tcPr>
            <w:tcW w:w="2880" w:type="dxa"/>
            <w:vAlign w:val="bottom"/>
          </w:tcPr>
          <w:p>
            <w:pPr>
              <w:spacing w:after="0"/>
              <w:rPr>
                <w:sz w:val="20"/>
                <w:szCs w:val="20"/>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Facsimile No. (212) 797-4489</w:t>
            </w:r>
          </w:p>
        </w:tc>
      </w:tr>
      <w:tr>
        <w:trPr>
          <w:trHeight w:val="418"/>
        </w:trPr>
        <w:tc>
          <w:tcPr>
            <w:tcW w:w="2880" w:type="dxa"/>
            <w:vAlign w:val="bottom"/>
          </w:tcPr>
          <w:p>
            <w:pPr>
              <w:ind w:left="660"/>
              <w:spacing w:after="0"/>
              <w:rPr>
                <w:sz w:val="20"/>
                <w:szCs w:val="20"/>
                <w:color w:val="auto"/>
              </w:rPr>
            </w:pPr>
            <w:r>
              <w:rPr>
                <w:rFonts w:ascii="Arial" w:cs="Arial" w:eastAsia="Arial" w:hAnsi="Arial"/>
                <w:sz w:val="18"/>
                <w:szCs w:val="18"/>
                <w:color w:val="auto"/>
              </w:rPr>
              <w:t>and to:</w:t>
            </w: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DBR INVESTMENTS CO. LIMITED</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60 Wall Street, 10th Floor</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New York, New York 10005</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Attention: General Counsel</w:t>
            </w:r>
          </w:p>
        </w:tc>
      </w:tr>
      <w:tr>
        <w:trPr>
          <w:trHeight w:val="230"/>
        </w:trPr>
        <w:tc>
          <w:tcPr>
            <w:tcW w:w="2880" w:type="dxa"/>
            <w:vAlign w:val="bottom"/>
          </w:tcPr>
          <w:p>
            <w:pPr>
              <w:spacing w:after="0"/>
              <w:rPr>
                <w:sz w:val="20"/>
                <w:szCs w:val="20"/>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Facsimile No. (646) 736-5721</w:t>
            </w:r>
          </w:p>
        </w:tc>
      </w:tr>
      <w:tr>
        <w:trPr>
          <w:trHeight w:val="418"/>
        </w:trPr>
        <w:tc>
          <w:tcPr>
            <w:tcW w:w="288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Alston &amp; Bird LLP</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90 Park Avenue</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New York, New York 10016</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Attention: David A. Freedman, Esq.</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Email: David.Freedman@alston.com</w:t>
            </w:r>
          </w:p>
        </w:tc>
      </w:tr>
      <w:tr>
        <w:trPr>
          <w:trHeight w:val="230"/>
        </w:trPr>
        <w:tc>
          <w:tcPr>
            <w:tcW w:w="2880" w:type="dxa"/>
            <w:vAlign w:val="bottom"/>
          </w:tcPr>
          <w:p>
            <w:pPr>
              <w:spacing w:after="0"/>
              <w:rPr>
                <w:sz w:val="20"/>
                <w:szCs w:val="20"/>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Facsimile No. (212) 210-9444</w:t>
            </w:r>
          </w:p>
        </w:tc>
      </w:tr>
      <w:tr>
        <w:trPr>
          <w:trHeight w:val="418"/>
        </w:trPr>
        <w:tc>
          <w:tcPr>
            <w:tcW w:w="288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Midland Loan Services, a PNC Real Estate business</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10851 Mastin, Suite 700</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Overland Park, KS 66210</w:t>
            </w:r>
          </w:p>
        </w:tc>
      </w:tr>
      <w:tr>
        <w:trPr>
          <w:trHeight w:val="216"/>
        </w:trPr>
        <w:tc>
          <w:tcPr>
            <w:tcW w:w="2880" w:type="dxa"/>
            <w:vAlign w:val="bottom"/>
          </w:tcPr>
          <w:p>
            <w:pPr>
              <w:spacing w:after="0"/>
              <w:rPr>
                <w:sz w:val="18"/>
                <w:szCs w:val="18"/>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(p) 913.253.9152</w:t>
            </w:r>
          </w:p>
        </w:tc>
      </w:tr>
      <w:tr>
        <w:trPr>
          <w:trHeight w:val="230"/>
        </w:trPr>
        <w:tc>
          <w:tcPr>
            <w:tcW w:w="2880" w:type="dxa"/>
            <w:vAlign w:val="bottom"/>
          </w:tcPr>
          <w:p>
            <w:pPr>
              <w:spacing w:after="0"/>
              <w:rPr>
                <w:sz w:val="20"/>
                <w:szCs w:val="20"/>
                <w:color w:val="auto"/>
              </w:rPr>
            </w:pPr>
          </w:p>
        </w:tc>
        <w:tc>
          <w:tcPr>
            <w:tcW w:w="8360" w:type="dxa"/>
            <w:vAlign w:val="bottom"/>
            <w:gridSpan w:val="5"/>
          </w:tcPr>
          <w:p>
            <w:pPr>
              <w:ind w:left="1160"/>
              <w:spacing w:after="0"/>
              <w:rPr>
                <w:sz w:val="20"/>
                <w:szCs w:val="20"/>
                <w:color w:val="auto"/>
              </w:rPr>
            </w:pPr>
            <w:r>
              <w:rPr>
                <w:rFonts w:ascii="Arial" w:cs="Arial" w:eastAsia="Arial" w:hAnsi="Arial"/>
                <w:sz w:val="18"/>
                <w:szCs w:val="18"/>
                <w:color w:val="auto"/>
              </w:rPr>
              <w:t>Attention: Jon Porter</w:t>
            </w:r>
          </w:p>
        </w:tc>
      </w:tr>
      <w:tr>
        <w:trPr>
          <w:trHeight w:val="850"/>
        </w:trPr>
        <w:tc>
          <w:tcPr>
            <w:tcW w:w="2880" w:type="dxa"/>
            <w:vAlign w:val="bottom"/>
          </w:tcPr>
          <w:p>
            <w:pPr>
              <w:spacing w:after="0"/>
              <w:rPr>
                <w:sz w:val="24"/>
                <w:szCs w:val="24"/>
                <w:color w:val="auto"/>
              </w:rPr>
            </w:pPr>
          </w:p>
        </w:tc>
        <w:tc>
          <w:tcPr>
            <w:tcW w:w="3980" w:type="dxa"/>
            <w:vAlign w:val="bottom"/>
            <w:gridSpan w:val="2"/>
          </w:tcPr>
          <w:p>
            <w:pPr>
              <w:ind w:left="258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61"/>
        </w:trPr>
        <w:tc>
          <w:tcPr>
            <w:tcW w:w="288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405" w:name="page406"/>
    <w:bookmarkEnd w:id="405"/>
    <w:p>
      <w:pPr>
        <w:ind w:left="66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Novonix 1029,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353 Corporate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Chattanooga, TN 37419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Chris Burns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Chris@novonixgroup.com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Attention: Rashda Buttar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Rashda@novonixgroup.com</w:t>
      </w:r>
    </w:p>
    <w:p>
      <w:pPr>
        <w:spacing w:after="0" w:line="200" w:lineRule="exact"/>
        <w:rPr>
          <w:sz w:val="20"/>
          <w:szCs w:val="20"/>
          <w:color w:val="auto"/>
        </w:rPr>
      </w:pPr>
    </w:p>
    <w:p>
      <w:pPr>
        <w:sectPr>
          <w:pgSz w:w="11900" w:h="16838" w:orient="portrait"/>
          <w:cols w:equalWidth="0" w:num="2">
            <w:col w:w="3220" w:space="720"/>
            <w:col w:w="7300"/>
          </w:cols>
          <w:pgMar w:left="320" w:top="341" w:right="339" w:bottom="1440" w:gutter="0" w:footer="0" w:header="0"/>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Miller &amp; Martin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832 Georgia Avenue,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Chattanooga, TN 37402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Alan W. Madison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alan.madison@millermartin.com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No. 423.785.8480</w:t>
      </w:r>
    </w:p>
    <w:p>
      <w:pPr>
        <w:spacing w:after="0" w:line="200" w:lineRule="exact"/>
        <w:rPr>
          <w:sz w:val="20"/>
          <w:szCs w:val="20"/>
          <w:color w:val="auto"/>
        </w:rPr>
      </w:pPr>
    </w:p>
    <w:p>
      <w:pPr>
        <w:sectPr>
          <w:pgSz w:w="11900" w:h="16838" w:orient="portrait"/>
          <w:cols w:equalWidth="0" w:num="2">
            <w:col w:w="3220" w:space="720"/>
            <w:col w:w="7300"/>
          </w:cols>
          <w:pgMar w:left="320" w:top="341" w:right="339" w:bottom="1440" w:gutter="0" w:footer="0" w:header="0"/>
          <w:type w:val="continuous"/>
        </w:sectPr>
      </w:pPr>
    </w:p>
    <w:p>
      <w:pPr>
        <w:spacing w:after="0" w:line="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Any party may change the address to which any such Notice is to be delivered by furnishing ten (10) days written notice of such change to the other parties in accordance with the provisions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Notices shall be deemed to have been given on the date as set forth above, even if there is an inability to actually deliver any such Notice because of a changed address of which no Notice was given, or there is a rejection or refusal to accept any Notice offered for delivery. Notice for any party may be given by its respective counsel. Additionally, Notice from Lender may also be given by Servicer and Lender hereby acknowledges and agrees that Borrower shall be entitled to rely on any Notice given by Servicer as if it had been sent by Lender.</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10.7 </w:t>
      </w:r>
      <w:r>
        <w:rPr>
          <w:rFonts w:ascii="Arial" w:cs="Arial" w:eastAsia="Arial" w:hAnsi="Arial"/>
          <w:sz w:val="18"/>
          <w:szCs w:val="18"/>
          <w:b w:val="1"/>
          <w:bCs w:val="1"/>
          <w:u w:val="single" w:color="auto"/>
          <w:color w:val="auto"/>
        </w:rPr>
        <w:t>Waiver of Trial by Jury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LENDER EACH HEREBY AGREES NOT TO ELECT A TRIAL BY JURY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ISSUE TRIABLE OF RIGHT BY JURY, AND WAIVES ANY RIGHT TO TRIAL BY JURY FULLY TO THE EXTENT THAT ANY SUCH RIGHT SHALL NOW OR HEREAFTER EXIST WITH REGARD TO THE LOAN DOCUMENTS OR ANY CLAIM, COUNTERCLAIM OR OTHER ACTION ARISING IN CONNECTION THEREWITH. THIS WAIVER OF RIGHT TO TRIAL BY JURY IS GIVEN KNOWINGLY AND VOLUNTARILY BY BORROWER AND LENDER AND IS INTENDED TO ENCOMPASS INDIVIDUALLY EACH INSTANCE AND EACH ISSUE AS TO WHICH THE RIGHT TO A TRIAL BY JURY WOULD OTHERWISE ACCRUE. EACH PARTY IS HEREBY AUTHORIZED TO FILE A COPY OF THIS PARAGRAPH IN ANY PROCEEDING AS CONCLUSIVE EVIDENCE OF THIS WAIVER.</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10.8 </w:t>
      </w:r>
      <w:r>
        <w:rPr>
          <w:rFonts w:ascii="Arial" w:cs="Arial" w:eastAsia="Arial" w:hAnsi="Arial"/>
          <w:sz w:val="17"/>
          <w:szCs w:val="17"/>
          <w:b w:val="1"/>
          <w:bCs w:val="1"/>
          <w:u w:val="single" w:color="auto"/>
          <w:color w:val="auto"/>
        </w:rPr>
        <w:t>Headings, Schedules and Exhibits</w:t>
      </w:r>
      <w:r>
        <w:rPr>
          <w:rFonts w:ascii="Arial" w:cs="Arial" w:eastAsia="Arial" w:hAnsi="Arial"/>
          <w:sz w:val="17"/>
          <w:szCs w:val="17"/>
          <w:b w:val="1"/>
          <w:bCs w:val="1"/>
          <w:color w:val="auto"/>
        </w:rPr>
        <w:t xml:space="preserve">. </w:t>
      </w:r>
      <w:r>
        <w:rPr>
          <w:rFonts w:ascii="Arial" w:cs="Arial" w:eastAsia="Arial" w:hAnsi="Arial"/>
          <w:sz w:val="17"/>
          <w:szCs w:val="17"/>
          <w:color w:val="auto"/>
        </w:rPr>
        <w:t>The Article and/or Section headings and the Table of Contents in this Agreement are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for convenience of reference only and shall not constitute a part of this Agreement for any other purpose. The Schedules and Exhibits annexed hereto are hereby incorporated herein as a part of this Agreement with the same effect as if set forth in the body hereof.</w:t>
      </w:r>
    </w:p>
    <w:p>
      <w:pPr>
        <w:spacing w:after="0" w:line="15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10.9 </w:t>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Wherever possible, each provision of this Agreement shall be interpreted in such manner as to be effective and valid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200" w:lineRule="exact"/>
        <w:rPr>
          <w:sz w:val="20"/>
          <w:szCs w:val="20"/>
          <w:color w:val="auto"/>
        </w:rPr>
      </w:pP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06" w:name="page407"/>
    <w:bookmarkEnd w:id="406"/>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10.10 </w:t>
      </w:r>
      <w:r>
        <w:rPr>
          <w:rFonts w:ascii="Arial" w:cs="Arial" w:eastAsia="Arial" w:hAnsi="Arial"/>
          <w:sz w:val="18"/>
          <w:szCs w:val="18"/>
          <w:b w:val="1"/>
          <w:bCs w:val="1"/>
          <w:u w:val="single" w:color="auto"/>
          <w:color w:val="auto"/>
        </w:rPr>
        <w:t>Preferences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Lender shall have the continuing and exclusive right to apply or reverse and reapply any and all payments by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to any portion of the Obligations of Borrower hereunder. To the extent Borrower makes a payment or payments to Lender, which payment or proceeds or any part thereof are subsequently invalidated, declared to be fraudulent or preferential, set aside or required to be repaid to a trustee, receiver or any other party under any bankruptcy law, state or federal law, common law or equitable cause, then, to the extent of such payment or proceeds received, the Obligations hereunder or part thereof intended to be satisfied shall be revived and continue in full force and effect, as if such payment or proceeds had not been received by Lender.</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10.11 </w:t>
      </w:r>
      <w:r>
        <w:rPr>
          <w:rFonts w:ascii="Arial" w:cs="Arial" w:eastAsia="Arial" w:hAnsi="Arial"/>
          <w:sz w:val="18"/>
          <w:szCs w:val="18"/>
          <w:b w:val="1"/>
          <w:bCs w:val="1"/>
          <w:u w:val="single" w:color="auto"/>
          <w:color w:val="auto"/>
        </w:rPr>
        <w:t>Waiver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not be entitled to any notices of any nature whatsoever from Lender except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for which this Agreement or the other Loan Documents specifically and expressly provide for the giving of notice by Lender to Borrower and except with respect to matters for which Borrower is not, pursuant to applicable Legal Requirements, permitted to waive the giving of notice. Borrower hereby expressly waives the right to receive any notice from Lender with respect to any matter for which this Agreement or the other Loan Documents do not specifically and expressly provide for the giving of notice by Lender to Borrower.</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10.12 </w:t>
      </w:r>
      <w:r>
        <w:rPr>
          <w:rFonts w:ascii="Arial" w:cs="Arial" w:eastAsia="Arial" w:hAnsi="Arial"/>
          <w:sz w:val="18"/>
          <w:szCs w:val="18"/>
          <w:b w:val="1"/>
          <w:bCs w:val="1"/>
          <w:u w:val="single" w:color="auto"/>
          <w:color w:val="auto"/>
        </w:rPr>
        <w:t>Remedies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 claim or adjudication is made that Lender or its agents have acted unreasonably or</w:t>
      </w:r>
      <w:r>
        <w:rPr>
          <w:rFonts w:ascii="Arial" w:cs="Arial" w:eastAsia="Arial" w:hAnsi="Arial"/>
          <w:sz w:val="18"/>
          <w:szCs w:val="18"/>
          <w:b w:val="1"/>
          <w:bCs w:val="1"/>
          <w:color w:val="auto"/>
        </w:rPr>
        <w:t xml:space="preserve"> </w:t>
      </w:r>
      <w:r>
        <w:rPr>
          <w:rFonts w:ascii="Arial" w:cs="Arial" w:eastAsia="Arial" w:hAnsi="Arial"/>
          <w:sz w:val="18"/>
          <w:szCs w:val="18"/>
          <w:color w:val="auto"/>
        </w:rPr>
        <w:t>unreasonably delayed acting in any case where, by law or under this Agreement or the other Loan Documents, Lender or such agent, as the case may be, has an obligation to act reasonably or promptly, neither Lender nor its agents shall be liable for any monetary damages and Borrower’s sole remedy shall be limited to commencing an action seeking injunctive relief or declaratory judgment. Any action or proceeding to determine whether Lender has acted reasonably shall be determined by an action seeking declaratory judgment.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10.13 </w:t>
      </w:r>
      <w:r>
        <w:rPr>
          <w:rFonts w:ascii="Arial" w:cs="Arial" w:eastAsia="Arial" w:hAnsi="Arial"/>
          <w:sz w:val="18"/>
          <w:szCs w:val="18"/>
          <w:b w:val="1"/>
          <w:bCs w:val="1"/>
          <w:u w:val="single" w:color="auto"/>
          <w:color w:val="auto"/>
        </w:rPr>
        <w:t>Offsets, Counterclaims and Defenses</w:t>
      </w:r>
      <w:r>
        <w:rPr>
          <w:rFonts w:ascii="Arial" w:cs="Arial" w:eastAsia="Arial" w:hAnsi="Arial"/>
          <w:sz w:val="18"/>
          <w:szCs w:val="18"/>
          <w:b w:val="1"/>
          <w:bCs w:val="1"/>
          <w:color w:val="auto"/>
        </w:rPr>
        <w:t xml:space="preserve">. </w:t>
      </w:r>
      <w:r>
        <w:rPr>
          <w:rFonts w:ascii="Arial" w:cs="Arial" w:eastAsia="Arial" w:hAnsi="Arial"/>
          <w:sz w:val="18"/>
          <w:szCs w:val="18"/>
          <w:color w:val="auto"/>
        </w:rPr>
        <w:t>Any assignee of Lender’s interest in and to this Agreement and the other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take the same free and clear of all offsets, counterclaims or defenses which are unrelated to such documents which Borrower may otherwise have against any assignor of such documents, and no such unrelated counterclaim or defense shall be interposed or asserted by Borrower in any action or proceeding brought by any such assignee upon such documents and any such right to interpose or assert any such unrelated offset, counterclaim or defense in any such action or proceeding is hereby expressly waived by Borrower.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10.14 </w:t>
      </w:r>
      <w:r>
        <w:rPr>
          <w:rFonts w:ascii="Arial" w:cs="Arial" w:eastAsia="Arial" w:hAnsi="Arial"/>
          <w:sz w:val="18"/>
          <w:szCs w:val="18"/>
          <w:b w:val="1"/>
          <w:bCs w:val="1"/>
          <w:u w:val="single" w:color="auto"/>
          <w:color w:val="auto"/>
        </w:rPr>
        <w:t>No Joint Venture or Partnership; No Third Party Beneficiaries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304"/>
        <w:spacing w:after="0" w:line="286" w:lineRule="auto"/>
        <w:tabs>
          <w:tab w:leader="none" w:pos="1914" w:val="left"/>
        </w:tabs>
        <w:numPr>
          <w:ilvl w:val="0"/>
          <w:numId w:val="442"/>
        </w:numPr>
        <w:rPr>
          <w:rFonts w:ascii="Arial" w:cs="Arial" w:eastAsia="Arial" w:hAnsi="Arial"/>
          <w:sz w:val="17"/>
          <w:szCs w:val="17"/>
          <w:color w:val="auto"/>
        </w:rPr>
      </w:pPr>
      <w:r>
        <w:rPr>
          <w:rFonts w:ascii="Arial" w:cs="Arial" w:eastAsia="Arial" w:hAnsi="Arial"/>
          <w:sz w:val="17"/>
          <w:szCs w:val="17"/>
          <w:color w:val="auto"/>
        </w:rPr>
        <w:t>Borrower and Lender intend that the relationships created hereunder and under the other Loan Documents be solely that of borrower and lender. Nothing herein or therein is intended to create a joint venture, partnership, tenancy-in-common or joint tenancy relationship between Borrower and Lender nor to grant Lender any interest in the Property other than that of mortgagee, beneficiary or lender.</w:t>
      </w:r>
    </w:p>
    <w:p>
      <w:pPr>
        <w:spacing w:after="0" w:line="165" w:lineRule="exact"/>
        <w:rPr>
          <w:rFonts w:ascii="Arial" w:cs="Arial" w:eastAsia="Arial" w:hAnsi="Arial"/>
          <w:sz w:val="17"/>
          <w:szCs w:val="17"/>
          <w:color w:val="auto"/>
        </w:rPr>
      </w:pPr>
    </w:p>
    <w:p>
      <w:pPr>
        <w:jc w:val="both"/>
        <w:ind w:firstLine="1304"/>
        <w:spacing w:after="0" w:line="286" w:lineRule="auto"/>
        <w:tabs>
          <w:tab w:leader="none" w:pos="1843"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The Loan Documents are solely for the benefit of Lender and Borrower (and the Lender Group, the Issuer and the Underwriter Group with respect to </w:t>
      </w:r>
      <w:r>
        <w:rPr>
          <w:rFonts w:ascii="Arial" w:cs="Arial" w:eastAsia="Arial" w:hAnsi="Arial"/>
          <w:sz w:val="17"/>
          <w:szCs w:val="17"/>
          <w:u w:val="single" w:color="auto"/>
          <w:color w:val="auto"/>
        </w:rPr>
        <w:t>Section 9.2(b)</w:t>
      </w:r>
      <w:r>
        <w:rPr>
          <w:rFonts w:ascii="Arial" w:cs="Arial" w:eastAsia="Arial" w:hAnsi="Arial"/>
          <w:sz w:val="17"/>
          <w:szCs w:val="17"/>
          <w:color w:val="auto"/>
        </w:rPr>
        <w:t>) and nothing contained in any Loan Document shall be deemed to confer upon anyone other than the Lender and Borrower any right to insist upon or to enforce the performance or observance of any of the obligations contained therein.</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7" w:name="page408"/>
    <w:bookmarkEnd w:id="407"/>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10.15 </w:t>
      </w:r>
      <w:r>
        <w:rPr>
          <w:rFonts w:ascii="Arial" w:cs="Arial" w:eastAsia="Arial" w:hAnsi="Arial"/>
          <w:sz w:val="18"/>
          <w:szCs w:val="18"/>
          <w:b w:val="1"/>
          <w:bCs w:val="1"/>
          <w:u w:val="single" w:color="auto"/>
          <w:color w:val="auto"/>
        </w:rPr>
        <w:t>Publicity</w:t>
      </w:r>
      <w:r>
        <w:rPr>
          <w:rFonts w:ascii="Arial" w:cs="Arial" w:eastAsia="Arial" w:hAnsi="Arial"/>
          <w:sz w:val="18"/>
          <w:szCs w:val="18"/>
          <w:b w:val="1"/>
          <w:bCs w:val="1"/>
          <w:color w:val="auto"/>
        </w:rPr>
        <w:t xml:space="preserve">. </w:t>
      </w:r>
      <w:r>
        <w:rPr>
          <w:rFonts w:ascii="Arial" w:cs="Arial" w:eastAsia="Arial" w:hAnsi="Arial"/>
          <w:sz w:val="18"/>
          <w:szCs w:val="18"/>
          <w:color w:val="auto"/>
        </w:rPr>
        <w:t>All news releases, publicity or advertising by Borrower or its Affiliates through any media intended to reach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public which refers to the Loan Documents or the financing evidenced by the Loan Documents, to Lender, the Affiliate of Lender that acts as the issuer with respect to a Securitization or any of their other Affiliates (x) shall be prohibited prior to the final Securitization of the Loan and (y) after the final Securitization of the Loan, shall be subject to the prior written approval of Lender. Lender shall have the right to issue any of the foregoing without Borrower’s approval and Borrower authorizes Lender to issue press releases, advertisements and other promotional materials in connection with Lender’s own promotional and marketing activities, including in connection with a Secondary Market Transaction, and such materials may describe the Loan in general terms or in detail and Lender’s participation therein in the Loan.</w:t>
      </w:r>
    </w:p>
    <w:p>
      <w:pPr>
        <w:spacing w:after="0" w:line="18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10.16 </w:t>
      </w:r>
      <w:r>
        <w:rPr>
          <w:rFonts w:ascii="Arial" w:cs="Arial" w:eastAsia="Arial" w:hAnsi="Arial"/>
          <w:sz w:val="17"/>
          <w:szCs w:val="17"/>
          <w:b w:val="1"/>
          <w:bCs w:val="1"/>
          <w:u w:val="single" w:color="auto"/>
          <w:color w:val="auto"/>
        </w:rPr>
        <w:t>Waiver of Marshalling of Assets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fullest extent permitted by law, Borrower, for itself and its successors and assigns, waives</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rights to a marshalling of the assets of Borrower, Borrower’s members or partners, as applicable, and others with interests in Borrower, and of the Property, and shall not assert any right under any laws pertaining to the marshalling of assets, the sale in inverse order of alienation, homestead exemption, the administration of estates of decedents, or any other matters whatsoever to defeat, reduce or affect the right of Lender under the Loan Documents to a sale of the Property for the collection of the Obligations without any prior or different resort for collection, or of the right of Lender to the payment of the Obligations out of the net proceeds of the Property in preference to every other claimant whatsoever.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10.17 </w:t>
      </w:r>
      <w:r>
        <w:rPr>
          <w:rFonts w:ascii="Arial" w:cs="Arial" w:eastAsia="Arial" w:hAnsi="Arial"/>
          <w:sz w:val="18"/>
          <w:szCs w:val="18"/>
          <w:b w:val="1"/>
          <w:bCs w:val="1"/>
          <w:u w:val="single" w:color="auto"/>
          <w:color w:val="auto"/>
        </w:rPr>
        <w:t>Certain Waivers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304"/>
        <w:spacing w:after="0" w:line="255" w:lineRule="auto"/>
        <w:tabs>
          <w:tab w:leader="none" w:pos="190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Borrower hereby waives the right to assert a counterclaim, other than a compulsory counterclaim, in any action or proceeding brought against it by Lender or its agents or otherwise to offset any obligations to make the payments required by the Loan Documents. No failure by Lender to perform any of its obligations hereunder shall be a valid defense to, or result in any offset against, any payments which Borrower is obligated to make under any of the Loan Documents. Without limiting any of the other provisions contained herein, Borrower hereby unconditionally and irrevocably waives, to the maximum extent not prohibited by applicable law, any rights it may have to claim or recover against Lender in any legal action or proceeding any special, exemplary, punitive or consequential damages.</w:t>
      </w:r>
    </w:p>
    <w:p>
      <w:pPr>
        <w:spacing w:after="0" w:line="192" w:lineRule="exact"/>
        <w:rPr>
          <w:rFonts w:ascii="Arial" w:cs="Arial" w:eastAsia="Arial" w:hAnsi="Arial"/>
          <w:sz w:val="18"/>
          <w:szCs w:val="18"/>
          <w:color w:val="auto"/>
        </w:rPr>
      </w:pPr>
    </w:p>
    <w:p>
      <w:pPr>
        <w:jc w:val="both"/>
        <w:ind w:firstLine="1304"/>
        <w:spacing w:after="0" w:line="272" w:lineRule="auto"/>
        <w:tabs>
          <w:tab w:leader="none" w:pos="1834" w:val="left"/>
        </w:tabs>
        <w:numPr>
          <w:ilvl w:val="0"/>
          <w:numId w:val="443"/>
        </w:numPr>
        <w:rPr>
          <w:rFonts w:ascii="Arial" w:cs="Arial" w:eastAsia="Arial" w:hAnsi="Arial"/>
          <w:sz w:val="17"/>
          <w:szCs w:val="17"/>
          <w:color w:val="auto"/>
        </w:rPr>
      </w:pPr>
      <w:r>
        <w:rPr>
          <w:rFonts w:ascii="Arial" w:cs="Arial" w:eastAsia="Arial" w:hAnsi="Arial"/>
          <w:sz w:val="17"/>
          <w:szCs w:val="17"/>
          <w:color w:val="auto"/>
        </w:rPr>
        <w:t>To the fullest extent permitted by applicable Legal Requirements, Borrower hereby irrevocably waives and relinquishes any right, remedy, claim or defense that Borrower may have, or have the right to assert, in order to avail itself of the benefits of any Emergency Law, or otherwise exercise any right or option under any Emergency Law, where such Emergency Law (A) permits (x) Borrower to defer payment of, or otherwise elect not to pay, any amounts as and when due under the Loan Documents and/or (y) Borrower to delay performance of, or otherwise elect not to perform, any non-monetary obligation of Borrower as and when required under the Loan Documents and/or (B) prevents Lender, or requires Lender to forbear, from exercising (at such time or another time in the future) any one or more rights or remedies that, in the absence of such Emergency Law, could otherwise be available to Lender under the Loan Documents or applicable Legal Requirements.</w:t>
      </w:r>
    </w:p>
    <w:p>
      <w:pPr>
        <w:spacing w:after="0" w:line="200" w:lineRule="exact"/>
        <w:rPr>
          <w:sz w:val="20"/>
          <w:szCs w:val="20"/>
          <w:color w:val="auto"/>
        </w:rPr>
      </w:pP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8" w:name="page409"/>
    <w:bookmarkEnd w:id="408"/>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10.18 </w:t>
      </w:r>
      <w:r>
        <w:rPr>
          <w:rFonts w:ascii="Arial" w:cs="Arial" w:eastAsia="Arial" w:hAnsi="Arial"/>
          <w:sz w:val="17"/>
          <w:szCs w:val="17"/>
          <w:b w:val="1"/>
          <w:bCs w:val="1"/>
          <w:u w:val="single" w:color="auto"/>
          <w:color w:val="auto"/>
        </w:rPr>
        <w:t>Conflict; Construction of Documents; Reliance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any conflict between the provisions of this Agreement and any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Loan Documents, the provisions of this Agreement shall control. The parties hereto acknowledge that they were represented by competent counsel in connection with the negotiation, drafting and execution of the Loan Documents and that such Loan Documents shall not be subject to the principle of construing their meaning against the party which drafted same. Borrower acknowledges that, with respect to the Loan, Borrower shall rely solely on its own judgment and advisors in entering into the Loan, without relying in any manner on any statements, representations or recommendations of Lender or any parent, subsidiary or affiliate of Lender. Lender shall not be subject to any limitation whatsoever in the exercise of any rights or remedies available to it under any of the Loan Documents or any other agreements or instruments which govern the Loan by virtue of the ownership by it or any parent, subsidiary or affiliate of Lender of any equity interest any of them may acquire in Borrower, and Borrower hereby irrevocably waives the right to raise any defense or take any action on the basis of the foregoing with respect to Lender’s exercise of any such rights or remedies. Borrower acknowledges that Lender engages in the business of real estate financings and other real estate transactions and investments which may be viewed as adverse to or competitive with the business of Borrower or its Affiliates.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10.19 </w:t>
      </w:r>
      <w:r>
        <w:rPr>
          <w:rFonts w:ascii="Arial" w:cs="Arial" w:eastAsia="Arial" w:hAnsi="Arial"/>
          <w:sz w:val="18"/>
          <w:szCs w:val="18"/>
          <w:b w:val="1"/>
          <w:bCs w:val="1"/>
          <w:u w:val="single" w:color="auto"/>
          <w:color w:val="auto"/>
        </w:rPr>
        <w:t>Brokers and Financial Advisors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304"/>
        <w:spacing w:after="0" w:line="273" w:lineRule="auto"/>
        <w:tabs>
          <w:tab w:leader="none" w:pos="1981" w:val="left"/>
        </w:tabs>
        <w:numPr>
          <w:ilvl w:val="0"/>
          <w:numId w:val="444"/>
        </w:numPr>
        <w:rPr>
          <w:rFonts w:ascii="Arial" w:cs="Arial" w:eastAsia="Arial" w:hAnsi="Arial"/>
          <w:sz w:val="17"/>
          <w:szCs w:val="17"/>
          <w:color w:val="auto"/>
        </w:rPr>
      </w:pPr>
      <w:r>
        <w:rPr>
          <w:rFonts w:ascii="Arial" w:cs="Arial" w:eastAsia="Arial" w:hAnsi="Arial"/>
          <w:sz w:val="17"/>
          <w:szCs w:val="17"/>
          <w:color w:val="auto"/>
        </w:rPr>
        <w:t>Borrower hereby represents that, except for Newmark Knight Frank (“</w:t>
      </w:r>
      <w:r>
        <w:rPr>
          <w:rFonts w:ascii="Arial" w:cs="Arial" w:eastAsia="Arial" w:hAnsi="Arial"/>
          <w:sz w:val="17"/>
          <w:szCs w:val="17"/>
          <w:b w:val="1"/>
          <w:bCs w:val="1"/>
          <w:i w:val="1"/>
          <w:iCs w:val="1"/>
          <w:color w:val="auto"/>
        </w:rPr>
        <w:t>Broker</w:t>
      </w:r>
      <w:r>
        <w:rPr>
          <w:rFonts w:ascii="Arial" w:cs="Arial" w:eastAsia="Arial" w:hAnsi="Arial"/>
          <w:sz w:val="17"/>
          <w:szCs w:val="17"/>
          <w:color w:val="auto"/>
        </w:rPr>
        <w:t xml:space="preserve">”), it has dealt with no financial advisors, brokers, underwriters, placement agents, agents or finders in connection with the transactions contemplated by this Agreement. Borrower will pay Broker a commission pursuant to a separate agreement. Borrower shall indemnify, defend and hold Lender harmless from and against any and all claims, liabilities, losses, costs and expenses of any kind (including Lender’s attorneys’ fees and expenses) in any way relating to or arising out of a claim by any Person (including Broker) that such Person acted on behalf of Borrower or Lender in connection with the transactions contemplated herein. The provisions of this </w:t>
      </w:r>
      <w:r>
        <w:rPr>
          <w:rFonts w:ascii="Arial" w:cs="Arial" w:eastAsia="Arial" w:hAnsi="Arial"/>
          <w:sz w:val="17"/>
          <w:szCs w:val="17"/>
          <w:u w:val="single" w:color="auto"/>
          <w:color w:val="auto"/>
        </w:rPr>
        <w:t>Section 10.19</w:t>
      </w:r>
      <w:r>
        <w:rPr>
          <w:rFonts w:ascii="Arial" w:cs="Arial" w:eastAsia="Arial" w:hAnsi="Arial"/>
          <w:sz w:val="17"/>
          <w:szCs w:val="17"/>
          <w:color w:val="auto"/>
        </w:rPr>
        <w:t xml:space="preserve"> shall survive the expiration and termination of this Agreement and the payment of the Obligations.</w:t>
      </w:r>
    </w:p>
    <w:p>
      <w:pPr>
        <w:spacing w:after="0" w:line="177" w:lineRule="exact"/>
        <w:rPr>
          <w:rFonts w:ascii="Arial" w:cs="Arial" w:eastAsia="Arial" w:hAnsi="Arial"/>
          <w:sz w:val="17"/>
          <w:szCs w:val="17"/>
          <w:color w:val="auto"/>
        </w:rPr>
      </w:pPr>
    </w:p>
    <w:p>
      <w:pPr>
        <w:jc w:val="both"/>
        <w:ind w:firstLine="1304"/>
        <w:spacing w:after="0" w:line="287" w:lineRule="auto"/>
        <w:tabs>
          <w:tab w:leader="none" w:pos="1955"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Notwithstanding anything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to the contrary, Borrower hereby acknowledges that (i) at Lender’s sole discretion, Broker may receive further consideration from Lender relating to the Loan or any other matter for which Lender may elect to compensate Broker pursuant to a separate agreement between Lender and Broker (which compensation may include a one-time payment on the Closing Date, a profit sharing payment and/or ongoing payments from Lender to Broker), (ii) Lender shall have no obligation to disclose to Borrower the existence of any such agreement or the amount of any such additional consideration paid or to be paid to Broker whether in connection with the Loan or otherwise and (iii) Borrower has had the opportunity to speak with Broker regarding such additional consideration. Borrower hereby acknowledges that such additional consideration may create a potential conflict of interest for the Broker in its relationship with Borrower and/or Guarantor and agrees that (x) Lender is not responsible for any recommendations or advice that Broker has given to Borrower or Guarantor, (y) Lender and Borrower (and Guarantor) are dealing at arms’-length with each other in a commercial lending transaction and (z) no fiduciary or other special relationship exists or shall exist between them. Borrower hereby further agrees and acknowledges that Lender has not interfered with Broker’s relationship with Borrower or Guarantor in connection with the transaction contemplated herein and has not caused Broker to breach any duty that it may owe Borrower or Guarantor.</w:t>
      </w: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9" w:name="page410"/>
    <w:bookmarkEnd w:id="409"/>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10.20 </w:t>
      </w:r>
      <w:r>
        <w:rPr>
          <w:rFonts w:ascii="Arial" w:cs="Arial" w:eastAsia="Arial" w:hAnsi="Arial"/>
          <w:sz w:val="18"/>
          <w:szCs w:val="18"/>
          <w:b w:val="1"/>
          <w:bCs w:val="1"/>
          <w:u w:val="single" w:color="auto"/>
          <w:color w:val="auto"/>
        </w:rPr>
        <w:t>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other Loan Documents contain the entire agreement of the parties hereto and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their respective affiliates in respect of the transactions contemplated hereby and thereby, and all prior agreements among or between such parties, including any confidentiality agreements or any similar agreements between or among any such parties, whether oral or written, are superseded by the terms of this Agreement and the other Loan Documents.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10.21 </w:t>
      </w:r>
      <w:r>
        <w:rPr>
          <w:rFonts w:ascii="Arial" w:cs="Arial" w:eastAsia="Arial" w:hAnsi="Arial"/>
          <w:sz w:val="18"/>
          <w:szCs w:val="18"/>
          <w:b w:val="1"/>
          <w:bCs w:val="1"/>
          <w:u w:val="single" w:color="auto"/>
          <w:color w:val="auto"/>
        </w:rPr>
        <w:t>Servicer</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304"/>
        <w:spacing w:after="0" w:line="257" w:lineRule="auto"/>
        <w:tabs>
          <w:tab w:leader="none" w:pos="208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At the option of Lender, the Loan may be serviced by a servicer or special servicer (the “</w:t>
      </w:r>
      <w:r>
        <w:rPr>
          <w:rFonts w:ascii="Arial" w:cs="Arial" w:eastAsia="Arial" w:hAnsi="Arial"/>
          <w:sz w:val="18"/>
          <w:szCs w:val="18"/>
          <w:b w:val="1"/>
          <w:bCs w:val="1"/>
          <w:i w:val="1"/>
          <w:iCs w:val="1"/>
          <w:color w:val="auto"/>
        </w:rPr>
        <w:t>Servicer</w:t>
      </w:r>
      <w:r>
        <w:rPr>
          <w:rFonts w:ascii="Arial" w:cs="Arial" w:eastAsia="Arial" w:hAnsi="Arial"/>
          <w:sz w:val="18"/>
          <w:szCs w:val="18"/>
          <w:color w:val="auto"/>
        </w:rPr>
        <w:t>”) selected by Lender and Lender may delegate all or any portion of its responsibilities under this Agreement and the other Loan Documents to the Servicer pursuant to a servicing agreement (the “</w:t>
      </w:r>
      <w:r>
        <w:rPr>
          <w:rFonts w:ascii="Arial" w:cs="Arial" w:eastAsia="Arial" w:hAnsi="Arial"/>
          <w:sz w:val="18"/>
          <w:szCs w:val="18"/>
          <w:b w:val="1"/>
          <w:bCs w:val="1"/>
          <w:i w:val="1"/>
          <w:iCs w:val="1"/>
          <w:color w:val="auto"/>
        </w:rPr>
        <w:t>Servicing Agreement</w:t>
      </w:r>
      <w:r>
        <w:rPr>
          <w:rFonts w:ascii="Arial" w:cs="Arial" w:eastAsia="Arial" w:hAnsi="Arial"/>
          <w:sz w:val="18"/>
          <w:szCs w:val="18"/>
          <w:color w:val="auto"/>
        </w:rPr>
        <w:t>”) between Lender and Servicer. Borrower shall not be responsible for any set-up fees or any other initial costs relating to or arising under the Servicing Agreement. Borrower shall not be responsible for payment of the monthly master servicing fee due to the Servicer under the Servicing Agreement.</w:t>
      </w:r>
    </w:p>
    <w:p>
      <w:pPr>
        <w:spacing w:after="0" w:line="187" w:lineRule="exact"/>
        <w:rPr>
          <w:rFonts w:ascii="Arial" w:cs="Arial" w:eastAsia="Arial" w:hAnsi="Arial"/>
          <w:sz w:val="18"/>
          <w:szCs w:val="18"/>
          <w:color w:val="auto"/>
        </w:rPr>
      </w:pPr>
    </w:p>
    <w:p>
      <w:pPr>
        <w:jc w:val="both"/>
        <w:ind w:firstLine="1304"/>
        <w:spacing w:after="0" w:line="270" w:lineRule="auto"/>
        <w:tabs>
          <w:tab w:leader="none" w:pos="2131"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xml:space="preserve">Other than as set forth in </w:t>
      </w:r>
      <w:r>
        <w:rPr>
          <w:rFonts w:ascii="Arial" w:cs="Arial" w:eastAsia="Arial" w:hAnsi="Arial"/>
          <w:sz w:val="17"/>
          <w:szCs w:val="17"/>
          <w:u w:val="single" w:color="auto"/>
          <w:color w:val="auto"/>
        </w:rPr>
        <w:t>Section 10.21(a)</w:t>
      </w:r>
      <w:r>
        <w:rPr>
          <w:rFonts w:ascii="Arial" w:cs="Arial" w:eastAsia="Arial" w:hAnsi="Arial"/>
          <w:sz w:val="17"/>
          <w:szCs w:val="17"/>
          <w:color w:val="auto"/>
        </w:rPr>
        <w:t xml:space="preserve"> above, Borrower shall pay all of the fees and expenses of the Servicer and any reasonable third-party fees and expenses in connection with the Loan, including any prepayments, releases of the Property, approvals under the Loan Documents requested by Borrower, other requests under the Loan, defeasance, assumption of Borrower’s obligations or modification of the Loan, as well as any fees and expenses in connection with the special servicing or work-out of the Loan or enforcement of the Loan Documents, including, special servicing fees, operating or trust advisor fees (if the Loan is a specially serviced loan or in connection with a workout), work-out fees, liquidation fees, attorneys’ fees and expenses and other fees and expenses in connection with the modification or restructuring of the Loan. All amounts payable to Lender or Servicer in exercising its rights under this </w:t>
      </w:r>
      <w:r>
        <w:rPr>
          <w:rFonts w:ascii="Arial" w:cs="Arial" w:eastAsia="Arial" w:hAnsi="Arial"/>
          <w:sz w:val="17"/>
          <w:szCs w:val="17"/>
          <w:u w:val="single" w:color="auto"/>
          <w:color w:val="auto"/>
        </w:rPr>
        <w:t>Section 10.21</w:t>
      </w:r>
      <w:r>
        <w:rPr>
          <w:rFonts w:ascii="Arial" w:cs="Arial" w:eastAsia="Arial" w:hAnsi="Arial"/>
          <w:sz w:val="17"/>
          <w:szCs w:val="17"/>
          <w:color w:val="auto"/>
        </w:rPr>
        <w:t xml:space="preserve"> (including, but not limited to, disbursements, advances and reasonable legal expenses incurred in connection therewith), shall be payable upon demand, secured by this Agreement and interest thereon shall accrue at the Interest Rate (or Default Rate if an Event of Default then exists) from the date incurred.</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10.22 </w:t>
      </w:r>
      <w:r>
        <w:rPr>
          <w:rFonts w:ascii="Arial" w:cs="Arial" w:eastAsia="Arial" w:hAnsi="Arial"/>
          <w:sz w:val="18"/>
          <w:szCs w:val="18"/>
          <w:b w:val="1"/>
          <w:bCs w:val="1"/>
          <w:u w:val="single" w:color="auto"/>
          <w:color w:val="auto"/>
        </w:rPr>
        <w:t>Joint and Several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more than one Person has executed this Agreement as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the representations,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and obligations of all such Persons hereunder shall be joint and several.</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10.23 </w:t>
      </w:r>
      <w:r>
        <w:rPr>
          <w:rFonts w:ascii="Arial" w:cs="Arial" w:eastAsia="Arial" w:hAnsi="Arial"/>
          <w:sz w:val="18"/>
          <w:szCs w:val="18"/>
          <w:b w:val="1"/>
          <w:bCs w:val="1"/>
          <w:u w:val="single" w:color="auto"/>
          <w:color w:val="auto"/>
        </w:rPr>
        <w:t>Creation of Security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set forth in this Agreement, the Note, the Mortgage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Loan Documents, Lender may at any time create a security interest in all or any portion of its rights under this Agreement, the Note, the Mortgage and any other Loan Document (including the advances owing to it) in favor of any Federal Reserve Bank in accordance with Regulation A of the Board of Governors of the Federal Reserve System.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0" w:name="page411"/>
    <w:bookmarkEnd w:id="410"/>
    <w:p>
      <w:pPr>
        <w:ind w:left="660"/>
        <w:spacing w:after="0"/>
        <w:rPr>
          <w:sz w:val="20"/>
          <w:szCs w:val="20"/>
          <w:color w:val="auto"/>
        </w:rPr>
      </w:pPr>
      <w:r>
        <w:rPr>
          <w:rFonts w:ascii="Arial" w:cs="Arial" w:eastAsia="Arial" w:hAnsi="Arial"/>
          <w:sz w:val="18"/>
          <w:szCs w:val="18"/>
          <w:b w:val="1"/>
          <w:bCs w:val="1"/>
          <w:color w:val="auto"/>
        </w:rPr>
        <w:t xml:space="preserve">Section 10.24 </w:t>
      </w:r>
      <w:r>
        <w:rPr>
          <w:rFonts w:ascii="Arial" w:cs="Arial" w:eastAsia="Arial" w:hAnsi="Arial"/>
          <w:sz w:val="18"/>
          <w:szCs w:val="18"/>
          <w:b w:val="1"/>
          <w:bCs w:val="1"/>
          <w:u w:val="single" w:color="auto"/>
          <w:color w:val="auto"/>
        </w:rPr>
        <w:t>Regulatory Change; Taxes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b w:val="1"/>
          <w:bCs w:val="1"/>
          <w:color w:val="auto"/>
        </w:rPr>
        <w:t xml:space="preserve">10.24.1 </w:t>
      </w:r>
      <w:r>
        <w:rPr>
          <w:rFonts w:ascii="Arial" w:cs="Arial" w:eastAsia="Arial" w:hAnsi="Arial"/>
          <w:sz w:val="17"/>
          <w:szCs w:val="17"/>
          <w:b w:val="1"/>
          <w:bCs w:val="1"/>
          <w:u w:val="single" w:color="auto"/>
          <w:color w:val="auto"/>
        </w:rPr>
        <w:t>Increased Costs</w:t>
      </w:r>
      <w:r>
        <w:rPr>
          <w:rFonts w:ascii="Arial" w:cs="Arial" w:eastAsia="Arial" w:hAnsi="Arial"/>
          <w:sz w:val="17"/>
          <w:szCs w:val="17"/>
          <w:color w:val="auto"/>
        </w:rPr>
        <w:t>. If as a result of any Regulatory Change or compliance of Lender therewith, the basis of taxation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to Lender or any company Controlling Lender of the principal of or interest on the Loan is changed or Lender or the company Controlling Lender shall be subject to (i) any tax, duty, charge or withholding of any kind with respect to this Agreement (excluding federal taxation of the overall net income of Lender or the company Controlling Lender); or (ii) any reserve, special deposit or similar requirements relating to any extensions of credit or other assets of, or any deposits with or other liabilities, of Lender or any company Controlling Lender is imposed, modified or deemed applicable; or (iii) any other condition affecting loans to borrowers subject to LIBOR-based interest rates existing or that are imposed on Lender or any company Controlling Lender and Lender determines that, by reason thereof, the cost to Lender or any company Controlling Lender of making, maintaining or extending the Loan to Borrower is increased, or any amount receivable by Lender or any company Controlling Lender hereunder in respect of any portion of the Loan to Borrower is reduced, in each case by an amount deemed by Lender in good faith to be material (such increases in cost and reductions in amounts receivable being herein called “</w:t>
      </w:r>
      <w:r>
        <w:rPr>
          <w:rFonts w:ascii="Arial" w:cs="Arial" w:eastAsia="Arial" w:hAnsi="Arial"/>
          <w:sz w:val="17"/>
          <w:szCs w:val="17"/>
          <w:b w:val="1"/>
          <w:bCs w:val="1"/>
          <w:i w:val="1"/>
          <w:iCs w:val="1"/>
          <w:color w:val="auto"/>
        </w:rPr>
        <w:t>Increased Costs</w:t>
      </w:r>
      <w:r>
        <w:rPr>
          <w:rFonts w:ascii="Arial" w:cs="Arial" w:eastAsia="Arial" w:hAnsi="Arial"/>
          <w:sz w:val="17"/>
          <w:szCs w:val="17"/>
          <w:color w:val="auto"/>
        </w:rPr>
        <w:t xml:space="preserve">”), then Lender shall provide notice thereof to Borrower and Borrower agrees to pay to Lender upon Lender’s written request such additional amount or amounts as will compensate Lender or any company Controlling Lender for such Increased Costs to the extent Lender determines that such Increased Costs are allocable to the Loan. If Lender requests compensation under this </w:t>
      </w:r>
      <w:r>
        <w:rPr>
          <w:rFonts w:ascii="Arial" w:cs="Arial" w:eastAsia="Arial" w:hAnsi="Arial"/>
          <w:sz w:val="17"/>
          <w:szCs w:val="17"/>
          <w:u w:val="single" w:color="auto"/>
          <w:color w:val="auto"/>
        </w:rPr>
        <w:t>Section 10.24.1</w:t>
      </w:r>
      <w:r>
        <w:rPr>
          <w:rFonts w:ascii="Arial" w:cs="Arial" w:eastAsia="Arial" w:hAnsi="Arial"/>
          <w:sz w:val="17"/>
          <w:szCs w:val="17"/>
          <w:color w:val="auto"/>
        </w:rPr>
        <w:t>, Lender shall, if requested by notice by Borrower to Lender, furnish to Borrower a statement setting forth the basis for requesting such compensation and the method for determining the amount thereof.</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10.24.2 </w:t>
      </w:r>
      <w:r>
        <w:rPr>
          <w:rFonts w:ascii="Arial" w:cs="Arial" w:eastAsia="Arial" w:hAnsi="Arial"/>
          <w:sz w:val="16"/>
          <w:szCs w:val="16"/>
          <w:b w:val="1"/>
          <w:bCs w:val="1"/>
          <w:u w:val="single" w:color="auto"/>
          <w:color w:val="auto"/>
        </w:rPr>
        <w:t>Special Taxes</w:t>
      </w:r>
      <w:r>
        <w:rPr>
          <w:rFonts w:ascii="Arial" w:cs="Arial" w:eastAsia="Arial" w:hAnsi="Arial"/>
          <w:sz w:val="16"/>
          <w:szCs w:val="16"/>
          <w:color w:val="auto"/>
        </w:rPr>
        <w:t>. Borrower shall make all payments hereunder free and clear of and without deduction for Special Taxes.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shall be required by law to deduct any Special Taxes from or in respect of any sum payable hereunder or under any other Loan Document to Lender, (i) the sum payable shall be increased as may be necessary so that after making all required deductions (including deductions applicable to additional sums payable under this </w:t>
      </w:r>
      <w:r>
        <w:rPr>
          <w:rFonts w:ascii="Arial" w:cs="Arial" w:eastAsia="Arial" w:hAnsi="Arial"/>
          <w:sz w:val="16"/>
          <w:szCs w:val="16"/>
          <w:u w:val="single" w:color="auto"/>
          <w:color w:val="auto"/>
        </w:rPr>
        <w:t>Section 10.24.2</w:t>
      </w:r>
      <w:r>
        <w:rPr>
          <w:rFonts w:ascii="Arial" w:cs="Arial" w:eastAsia="Arial" w:hAnsi="Arial"/>
          <w:sz w:val="16"/>
          <w:szCs w:val="16"/>
          <w:color w:val="auto"/>
        </w:rPr>
        <w:t>) Lender receives an amount equal to the sum it would have received had no such deductions been made,</w:t>
      </w:r>
    </w:p>
    <w:p>
      <w:pPr>
        <w:spacing w:after="0" w:line="2" w:lineRule="exact"/>
        <w:rPr>
          <w:sz w:val="20"/>
          <w:szCs w:val="20"/>
          <w:color w:val="auto"/>
        </w:rPr>
      </w:pPr>
    </w:p>
    <w:p>
      <w:pPr>
        <w:ind w:firstLine="8"/>
        <w:spacing w:after="0" w:line="260" w:lineRule="auto"/>
        <w:tabs>
          <w:tab w:leader="none" w:pos="26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Borrower shall make such deductions, and (iii) Borrower shall pay the full amount deducted to the relevant Governmental Authority in accordance with applicable law.</w:t>
      </w:r>
    </w:p>
    <w:p>
      <w:pPr>
        <w:spacing w:after="0" w:line="181" w:lineRule="exact"/>
        <w:rPr>
          <w:sz w:val="20"/>
          <w:szCs w:val="20"/>
          <w:color w:val="auto"/>
        </w:rPr>
      </w:pPr>
    </w:p>
    <w:p>
      <w:pPr>
        <w:jc w:val="both"/>
        <w:ind w:right="20" w:firstLine="1296"/>
        <w:spacing w:after="0" w:line="266" w:lineRule="auto"/>
        <w:rPr>
          <w:sz w:val="20"/>
          <w:szCs w:val="20"/>
          <w:color w:val="auto"/>
        </w:rPr>
      </w:pPr>
      <w:r>
        <w:rPr>
          <w:rFonts w:ascii="Arial" w:cs="Arial" w:eastAsia="Arial" w:hAnsi="Arial"/>
          <w:sz w:val="18"/>
          <w:szCs w:val="18"/>
          <w:b w:val="1"/>
          <w:bCs w:val="1"/>
          <w:color w:val="auto"/>
        </w:rPr>
        <w:t xml:space="preserve">10.24.3 </w:t>
      </w:r>
      <w:r>
        <w:rPr>
          <w:rFonts w:ascii="Arial" w:cs="Arial" w:eastAsia="Arial" w:hAnsi="Arial"/>
          <w:sz w:val="18"/>
          <w:szCs w:val="18"/>
          <w:b w:val="1"/>
          <w:bCs w:val="1"/>
          <w:u w:val="single" w:color="auto"/>
          <w:color w:val="auto"/>
        </w:rPr>
        <w:t>Other Taxes</w:t>
      </w:r>
      <w:r>
        <w:rPr>
          <w:rFonts w:ascii="Arial" w:cs="Arial" w:eastAsia="Arial" w:hAnsi="Arial"/>
          <w:sz w:val="18"/>
          <w:szCs w:val="18"/>
          <w:color w:val="auto"/>
        </w:rPr>
        <w:t>. In addition, Borrower agrees to pay any present or future stamp or documentary taxes or other excise 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taxes, charges, or similar levies which arise from any payment made hereunder, or from the execution, delivery or registration of, or otherwise with respect to, this Agreement, the other Loan Documents, or the Loan (hereinafter referred to as “</w:t>
      </w:r>
      <w:r>
        <w:rPr>
          <w:rFonts w:ascii="Arial" w:cs="Arial" w:eastAsia="Arial" w:hAnsi="Arial"/>
          <w:sz w:val="18"/>
          <w:szCs w:val="18"/>
          <w:b w:val="1"/>
          <w:bCs w:val="1"/>
          <w:i w:val="1"/>
          <w:iCs w:val="1"/>
          <w:color w:val="auto"/>
        </w:rPr>
        <w:t>Other Taxes</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10.25 </w:t>
      </w:r>
      <w:r>
        <w:rPr>
          <w:rFonts w:ascii="Arial" w:cs="Arial" w:eastAsia="Arial" w:hAnsi="Arial"/>
          <w:sz w:val="17"/>
          <w:szCs w:val="17"/>
          <w:b w:val="1"/>
          <w:bCs w:val="1"/>
          <w:u w:val="single" w:color="auto"/>
          <w:color w:val="auto"/>
        </w:rPr>
        <w:t>Assignments and Participations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any other rights of Lender hereunder, the Loan, the Note, the Loan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and/or Lender’s rights, title, obligations and interests therein may be sold, assigned, participated or otherwise transferred by Lender and any of its successors and assigns to any Person at any time in its sole and absolute discretion, in whole or in part, whether by operation of law (pursuant to a merger or other successor in interest) or otherwise without notice to or consent from Borrower or any other Person. Upon such assignment, all references to Lender in this Agreement and in any Loan Document shall be deemed to refer to such assignee or successor in interest and such assignee or successor in interest shall thereafter stand in the place of Lender in all respects. Except as expressly permitted herein, Borrower may not assign its rights, title, interests or obligations under this Agreement or under any of the Loan Documents.</w:t>
      </w: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1" w:name="page412"/>
    <w:bookmarkEnd w:id="411"/>
    <w:p>
      <w:pPr>
        <w:ind w:left="660"/>
        <w:spacing w:after="0"/>
        <w:rPr>
          <w:sz w:val="20"/>
          <w:szCs w:val="20"/>
          <w:color w:val="auto"/>
        </w:rPr>
      </w:pPr>
      <w:r>
        <w:rPr>
          <w:rFonts w:ascii="Arial" w:cs="Arial" w:eastAsia="Arial" w:hAnsi="Arial"/>
          <w:sz w:val="18"/>
          <w:szCs w:val="18"/>
          <w:b w:val="1"/>
          <w:bCs w:val="1"/>
          <w:color w:val="auto"/>
        </w:rPr>
        <w:t xml:space="preserve">Section 10.26 </w:t>
      </w:r>
      <w:r>
        <w:rPr>
          <w:rFonts w:ascii="Arial" w:cs="Arial" w:eastAsia="Arial" w:hAnsi="Arial"/>
          <w:sz w:val="18"/>
          <w:szCs w:val="18"/>
          <w:b w:val="1"/>
          <w:bCs w:val="1"/>
          <w:u w:val="single" w:color="auto"/>
          <w:color w:val="auto"/>
        </w:rPr>
        <w:t>Acknowledgement and Consent to Bail-In of EEA Financial Institutions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59" w:lineRule="auto"/>
        <w:tabs>
          <w:tab w:leader="none" w:pos="2121" w:val="left"/>
        </w:tabs>
        <w:numPr>
          <w:ilvl w:val="0"/>
          <w:numId w:val="447"/>
        </w:numPr>
        <w:rPr>
          <w:rFonts w:ascii="Arial" w:cs="Arial" w:eastAsia="Arial" w:hAnsi="Arial"/>
          <w:sz w:val="18"/>
          <w:szCs w:val="18"/>
          <w:color w:val="auto"/>
        </w:rPr>
      </w:pPr>
      <w:r>
        <w:rPr>
          <w:rFonts w:ascii="Arial" w:cs="Arial" w:eastAsia="Arial" w:hAnsi="Arial"/>
          <w:sz w:val="18"/>
          <w:szCs w:val="18"/>
          <w:color w:val="auto"/>
        </w:rPr>
        <w:t>Notwithstanding anything to the contrary in any Loan Document or in any other agreement, arrangement or understanding among the respective parties thereto,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6" w:lineRule="exact"/>
        <w:rPr>
          <w:rFonts w:ascii="Arial" w:cs="Arial" w:eastAsia="Arial" w:hAnsi="Arial"/>
          <w:sz w:val="18"/>
          <w:szCs w:val="18"/>
          <w:color w:val="auto"/>
        </w:rPr>
      </w:pPr>
    </w:p>
    <w:p>
      <w:pPr>
        <w:ind w:left="660" w:firstLine="1292"/>
        <w:spacing w:after="0" w:line="277" w:lineRule="auto"/>
        <w:tabs>
          <w:tab w:leader="none" w:pos="27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2620" w:hanging="668"/>
        <w:spacing w:after="0"/>
        <w:tabs>
          <w:tab w:leader="none" w:pos="262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44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1300" w:firstLine="1301"/>
        <w:spacing w:after="0" w:line="259" w:lineRule="auto"/>
        <w:tabs>
          <w:tab w:leader="none" w:pos="3385" w:val="left"/>
        </w:tabs>
        <w:numPr>
          <w:ilvl w:val="2"/>
          <w:numId w:val="447"/>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firstLine="1301"/>
        <w:spacing w:after="0" w:line="277" w:lineRule="auto"/>
        <w:tabs>
          <w:tab w:leader="none" w:pos="3385" w:val="left"/>
        </w:tabs>
        <w:numPr>
          <w:ilvl w:val="2"/>
          <w:numId w:val="44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2014"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As used in this </w:t>
      </w:r>
      <w:r>
        <w:rPr>
          <w:rFonts w:ascii="Arial" w:cs="Arial" w:eastAsia="Arial" w:hAnsi="Arial"/>
          <w:sz w:val="17"/>
          <w:szCs w:val="17"/>
          <w:u w:val="single" w:color="auto"/>
          <w:color w:val="auto"/>
        </w:rPr>
        <w:t>Section 10.26</w:t>
      </w:r>
      <w:r>
        <w:rPr>
          <w:rFonts w:ascii="Arial" w:cs="Arial" w:eastAsia="Arial" w:hAnsi="Arial"/>
          <w:sz w:val="17"/>
          <w:szCs w:val="17"/>
          <w:color w:val="auto"/>
        </w:rPr>
        <w:t xml:space="preserve"> the following terms have the following meanings ascribed thereto: (i) “</w:t>
      </w:r>
      <w:r>
        <w:rPr>
          <w:rFonts w:ascii="Arial" w:cs="Arial" w:eastAsia="Arial" w:hAnsi="Arial"/>
          <w:sz w:val="17"/>
          <w:szCs w:val="17"/>
          <w:b w:val="1"/>
          <w:bCs w:val="1"/>
          <w:i w:val="1"/>
          <w:iCs w:val="1"/>
          <w:color w:val="auto"/>
        </w:rPr>
        <w:t>Bail-In Action</w:t>
      </w:r>
      <w:r>
        <w:rPr>
          <w:rFonts w:ascii="Arial" w:cs="Arial" w:eastAsia="Arial" w:hAnsi="Arial"/>
          <w:sz w:val="17"/>
          <w:szCs w:val="17"/>
          <w:color w:val="auto"/>
        </w:rPr>
        <w:t>” means the exercise of any Write-Down and Conversion Powers by the applicable EEA Resolution Authority in respect of any liability of an EEA Financial Institution; (ii)“</w:t>
      </w:r>
      <w:r>
        <w:rPr>
          <w:rFonts w:ascii="Arial" w:cs="Arial" w:eastAsia="Arial" w:hAnsi="Arial"/>
          <w:sz w:val="17"/>
          <w:szCs w:val="17"/>
          <w:b w:val="1"/>
          <w:bCs w:val="1"/>
          <w:i w:val="1"/>
          <w:iCs w:val="1"/>
          <w:color w:val="auto"/>
        </w:rPr>
        <w:t>Bail-In Legislation</w:t>
      </w:r>
      <w:r>
        <w:rPr>
          <w:rFonts w:ascii="Arial" w:cs="Arial" w:eastAsia="Arial" w:hAnsi="Arial"/>
          <w:sz w:val="17"/>
          <w:szCs w:val="17"/>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(iii) “</w:t>
      </w:r>
      <w:r>
        <w:rPr>
          <w:rFonts w:ascii="Arial" w:cs="Arial" w:eastAsia="Arial" w:hAnsi="Arial"/>
          <w:sz w:val="17"/>
          <w:szCs w:val="17"/>
          <w:b w:val="1"/>
          <w:bCs w:val="1"/>
          <w:i w:val="1"/>
          <w:iCs w:val="1"/>
          <w:color w:val="auto"/>
        </w:rPr>
        <w:t>EEA Financial Institution</w:t>
      </w:r>
      <w:r>
        <w:rPr>
          <w:rFonts w:ascii="Arial" w:cs="Arial" w:eastAsia="Arial" w:hAnsi="Arial"/>
          <w:sz w:val="17"/>
          <w:szCs w:val="17"/>
          <w:color w:val="auto"/>
        </w:rPr>
        <w:t>” means (x) any credit institution or investment firm established in any EEA Member Country which is subject to the supervision of an EEA Resolution Authority; (y) any entity established in an EEA Member Country which is a parent of an institution described in clause (x) of this definition, or (x) any financial institution established in an EEA Member Country which is a subsidiary of an institution described in clauses (x) or (y) of this definition and is subject to consolidated supervision with its parent; (iv) “</w:t>
      </w:r>
      <w:r>
        <w:rPr>
          <w:rFonts w:ascii="Arial" w:cs="Arial" w:eastAsia="Arial" w:hAnsi="Arial"/>
          <w:sz w:val="17"/>
          <w:szCs w:val="17"/>
          <w:b w:val="1"/>
          <w:bCs w:val="1"/>
          <w:i w:val="1"/>
          <w:iCs w:val="1"/>
          <w:color w:val="auto"/>
        </w:rPr>
        <w:t>EEA Member Country</w:t>
      </w:r>
      <w:r>
        <w:rPr>
          <w:rFonts w:ascii="Arial" w:cs="Arial" w:eastAsia="Arial" w:hAnsi="Arial"/>
          <w:sz w:val="17"/>
          <w:szCs w:val="17"/>
          <w:color w:val="auto"/>
        </w:rPr>
        <w:t>” means any of the member states of the European Union, Iceland, Liechtenstein, and Norway or any other member state of the European Economic Area; (v) “</w:t>
      </w:r>
      <w:r>
        <w:rPr>
          <w:rFonts w:ascii="Arial" w:cs="Arial" w:eastAsia="Arial" w:hAnsi="Arial"/>
          <w:sz w:val="17"/>
          <w:szCs w:val="17"/>
          <w:b w:val="1"/>
          <w:bCs w:val="1"/>
          <w:i w:val="1"/>
          <w:iCs w:val="1"/>
          <w:color w:val="auto"/>
        </w:rPr>
        <w:t>EEA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Resolution Authority</w:t>
      </w:r>
      <w:r>
        <w:rPr>
          <w:rFonts w:ascii="Arial" w:cs="Arial" w:eastAsia="Arial" w:hAnsi="Arial"/>
          <w:sz w:val="17"/>
          <w:szCs w:val="17"/>
          <w:color w:val="auto"/>
        </w:rPr>
        <w:t>” means any public administrative authority or any person entrusted with public administrative authority of any EEA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Country (including any delegee) having responsibility for the resolution of any EEA Financial Institution; (vi) “</w:t>
      </w:r>
      <w:r>
        <w:rPr>
          <w:rFonts w:ascii="Arial" w:cs="Arial" w:eastAsia="Arial" w:hAnsi="Arial"/>
          <w:sz w:val="17"/>
          <w:szCs w:val="17"/>
          <w:b w:val="1"/>
          <w:bCs w:val="1"/>
          <w:i w:val="1"/>
          <w:iCs w:val="1"/>
          <w:color w:val="auto"/>
        </w:rPr>
        <w:t>EU Bail-In Legislation Schedule</w:t>
      </w:r>
      <w:r>
        <w:rPr>
          <w:rFonts w:ascii="Arial" w:cs="Arial" w:eastAsia="Arial" w:hAnsi="Arial"/>
          <w:sz w:val="17"/>
          <w:szCs w:val="17"/>
          <w:color w:val="auto"/>
        </w:rPr>
        <w:t>” means the EU Bail-In Legislation Schedule published by the Loan Market Association (or any successor person), as in effect from time to time; and (vii) “</w:t>
      </w:r>
      <w:r>
        <w:rPr>
          <w:rFonts w:ascii="Arial" w:cs="Arial" w:eastAsia="Arial" w:hAnsi="Arial"/>
          <w:sz w:val="17"/>
          <w:szCs w:val="17"/>
          <w:b w:val="1"/>
          <w:bCs w:val="1"/>
          <w:i w:val="1"/>
          <w:iCs w:val="1"/>
          <w:color w:val="auto"/>
        </w:rPr>
        <w:t>Write-Down and Conversion Powers</w:t>
      </w:r>
      <w:r>
        <w:rPr>
          <w:rFonts w:ascii="Arial" w:cs="Arial" w:eastAsia="Arial" w:hAnsi="Arial"/>
          <w:sz w:val="17"/>
          <w:szCs w:val="17"/>
          <w:color w:val="auto"/>
        </w:rPr>
        <w:t>” means, with respect to any EEA Resolution Authority, the write-down and conversion powers of such EEA Resolution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2" w:name="page413"/>
    <w:bookmarkEnd w:id="41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10.27 </w:t>
      </w:r>
      <w:r>
        <w:rPr>
          <w:rFonts w:ascii="Arial" w:cs="Arial" w:eastAsia="Arial" w:hAnsi="Arial"/>
          <w:sz w:val="18"/>
          <w:szCs w:val="18"/>
          <w:b w:val="1"/>
          <w:bCs w:val="1"/>
          <w:u w:val="single" w:color="auto"/>
          <w:color w:val="auto"/>
        </w:rPr>
        <w:t>Appraisals</w:t>
      </w:r>
      <w:r>
        <w:rPr>
          <w:rFonts w:ascii="Arial" w:cs="Arial" w:eastAsia="Arial" w:hAnsi="Arial"/>
          <w:sz w:val="18"/>
          <w:szCs w:val="18"/>
          <w:color w:val="auto"/>
        </w:rPr>
        <w:t>. Lender may, at its option, commission one or more new and/or updated appraisals from time to time after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Borrower shall only be required to reimburse Lender for such new and/or updated appraisal if (A) an Event of Default is continuing or (B) such appraisal is required by applicable law or regulatory requirements.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10.28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an original, but all of which shall together constitute one and the same instrument.</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10.29 </w:t>
      </w:r>
      <w:r>
        <w:rPr>
          <w:rFonts w:ascii="Arial" w:cs="Arial" w:eastAsia="Arial" w:hAnsi="Arial"/>
          <w:sz w:val="18"/>
          <w:szCs w:val="18"/>
          <w:b w:val="1"/>
          <w:bCs w:val="1"/>
          <w:u w:val="single" w:color="auto"/>
          <w:color w:val="auto"/>
        </w:rPr>
        <w:t>Set-Off</w:t>
      </w:r>
      <w:r>
        <w:rPr>
          <w:rFonts w:ascii="Arial" w:cs="Arial" w:eastAsia="Arial" w:hAnsi="Arial"/>
          <w:sz w:val="18"/>
          <w:szCs w:val="18"/>
          <w:b w:val="1"/>
          <w:bCs w:val="1"/>
          <w:color w:val="auto"/>
        </w:rPr>
        <w:t>. In addition to any rights and remedies of Lender provided by this Agreement and by law, Lender shall have the right in its sole discretion, without prior notice to Borrower, any such notice being expressly waived by Borrower to the extent permitted by applicable law, upon any amount becoming due and payable by Borrower hereunder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Lender or any Affiliate thereof to or for the credit or the account of Borrower; provided however, Lender may only exercise such right during the continuance of an Event of Default. Lender agrees promptly to notify Borrower after any such set-off and application made by Lender; provided that the failure to give such notice shall not affect the validity of such set-off and application.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w:t>
      </w:r>
      <w:r>
        <w:rPr>
          <w:rFonts w:ascii="Arial" w:cs="Arial" w:eastAsia="Arial" w:hAnsi="Arial"/>
          <w:sz w:val="14"/>
          <w:szCs w:val="14"/>
          <w:b w:val="1"/>
          <w:bCs w:val="1"/>
          <w:i w:val="1"/>
          <w:iCs w:val="1"/>
          <w:color w:val="auto"/>
        </w:rPr>
        <w:t>O</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w:t>
      </w:r>
      <w:r>
        <w:rPr>
          <w:rFonts w:ascii="Arial" w:cs="Arial" w:eastAsia="Arial" w:hAnsi="Arial"/>
          <w:sz w:val="14"/>
          <w:szCs w:val="14"/>
          <w:b w:val="1"/>
          <w:bCs w:val="1"/>
          <w:i w:val="1"/>
          <w:i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w:t>
      </w:r>
      <w:r>
        <w:rPr>
          <w:rFonts w:ascii="Arial" w:cs="Arial" w:eastAsia="Arial" w:hAnsi="Arial"/>
          <w:sz w:val="14"/>
          <w:szCs w:val="14"/>
          <w:b w:val="1"/>
          <w:bCs w:val="1"/>
          <w:i w:val="1"/>
          <w:iCs w:val="1"/>
          <w:color w:val="auto"/>
        </w:rPr>
        <w:t>EXT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w:t>
      </w:r>
      <w:r>
        <w:rPr>
          <w:rFonts w:ascii="Arial" w:cs="Arial" w:eastAsia="Arial" w:hAnsi="Arial"/>
          <w:sz w:val="14"/>
          <w:szCs w:val="14"/>
          <w:b w:val="1"/>
          <w:bCs w:val="1"/>
          <w:i w:val="1"/>
          <w:iCs w:val="1"/>
          <w:color w:val="auto"/>
        </w:rPr>
        <w:t>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w:t>
      </w:r>
      <w:r>
        <w:rPr>
          <w:rFonts w:ascii="Arial" w:cs="Arial" w:eastAsia="Arial" w:hAnsi="Arial"/>
          <w:sz w:val="14"/>
          <w:szCs w:val="14"/>
          <w:b w:val="1"/>
          <w:bCs w:val="1"/>
          <w:i w:val="1"/>
          <w:iCs w:val="1"/>
          <w:color w:val="auto"/>
        </w:rPr>
        <w:t>HIS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w:t>
      </w:r>
      <w:r>
        <w:rPr>
          <w:rFonts w:ascii="Arial" w:cs="Arial" w:eastAsia="Arial" w:hAnsi="Arial"/>
          <w:sz w:val="14"/>
          <w:szCs w:val="14"/>
          <w:b w:val="1"/>
          <w:bCs w:val="1"/>
          <w:i w:val="1"/>
          <w:iCs w:val="1"/>
          <w:color w:val="auto"/>
        </w:rPr>
        <w:t>AGE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3" w:name="page414"/>
    <w:bookmarkEnd w:id="413"/>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duly executed by their duly authorized representatives, all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day and year first above written.</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DBR INVESTMENTS CO. LIMITED, </w:t>
      </w:r>
      <w:r>
        <w:rPr>
          <w:rFonts w:ascii="Arial" w:cs="Arial" w:eastAsia="Arial" w:hAnsi="Arial"/>
          <w:sz w:val="18"/>
          <w:szCs w:val="18"/>
          <w:color w:val="auto"/>
        </w:rPr>
        <w:t>a Cayman Islands corporation</w:t>
      </w: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1543050" cy="454025"/>
            <wp:effectExtent l="0" t="0" r="0" b="0"/>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543050" cy="4540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10160</wp:posOffset>
            </wp:positionV>
            <wp:extent cx="335153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PAUL K RICHARDSON</w:t>
      </w:r>
    </w:p>
    <w:p>
      <w:pPr>
        <w:spacing w:after="0" w:line="9"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1971675" cy="814070"/>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971675" cy="8140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10160</wp:posOffset>
            </wp:positionV>
            <wp:extent cx="335153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Murray Mackinnon</w:t>
      </w:r>
    </w:p>
    <w:p>
      <w:pPr>
        <w:spacing w:after="0" w:line="9"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 CONTINUE ON THE FOLLOWING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Loan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414" w:name="page415"/>
    <w:bookmarkEnd w:id="414"/>
    <w:p>
      <w:pPr>
        <w:ind w:left="564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NOVONIX 1029, LLC, </w:t>
      </w:r>
      <w:r>
        <w:rPr>
          <w:rFonts w:ascii="Arial" w:cs="Arial" w:eastAsia="Arial" w:hAnsi="Arial"/>
          <w:sz w:val="18"/>
          <w:szCs w:val="18"/>
          <w:color w:val="auto"/>
        </w:rPr>
        <w:t>a Delaware limited</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liability company</w:t>
      </w:r>
    </w:p>
    <w:p>
      <w:pPr>
        <w:spacing w:after="0" w:line="225"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2314575" cy="488315"/>
            <wp:effectExtent l="0" t="0" r="0" b="0"/>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314575" cy="4883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10160</wp:posOffset>
            </wp:positionV>
            <wp:extent cx="335153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Name: Chris Bums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Loan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415" w:name="page416"/>
    <w:bookmarkEnd w:id="415"/>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ectPr>
          <w:pgSz w:w="11900" w:h="16838" w:orient="portrait"/>
          <w:cols w:equalWidth="0" w:num="1">
            <w:col w:w="9019"/>
          </w:cols>
          <w:pgMar w:left="1440" w:top="337"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RENT ROLL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16" w:name="page417"/>
    <w:bookmarkEnd w:id="416"/>
    <w:p>
      <w:pPr>
        <w:jc w:val="center"/>
        <w:spacing w:after="0"/>
        <w:rPr>
          <w:sz w:val="20"/>
          <w:szCs w:val="20"/>
          <w:color w:val="auto"/>
        </w:rPr>
      </w:pPr>
      <w:r>
        <w:rPr>
          <w:rFonts w:ascii="Arial" w:cs="Arial" w:eastAsia="Arial" w:hAnsi="Arial"/>
          <w:sz w:val="18"/>
          <w:szCs w:val="18"/>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RENT ROLL</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06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Tenant Name</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Monthly</w:t>
            </w:r>
          </w:p>
        </w:tc>
        <w:tc>
          <w:tcPr>
            <w:tcW w:w="13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Square Feet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Rent Per</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Lease</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Lease</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Deposits</w:t>
            </w:r>
          </w:p>
        </w:tc>
      </w:tr>
      <w:tr>
        <w:trPr>
          <w:trHeight w:val="216"/>
        </w:trPr>
        <w:tc>
          <w:tcPr>
            <w:tcW w:w="80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Rent</w:t>
            </w:r>
          </w:p>
        </w:tc>
        <w:tc>
          <w:tcPr>
            <w:tcW w:w="1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 Floor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Square Feet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Starting Date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Held</w:t>
            </w:r>
          </w:p>
        </w:tc>
      </w:tr>
      <w:tr>
        <w:trPr>
          <w:trHeight w:val="234"/>
        </w:trPr>
        <w:tc>
          <w:tcPr>
            <w:tcW w:w="800" w:type="dxa"/>
            <w:vAlign w:val="bottom"/>
            <w:tcBorders>
              <w:lef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area</w:t>
            </w:r>
          </w:p>
        </w:tc>
        <w:tc>
          <w:tcPr>
            <w:tcW w:w="136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tcBorders>
              <w:right w:val="single" w:sz="8" w:color="auto"/>
            </w:tcBorders>
          </w:tcPr>
          <w:p>
            <w:pPr>
              <w:spacing w:after="0"/>
              <w:rPr>
                <w:sz w:val="20"/>
                <w:szCs w:val="20"/>
                <w:color w:val="auto"/>
              </w:rPr>
            </w:pP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195"/>
        </w:trPr>
        <w:tc>
          <w:tcPr>
            <w:tcW w:w="2060" w:type="dxa"/>
            <w:vAlign w:val="bottom"/>
            <w:tcBorders>
              <w:left w:val="single" w:sz="8" w:color="auto"/>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PUREGraphite,</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$227,250</w:t>
            </w:r>
          </w:p>
        </w:tc>
        <w:tc>
          <w:tcPr>
            <w:tcW w:w="136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404,797</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0.56/mth</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July [28],</w:t>
            </w:r>
          </w:p>
        </w:tc>
        <w:tc>
          <w:tcPr>
            <w:tcW w:w="13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August 6,</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$0.00</w:t>
            </w:r>
          </w:p>
        </w:tc>
      </w:tr>
      <w:tr>
        <w:trPr>
          <w:trHeight w:val="230"/>
        </w:trPr>
        <w:tc>
          <w:tcPr>
            <w:tcW w:w="800" w:type="dxa"/>
            <w:vAlign w:val="bottom"/>
            <w:tcBorders>
              <w:left w:val="single" w:sz="8" w:color="auto"/>
            </w:tcBorders>
          </w:tcPr>
          <w:p>
            <w:pPr>
              <w:spacing w:after="0"/>
              <w:rPr>
                <w:sz w:val="20"/>
                <w:szCs w:val="20"/>
                <w:color w:val="auto"/>
              </w:rPr>
            </w:pPr>
          </w:p>
        </w:tc>
        <w:tc>
          <w:tcPr>
            <w:tcW w:w="1260" w:type="dxa"/>
            <w:vAlign w:val="bottom"/>
            <w:tcBorders>
              <w:right w:val="single" w:sz="8" w:color="auto"/>
            </w:tcBorders>
          </w:tcPr>
          <w:p>
            <w:pPr>
              <w:jc w:val="center"/>
              <w:ind w:right="710"/>
              <w:spacing w:after="0"/>
              <w:rPr>
                <w:sz w:val="20"/>
                <w:szCs w:val="20"/>
                <w:color w:val="auto"/>
              </w:rPr>
            </w:pPr>
            <w:r>
              <w:rPr>
                <w:rFonts w:ascii="Arial" w:cs="Arial" w:eastAsia="Arial" w:hAnsi="Arial"/>
                <w:sz w:val="18"/>
                <w:szCs w:val="18"/>
                <w:color w:val="auto"/>
              </w:rPr>
              <w:t>LLC</w:t>
            </w:r>
          </w:p>
        </w:tc>
        <w:tc>
          <w:tcPr>
            <w:tcW w:w="13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$6.74/yr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2036</w:t>
            </w:r>
          </w:p>
        </w:tc>
        <w:tc>
          <w:tcPr>
            <w:tcW w:w="1340" w:type="dxa"/>
            <w:vAlign w:val="bottom"/>
            <w:tcBorders>
              <w:right w:val="single" w:sz="8" w:color="auto"/>
            </w:tcBorders>
          </w:tcPr>
          <w:p>
            <w:pPr>
              <w:spacing w:after="0"/>
              <w:rPr>
                <w:sz w:val="20"/>
                <w:szCs w:val="20"/>
                <w:color w:val="auto"/>
              </w:rPr>
            </w:pP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412"/>
        </w:trPr>
        <w:tc>
          <w:tcPr>
            <w:tcW w:w="2060" w:type="dxa"/>
            <w:vAlign w:val="bottom"/>
            <w:gridSpan w:val="2"/>
          </w:tcPr>
          <w:p>
            <w:pPr>
              <w:spacing w:after="0"/>
              <w:rPr>
                <w:sz w:val="20"/>
                <w:szCs w:val="20"/>
                <w:color w:val="auto"/>
              </w:rPr>
            </w:pPr>
            <w:r>
              <w:rPr>
                <w:rFonts w:ascii="Arial" w:cs="Arial" w:eastAsia="Arial" w:hAnsi="Arial"/>
                <w:sz w:val="18"/>
                <w:szCs w:val="18"/>
                <w:color w:val="auto"/>
              </w:rPr>
              <w:t>Exceptions</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3"/>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912"/>
        </w:trPr>
        <w:tc>
          <w:tcPr>
            <w:tcW w:w="8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REQUIRED REPAIRS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Required Repair Item*</w:t>
            </w:r>
          </w:p>
        </w:tc>
        <w:tc>
          <w:tcPr>
            <w:tcW w:w="4240" w:type="dxa"/>
            <w:vAlign w:val="bottom"/>
            <w:tcBorders>
              <w:top w:val="single" w:sz="8" w:color="auto"/>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0"/>
              </w:rPr>
              <w:t>Deadline</w:t>
            </w:r>
          </w:p>
        </w:tc>
        <w:tc>
          <w:tcPr>
            <w:tcW w:w="2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Cost Estimate</w:t>
            </w:r>
          </w:p>
        </w:tc>
        <w:tc>
          <w:tcPr>
            <w:tcW w:w="20" w:type="dxa"/>
            <w:vAlign w:val="bottom"/>
          </w:tcPr>
          <w:p>
            <w:pPr>
              <w:spacing w:after="0"/>
              <w:rPr>
                <w:sz w:val="19"/>
                <w:szCs w:val="19"/>
                <w:color w:val="auto"/>
              </w:rPr>
            </w:pPr>
          </w:p>
        </w:tc>
      </w:tr>
      <w:tr>
        <w:trPr>
          <w:trHeight w:val="223"/>
        </w:trPr>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Repair roof leaks</w:t>
            </w:r>
          </w:p>
        </w:tc>
        <w:tc>
          <w:tcPr>
            <w:tcW w:w="42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2"/>
              </w:rPr>
              <w:t>Ninety (90) Days from the Closing Date</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Borders>
              <w:bottom w:val="single" w:sz="8" w:color="auto"/>
            </w:tcBorders>
          </w:tcPr>
          <w:p>
            <w:pPr>
              <w:spacing w:after="0"/>
              <w:rPr>
                <w:sz w:val="19"/>
                <w:szCs w:val="19"/>
                <w:color w:val="auto"/>
              </w:rPr>
            </w:pPr>
          </w:p>
        </w:tc>
      </w:tr>
      <w:tr>
        <w:trPr>
          <w:trHeight w:val="209"/>
        </w:trPr>
        <w:tc>
          <w:tcPr>
            <w:tcW w:w="4920" w:type="dxa"/>
            <w:vAlign w:val="bottom"/>
            <w:gridSpan w:val="2"/>
          </w:tcPr>
          <w:p>
            <w:pPr>
              <w:ind w:left="100"/>
              <w:spacing w:after="0"/>
              <w:rPr>
                <w:sz w:val="20"/>
                <w:szCs w:val="20"/>
                <w:color w:val="auto"/>
              </w:rPr>
            </w:pPr>
            <w:r>
              <w:rPr>
                <w:rFonts w:ascii="Arial" w:cs="Arial" w:eastAsia="Arial" w:hAnsi="Arial"/>
                <w:sz w:val="18"/>
                <w:szCs w:val="18"/>
                <w:color w:val="auto"/>
              </w:rPr>
              <w:t>Replace rubber roof expansion joint</w:t>
            </w:r>
          </w:p>
        </w:tc>
        <w:tc>
          <w:tcPr>
            <w:tcW w:w="4240" w:type="dxa"/>
            <w:vAlign w:val="bottom"/>
          </w:tcPr>
          <w:p>
            <w:pPr>
              <w:jc w:val="center"/>
              <w:ind w:right="370"/>
              <w:spacing w:after="0"/>
              <w:rPr>
                <w:sz w:val="20"/>
                <w:szCs w:val="20"/>
                <w:color w:val="auto"/>
              </w:rPr>
            </w:pPr>
            <w:r>
              <w:rPr>
                <w:rFonts w:ascii="Arial" w:cs="Arial" w:eastAsia="Arial" w:hAnsi="Arial"/>
                <w:sz w:val="18"/>
                <w:szCs w:val="18"/>
                <w:color w:val="auto"/>
                <w:w w:val="92"/>
              </w:rPr>
              <w:t>Ninety (90) Days from the Closing Date</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$5,100</w:t>
            </w:r>
          </w:p>
        </w:tc>
      </w:tr>
      <w:tr>
        <w:trPr>
          <w:trHeight w:val="195"/>
        </w:trPr>
        <w:tc>
          <w:tcPr>
            <w:tcW w:w="10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Address fire</w:t>
            </w:r>
          </w:p>
        </w:tc>
        <w:tc>
          <w:tcPr>
            <w:tcW w:w="38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sprinkler system requirements and non-</w:t>
            </w:r>
          </w:p>
        </w:tc>
        <w:tc>
          <w:tcPr>
            <w:tcW w:w="42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1040" w:type="dxa"/>
            <w:vAlign w:val="bottom"/>
          </w:tcPr>
          <w:p>
            <w:pPr>
              <w:ind w:left="100"/>
              <w:spacing w:after="0"/>
              <w:rPr>
                <w:sz w:val="20"/>
                <w:szCs w:val="20"/>
                <w:color w:val="auto"/>
              </w:rPr>
            </w:pPr>
            <w:r>
              <w:rPr>
                <w:rFonts w:ascii="Arial" w:cs="Arial" w:eastAsia="Arial" w:hAnsi="Arial"/>
                <w:sz w:val="18"/>
                <w:szCs w:val="18"/>
                <w:color w:val="auto"/>
              </w:rPr>
              <w:t>compliance</w:t>
            </w:r>
          </w:p>
        </w:tc>
        <w:tc>
          <w:tcPr>
            <w:tcW w:w="3880" w:type="dxa"/>
            <w:vAlign w:val="bottom"/>
          </w:tcPr>
          <w:p>
            <w:pPr>
              <w:ind w:left="20"/>
              <w:spacing w:after="0"/>
              <w:rPr>
                <w:sz w:val="20"/>
                <w:szCs w:val="20"/>
                <w:color w:val="auto"/>
              </w:rPr>
            </w:pPr>
            <w:r>
              <w:rPr>
                <w:rFonts w:ascii="Arial" w:cs="Arial" w:eastAsia="Arial" w:hAnsi="Arial"/>
                <w:sz w:val="18"/>
                <w:szCs w:val="18"/>
                <w:color w:val="auto"/>
              </w:rPr>
              <w:t>/  out-of-service issues</w:t>
            </w:r>
          </w:p>
        </w:tc>
        <w:tc>
          <w:tcPr>
            <w:tcW w:w="4240" w:type="dxa"/>
            <w:vAlign w:val="bottom"/>
          </w:tcPr>
          <w:p>
            <w:pPr>
              <w:jc w:val="center"/>
              <w:ind w:right="370"/>
              <w:spacing w:after="0"/>
              <w:rPr>
                <w:sz w:val="20"/>
                <w:szCs w:val="20"/>
                <w:color w:val="auto"/>
              </w:rPr>
            </w:pPr>
            <w:r>
              <w:rPr>
                <w:rFonts w:ascii="Arial" w:cs="Arial" w:eastAsia="Arial" w:hAnsi="Arial"/>
                <w:sz w:val="18"/>
                <w:szCs w:val="18"/>
                <w:color w:val="auto"/>
                <w:w w:val="92"/>
              </w:rPr>
              <w:t>Ninety (90) Days from the Closing Date</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r>
      <w:tr>
        <w:trPr>
          <w:trHeight w:val="195"/>
        </w:trPr>
        <w:tc>
          <w:tcPr>
            <w:tcW w:w="492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Address trouble message and issues with FACP non-</w:t>
            </w:r>
          </w:p>
        </w:tc>
        <w:tc>
          <w:tcPr>
            <w:tcW w:w="42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compliance inspection tag</w:t>
            </w:r>
          </w:p>
        </w:tc>
        <w:tc>
          <w:tcPr>
            <w:tcW w:w="42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2"/>
              </w:rPr>
              <w:t>Ninety (90) Days from the Closing Date</w:t>
            </w:r>
          </w:p>
        </w:tc>
        <w:tc>
          <w:tcPr>
            <w:tcW w:w="2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$7,500</w:t>
            </w:r>
          </w:p>
        </w:tc>
      </w:tr>
      <w:tr>
        <w:trPr>
          <w:trHeight w:val="217"/>
        </w:trPr>
        <w:tc>
          <w:tcPr>
            <w:tcW w:w="10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Total:</w:t>
            </w:r>
          </w:p>
        </w:tc>
        <w:tc>
          <w:tcPr>
            <w:tcW w:w="4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$23,100</w:t>
            </w:r>
          </w:p>
        </w:tc>
        <w:tc>
          <w:tcPr>
            <w:tcW w:w="2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left="5280" w:right="5320" w:hanging="5254"/>
        <w:spacing w:after="0" w:line="888" w:lineRule="auto"/>
        <w:tabs>
          <w:tab w:leader="none" w:pos="159" w:val="left"/>
        </w:tabs>
        <w:numPr>
          <w:ilvl w:val="0"/>
          <w:numId w:val="448"/>
        </w:numPr>
        <w:rPr>
          <w:rFonts w:ascii="Arial" w:cs="Arial" w:eastAsia="Arial" w:hAnsi="Arial"/>
          <w:sz w:val="16"/>
          <w:szCs w:val="16"/>
          <w:color w:val="auto"/>
        </w:rPr>
      </w:pPr>
      <w:r>
        <w:rPr>
          <w:rFonts w:ascii="Arial" w:cs="Arial" w:eastAsia="Arial" w:hAnsi="Arial"/>
          <w:sz w:val="16"/>
          <w:szCs w:val="16"/>
          <w:color w:val="auto"/>
        </w:rPr>
        <w:t>- In each case, as more particularly described in the Property Condition Report Sch.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ORGANIZATIONAL CHART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19" w:name="page420"/>
    <w:bookmarkEnd w:id="4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4057650</wp:posOffset>
            </wp:positionV>
            <wp:extent cx="7132320" cy="171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756920</wp:posOffset>
            </wp:positionH>
            <wp:positionV relativeFrom="page">
              <wp:posOffset>226060</wp:posOffset>
            </wp:positionV>
            <wp:extent cx="6000750" cy="33604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3360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0" w:name="page421"/>
    <w:bookmarkEnd w:id="420"/>
    <w:p>
      <w:pPr>
        <w:ind w:left="5160"/>
        <w:spacing w:after="0"/>
        <w:rPr>
          <w:sz w:val="20"/>
          <w:szCs w:val="20"/>
          <w:color w:val="auto"/>
        </w:rPr>
      </w:pPr>
      <w:r>
        <w:rPr>
          <w:rFonts w:ascii="Arial" w:cs="Arial" w:eastAsia="Arial" w:hAnsi="Arial"/>
          <w:sz w:val="18"/>
          <w:szCs w:val="18"/>
          <w:b w:val="1"/>
          <w:bCs w:val="1"/>
          <w:u w:val="single" w:color="auto"/>
          <w:color w:val="auto"/>
        </w:rPr>
        <w:t>SCHEDULE IV</w:t>
      </w:r>
    </w:p>
    <w:p>
      <w:pPr>
        <w:spacing w:after="0" w:line="225" w:lineRule="exact"/>
        <w:rPr>
          <w:sz w:val="20"/>
          <w:szCs w:val="20"/>
          <w:color w:val="auto"/>
        </w:rPr>
      </w:pPr>
    </w:p>
    <w:p>
      <w:pPr>
        <w:jc w:val="right"/>
        <w:ind w:right="2039"/>
        <w:spacing w:after="0"/>
        <w:rPr>
          <w:sz w:val="20"/>
          <w:szCs w:val="20"/>
          <w:color w:val="auto"/>
        </w:rPr>
      </w:pPr>
      <w:r>
        <w:rPr>
          <w:rFonts w:ascii="Arial" w:cs="Arial" w:eastAsia="Arial" w:hAnsi="Arial"/>
          <w:sz w:val="18"/>
          <w:szCs w:val="18"/>
          <w:b w:val="1"/>
          <w:bCs w:val="1"/>
          <w:u w:val="single" w:color="auto"/>
          <w:color w:val="auto"/>
        </w:rPr>
        <w:t>EXCEPTIONS TO REPRESENTATIONS AND WARRANTIES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Sch.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421" w:name="page422"/>
    <w:bookmarkEnd w:id="421"/>
    <w:p>
      <w:pPr>
        <w:jc w:val="center"/>
        <w:spacing w:after="0"/>
        <w:rPr>
          <w:sz w:val="20"/>
          <w:szCs w:val="20"/>
          <w:color w:val="auto"/>
        </w:rPr>
      </w:pPr>
      <w:r>
        <w:rPr>
          <w:rFonts w:ascii="Arial" w:cs="Arial" w:eastAsia="Arial" w:hAnsi="Arial"/>
          <w:sz w:val="18"/>
          <w:szCs w:val="18"/>
          <w:b w:val="1"/>
          <w:bCs w:val="1"/>
          <w:u w:val="single" w:color="auto"/>
          <w:color w:val="auto"/>
        </w:rPr>
        <w:t>SCHEDULE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 OF SPECIAL PURPOSE BANKRUPTCY REMOTE ENTITY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Borrower hereby represents and warrants to, and covenants with, Lender that since the date of its formation and at all times on and after the date hereof and until such time as the Obligations shall be paid and performed in full:</w:t>
      </w:r>
    </w:p>
    <w:p>
      <w:pPr>
        <w:spacing w:after="0" w:line="170" w:lineRule="exact"/>
        <w:rPr>
          <w:sz w:val="20"/>
          <w:szCs w:val="20"/>
          <w:color w:val="auto"/>
        </w:rPr>
      </w:pPr>
    </w:p>
    <w:p>
      <w:pPr>
        <w:jc w:val="both"/>
        <w:ind w:firstLine="1304"/>
        <w:spacing w:after="0" w:line="290" w:lineRule="auto"/>
        <w:tabs>
          <w:tab w:leader="none" w:pos="190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 xml:space="preserve">Borrower (i) has been, is, and will be organized solely for the purpose of acquiring, developing, owning, holding, selling, leasing, transferring, exchanging, managing and operating the Property, entering into this Agreement with the Lender, refinancing the Property in connection with a permitted repayment of the Loan, and transacting lawful business that is incident, necessary and appropriate to accomplish the foregoing, (ii) has not owned, does not own, and will not own any asset or property other than (A) the Property, and (B) incidental personal property necessary for the ownership or operation of the Property and (iii) has been, is, and will be organized for the purpose of investing the equity capital that was contributed to Borrower by the Sole Member of Borrower in compliance with the provisions of this </w:t>
      </w:r>
      <w:r>
        <w:rPr>
          <w:rFonts w:ascii="Arial" w:cs="Arial" w:eastAsia="Arial" w:hAnsi="Arial"/>
          <w:sz w:val="16"/>
          <w:szCs w:val="16"/>
          <w:b w:val="1"/>
          <w:bCs w:val="1"/>
          <w:u w:val="single" w:color="auto"/>
          <w:color w:val="auto"/>
        </w:rPr>
        <w:t>Schedule V</w:t>
      </w:r>
      <w:r>
        <w:rPr>
          <w:rFonts w:ascii="Arial" w:cs="Arial" w:eastAsia="Arial" w:hAnsi="Arial"/>
          <w:sz w:val="16"/>
          <w:szCs w:val="16"/>
          <w:color w:val="auto"/>
        </w:rPr>
        <w:t xml:space="preserve">. No equity capital was raised by Borrower. For the avoidance of doubt, there has been no direct or indirect commercial activity by the Borrower or a person or entity acting on its behalf to procure the transfer or commitment of capital by the Sole Member of the Borrower for the purpose of investing it in accordance with the provisions of this </w:t>
      </w:r>
      <w:r>
        <w:rPr>
          <w:rFonts w:ascii="Arial" w:cs="Arial" w:eastAsia="Arial" w:hAnsi="Arial"/>
          <w:sz w:val="16"/>
          <w:szCs w:val="16"/>
          <w:b w:val="1"/>
          <w:bCs w:val="1"/>
          <w:u w:val="single" w:color="auto"/>
          <w:color w:val="auto"/>
        </w:rPr>
        <w:t>Schedule V</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right="20" w:firstLine="1304"/>
        <w:spacing w:after="0" w:line="277" w:lineRule="auto"/>
        <w:tabs>
          <w:tab w:leader="none" w:pos="205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Borrower has not engaged and will not engage in any business other than the ownership, management and operation of the Property and Borrower will conduct and operate its business as presently conducted and operated.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7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Borrower has not and will not enter into any contract or agreement with any Affiliate of Borrower, except upon terms and conditions that are intrinsically fair, commercially reasonable, and no less favorable to it than would be available on an arms-length basis with third parties other than any such party.</w:t>
      </w:r>
    </w:p>
    <w:p>
      <w:pPr>
        <w:spacing w:after="0" w:line="183" w:lineRule="exact"/>
        <w:rPr>
          <w:rFonts w:ascii="Arial" w:cs="Arial" w:eastAsia="Arial" w:hAnsi="Arial"/>
          <w:sz w:val="18"/>
          <w:szCs w:val="18"/>
          <w:color w:val="auto"/>
        </w:rPr>
      </w:pPr>
    </w:p>
    <w:p>
      <w:pPr>
        <w:ind w:left="1920" w:hanging="616"/>
        <w:spacing w:after="0"/>
        <w:tabs>
          <w:tab w:leader="none" w:pos="19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Borrower has not incurred and will not incur any Indebtedness other than Permitted Indebtedness.</w:t>
      </w:r>
    </w:p>
    <w:p>
      <w:pPr>
        <w:spacing w:after="0" w:line="225" w:lineRule="exact"/>
        <w:rPr>
          <w:rFonts w:ascii="Arial" w:cs="Arial" w:eastAsia="Arial" w:hAnsi="Arial"/>
          <w:sz w:val="18"/>
          <w:szCs w:val="18"/>
          <w:color w:val="auto"/>
        </w:rPr>
      </w:pPr>
    </w:p>
    <w:p>
      <w:pPr>
        <w:ind w:firstLine="1304"/>
        <w:spacing w:after="0" w:line="277" w:lineRule="auto"/>
        <w:tabs>
          <w:tab w:leader="none" w:pos="1927" w:val="left"/>
        </w:tabs>
        <w:numPr>
          <w:ilvl w:val="0"/>
          <w:numId w:val="449"/>
        </w:numPr>
        <w:rPr>
          <w:rFonts w:ascii="Arial" w:cs="Arial" w:eastAsia="Arial" w:hAnsi="Arial"/>
          <w:sz w:val="18"/>
          <w:szCs w:val="18"/>
          <w:color w:val="auto"/>
        </w:rPr>
      </w:pPr>
      <w:r>
        <w:rPr>
          <w:rFonts w:ascii="Arial" w:cs="Arial" w:eastAsia="Arial" w:hAnsi="Arial"/>
          <w:sz w:val="18"/>
          <w:szCs w:val="18"/>
          <w:color w:val="auto"/>
        </w:rPr>
        <w:t>Borrower has not made and will not make any loans or advances to any third party (including any Affiliate or constituent party), and has not and shall not acquire obligations or securities of its Affiliates.</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2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Borrower has been, is, and intends to remain solvent and Borrower has paid and intends to pay its debts and liabilities (including, as applicable, shared personnel and overhead expenses) from its assets; provided that the foregoing shall not require any direct or indirect member, partner or shareholder of Borrower to make any additional capital contributions to Borrower.</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Borrower has done or caused to be done, and will do, all things necessary to observe organizational formalities and preserve its</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existence, and Borrower has not and will not (i) terminate or fail to comply with the provisions of its organizational documents, or (ii) unless (A) Lender has consented and (B) following a Securitization of the Loan, the applicable Rating Agencies have issued a Rating Agency Confirmation, amend, modify or otherwise change its operating agreement or other organizational documents, provided that Borrower may make ministerial amendments to its organizational documents solely to the extent that such amendments (x) are not related to Borrower’s status as a Special Purpose Bankruptcy Remote Entity and do not cause Borrower to breach Section 4.4 hereof, (y) could not reasonably be anticipated to result in a material adverse effect on (A) the Property or any material portion thereof, (B) the business, profits, operations or financial condition of Borrower or the Guarantor, (C) the enforceability, validity, perfection or priority of the lien of the Mortgage or the other Loan Documents, or (D) the ability of Borrower and/or Guarantor to perform their respective obligations under the Mortgage or the other Loan Documents, and (z) do not otherwise breach any other term or covenant contained in the Loan Documents.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2" w:name="page423"/>
    <w:bookmarkEnd w:id="422"/>
    <w:p>
      <w:pPr>
        <w:jc w:val="both"/>
        <w:ind w:firstLine="1304"/>
        <w:spacing w:after="0" w:line="270" w:lineRule="auto"/>
        <w:tabs>
          <w:tab w:leader="none" w:pos="1964" w:val="left"/>
        </w:tabs>
        <w:numPr>
          <w:ilvl w:val="0"/>
          <w:numId w:val="450"/>
        </w:numPr>
        <w:rPr>
          <w:rFonts w:ascii="Arial" w:cs="Arial" w:eastAsia="Arial" w:hAnsi="Arial"/>
          <w:sz w:val="17"/>
          <w:szCs w:val="17"/>
          <w:color w:val="auto"/>
        </w:rPr>
      </w:pPr>
      <w:r>
        <w:rPr>
          <w:rFonts w:ascii="Arial" w:cs="Arial" w:eastAsia="Arial" w:hAnsi="Arial"/>
          <w:sz w:val="17"/>
          <w:szCs w:val="17"/>
          <w:color w:val="auto"/>
        </w:rPr>
        <w:t>Except to the extent that Borrower is (i) required to file consolidated tax returns by law; or (ii) treated as a “disregarded entity” for tax purposes and is not required to file tax returns under applicable law, (1) Borrower has maintained and will maintain all of its books, records, financial statements and bank accounts separate from those of its Affiliates and any other Person; (2) Borrower’s assets will not be listed as assets on the financial statement of any other Person; it being understood that Borrower’s assets may be included in a consolidated financial statement of its Affiliates provided that (i) appropriate notation shall be made on such consolidated financial statements to indicate the separateness of Borrower and such Affiliates and to indicate that Borrower’s assets and credit are not available to satisfy the debts and other obligations of such Affiliates or any other Person, and (ii) such assets shall be listed on Borrower’s own separate balance sheet; and (3) Borrower will file its own tax returns (to the extent Borrower is required to file any tax returns) and will not file a consolidated federal income tax return with any other Person. Borrower has maintained and shall maintain its books, records, resolutions and agreements in accordance with this Agreement.</w:t>
      </w:r>
    </w:p>
    <w:p>
      <w:pPr>
        <w:spacing w:after="0" w:line="180" w:lineRule="exact"/>
        <w:rPr>
          <w:rFonts w:ascii="Arial" w:cs="Arial" w:eastAsia="Arial" w:hAnsi="Arial"/>
          <w:sz w:val="17"/>
          <w:szCs w:val="17"/>
          <w:color w:val="auto"/>
        </w:rPr>
      </w:pPr>
    </w:p>
    <w:p>
      <w:pPr>
        <w:jc w:val="both"/>
        <w:ind w:firstLine="1304"/>
        <w:spacing w:after="0" w:line="255" w:lineRule="auto"/>
        <w:tabs>
          <w:tab w:leader="none" w:pos="197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Borrower has been, will be, and at all times has held and will hold itself out to the public as, a legal entity separate and distinct from any other entity (including any Affiliate of Borrower or any constituent party of Borrower (recognizing that Borrower may be treated as a “disregarded entity” for tax purposes and is not required to file tax returns for tax purposes under applicable law)), shall correct any known misunderstanding regarding its status as a separate entity, shall conduct business in its own name, shall not identify itself or any of its Affiliates as a division or department or part of the other and shall, to the extent reasonably necessary for the operation of its business, maintain and utilize separate stationery, invoices and checks bearing its own name.</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2159" w:val="left"/>
        </w:tabs>
        <w:numPr>
          <w:ilvl w:val="0"/>
          <w:numId w:val="450"/>
        </w:numPr>
        <w:rPr>
          <w:rFonts w:ascii="Arial" w:cs="Arial" w:eastAsia="Arial" w:hAnsi="Arial"/>
          <w:sz w:val="18"/>
          <w:szCs w:val="18"/>
          <w:color w:val="auto"/>
        </w:rPr>
      </w:pPr>
      <w:r>
        <w:rPr>
          <w:rFonts w:ascii="Arial" w:cs="Arial" w:eastAsia="Arial" w:hAnsi="Arial"/>
          <w:sz w:val="18"/>
          <w:szCs w:val="18"/>
          <w:color w:val="auto"/>
        </w:rPr>
        <w:t>Borrower has maintained and intends to maintain adequate capital for the normal obligations reasonably foreseeable in a business of its size and character and in light of its contemplated business operations; provided that the foregoing shall not require any direct or indirect member, partner or shareholder of Borrower to make any additional capital contributions to Borrower.</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91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(x) Neither Borrower nor any constituent party of Borrower has sought or will seek or effect the liquidation, dissolution, winding up, division (whether pursuant to Section 18-217 of the Act or otherwise), consolidation or merger, in whole or in part, of Borrower and (y) Borrower has not been the product of, the subject of or otherwise involved in, in each case, any limited liability company division (whether as a plan of division pursuant to Section 18-217 of the Act or otherwise).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3" w:name="page424"/>
    <w:bookmarkEnd w:id="423"/>
    <w:p>
      <w:pPr>
        <w:ind w:firstLine="1304"/>
        <w:spacing w:after="0" w:line="277" w:lineRule="auto"/>
        <w:tabs>
          <w:tab w:leader="none" w:pos="1943" w:val="left"/>
        </w:tabs>
        <w:numPr>
          <w:ilvl w:val="0"/>
          <w:numId w:val="451"/>
        </w:numPr>
        <w:rPr>
          <w:rFonts w:ascii="Arial" w:cs="Arial" w:eastAsia="Arial" w:hAnsi="Arial"/>
          <w:sz w:val="18"/>
          <w:szCs w:val="18"/>
          <w:color w:val="auto"/>
        </w:rPr>
      </w:pPr>
      <w:r>
        <w:rPr>
          <w:rFonts w:ascii="Arial" w:cs="Arial" w:eastAsia="Arial" w:hAnsi="Arial"/>
          <w:sz w:val="18"/>
          <w:szCs w:val="18"/>
          <w:color w:val="auto"/>
        </w:rPr>
        <w:t>Borrower has not and will not commingle the funds and other assets of Borrower with those of any Affiliate or constituent party or any other Person, and has held and will hold all of its assets in its own name.</w:t>
      </w:r>
    </w:p>
    <w:p>
      <w:pPr>
        <w:spacing w:after="0" w:line="170" w:lineRule="exact"/>
        <w:rPr>
          <w:rFonts w:ascii="Arial" w:cs="Arial" w:eastAsia="Arial" w:hAnsi="Arial"/>
          <w:sz w:val="18"/>
          <w:szCs w:val="18"/>
          <w:color w:val="auto"/>
        </w:rPr>
      </w:pPr>
    </w:p>
    <w:p>
      <w:pPr>
        <w:ind w:firstLine="1304"/>
        <w:spacing w:after="0" w:line="277" w:lineRule="auto"/>
        <w:tabs>
          <w:tab w:leader="none" w:pos="1929" w:val="left"/>
        </w:tabs>
        <w:numPr>
          <w:ilvl w:val="0"/>
          <w:numId w:val="451"/>
        </w:numPr>
        <w:rPr>
          <w:rFonts w:ascii="Arial" w:cs="Arial" w:eastAsia="Arial" w:hAnsi="Arial"/>
          <w:sz w:val="18"/>
          <w:szCs w:val="18"/>
          <w:color w:val="auto"/>
        </w:rPr>
      </w:pPr>
      <w:r>
        <w:rPr>
          <w:rFonts w:ascii="Arial" w:cs="Arial" w:eastAsia="Arial" w:hAnsi="Arial"/>
          <w:sz w:val="18"/>
          <w:szCs w:val="18"/>
          <w:color w:val="auto"/>
        </w:rPr>
        <w:t>Borrower has and will maintain its assets in such a manner that it will not be costly or difficult to segregate, ascertain or identify its individual assets from those of any Affiliate or constituent party or any other Person.</w:t>
      </w:r>
    </w:p>
    <w:p>
      <w:pPr>
        <w:spacing w:after="0" w:line="170" w:lineRule="exact"/>
        <w:rPr>
          <w:rFonts w:ascii="Arial" w:cs="Arial" w:eastAsia="Arial" w:hAnsi="Arial"/>
          <w:sz w:val="18"/>
          <w:szCs w:val="18"/>
          <w:color w:val="auto"/>
        </w:rPr>
      </w:pPr>
    </w:p>
    <w:p>
      <w:pPr>
        <w:ind w:firstLine="1304"/>
        <w:spacing w:after="0" w:line="277" w:lineRule="auto"/>
        <w:tabs>
          <w:tab w:leader="none" w:pos="1951" w:val="left"/>
        </w:tabs>
        <w:numPr>
          <w:ilvl w:val="0"/>
          <w:numId w:val="451"/>
        </w:numPr>
        <w:rPr>
          <w:rFonts w:ascii="Arial" w:cs="Arial" w:eastAsia="Arial" w:hAnsi="Arial"/>
          <w:sz w:val="18"/>
          <w:szCs w:val="18"/>
          <w:color w:val="auto"/>
        </w:rPr>
      </w:pPr>
      <w:r>
        <w:rPr>
          <w:rFonts w:ascii="Arial" w:cs="Arial" w:eastAsia="Arial" w:hAnsi="Arial"/>
          <w:sz w:val="18"/>
          <w:szCs w:val="18"/>
          <w:color w:val="auto"/>
        </w:rPr>
        <w:t>Borrower has not and will not assume or guarantee or become obligated for the debts of any other Person and does not and will not hold itself out to be responsible for or have its credit available to satisfy the debts or obligations of any other Person.</w:t>
      </w:r>
    </w:p>
    <w:p>
      <w:pPr>
        <w:spacing w:after="0" w:line="170" w:lineRule="exact"/>
        <w:rPr>
          <w:rFonts w:ascii="Arial" w:cs="Arial" w:eastAsia="Arial" w:hAnsi="Arial"/>
          <w:sz w:val="18"/>
          <w:szCs w:val="18"/>
          <w:color w:val="auto"/>
        </w:rPr>
      </w:pPr>
    </w:p>
    <w:p>
      <w:pPr>
        <w:jc w:val="both"/>
        <w:ind w:firstLine="1304"/>
        <w:spacing w:after="0" w:line="253" w:lineRule="auto"/>
        <w:tabs>
          <w:tab w:leader="none" w:pos="1991"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organizational documents of Borrower shall provide that the business and affairs of Borrower shall be (A) managed by or under the direction of a board of one or more directors designated by Borrower’s sole member (the “</w:t>
      </w:r>
      <w:r>
        <w:rPr>
          <w:rFonts w:ascii="Arial" w:cs="Arial" w:eastAsia="Arial" w:hAnsi="Arial"/>
          <w:sz w:val="18"/>
          <w:szCs w:val="18"/>
          <w:b w:val="1"/>
          <w:bCs w:val="1"/>
          <w:i w:val="1"/>
          <w:iCs w:val="1"/>
          <w:color w:val="auto"/>
        </w:rPr>
        <w:t>Sole Member</w:t>
      </w:r>
      <w:r>
        <w:rPr>
          <w:rFonts w:ascii="Arial" w:cs="Arial" w:eastAsia="Arial" w:hAnsi="Arial"/>
          <w:sz w:val="18"/>
          <w:szCs w:val="18"/>
          <w:color w:val="auto"/>
        </w:rPr>
        <w:t>”) or (B) a committee of managers designated by Sole Member (a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(C) by Sole Member, and at all times there shall be at least two (2) duly appointed Independent Directors or Independent Managers. In addition, the organizational documents of Borrower shall provide that no Independent Director or Independent Manager (as applicable) of Borrower may be removed or replaced without Cause and unless Borrower provides Lender with not less than three (3) Business Days’ prior written notice of (a) any proposed removal of an Independent Director or Independent Manager (as applicable), together with a statement as to the reasons for such removal, and (b) the identity of the proposed replacement Independent Director or Independent Manager, as applicable, together with a certification that such replacement satisfies the requirements set forth in the organizational documents for an Independent Director or Independent Manager (as applicable).</w:t>
      </w:r>
    </w:p>
    <w:p>
      <w:pPr>
        <w:spacing w:after="0" w:line="196" w:lineRule="exact"/>
        <w:rPr>
          <w:rFonts w:ascii="Arial" w:cs="Arial" w:eastAsia="Arial" w:hAnsi="Arial"/>
          <w:sz w:val="18"/>
          <w:szCs w:val="18"/>
          <w:color w:val="auto"/>
        </w:rPr>
      </w:pPr>
    </w:p>
    <w:p>
      <w:pPr>
        <w:ind w:firstLine="1304"/>
        <w:spacing w:after="0" w:line="277" w:lineRule="auto"/>
        <w:tabs>
          <w:tab w:leader="none" w:pos="1937"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organizational documents of Borrower shall also provide an express acknowledgment that Lender is an intended third-party beneficiary of the “special purpose” provisions of such organizational documents.</w:t>
      </w:r>
    </w:p>
    <w:p>
      <w:pPr>
        <w:spacing w:after="0" w:line="170" w:lineRule="exact"/>
        <w:rPr>
          <w:rFonts w:ascii="Arial" w:cs="Arial" w:eastAsia="Arial" w:hAnsi="Arial"/>
          <w:sz w:val="18"/>
          <w:szCs w:val="18"/>
          <w:color w:val="auto"/>
        </w:rPr>
      </w:pPr>
    </w:p>
    <w:p>
      <w:pPr>
        <w:jc w:val="both"/>
        <w:ind w:firstLine="1304"/>
        <w:spacing w:after="0" w:line="267" w:lineRule="auto"/>
        <w:tabs>
          <w:tab w:leader="none" w:pos="2153" w:val="left"/>
        </w:tabs>
        <w:numPr>
          <w:ilvl w:val="0"/>
          <w:numId w:val="451"/>
        </w:numPr>
        <w:rPr>
          <w:rFonts w:ascii="Arial" w:cs="Arial" w:eastAsia="Arial" w:hAnsi="Arial"/>
          <w:sz w:val="17"/>
          <w:szCs w:val="17"/>
          <w:color w:val="auto"/>
        </w:rPr>
      </w:pPr>
      <w:r>
        <w:rPr>
          <w:rFonts w:ascii="Arial" w:cs="Arial" w:eastAsia="Arial" w:hAnsi="Arial"/>
          <w:sz w:val="17"/>
          <w:szCs w:val="17"/>
          <w:color w:val="auto"/>
        </w:rPr>
        <w:t xml:space="preserve">The organizational documents of Borrower shall provide that the board of directors, the Committee or Sole Member (as applicable) of Borrower shall not take any action which, under the terms of any certificate of formation, limited liability company operating agreement or any voting trust agreement, requires an unanimous vote of the board of directors (or the Committee as applicable) of Borrower unless at the time of such action there shall be (A) at least two (2) members of the board of directors (or the Committee as applicable) who are Independent Directors or Independent Managers, as applicable (and such Independent Directors or Independent Managers, as applicable, have participated in such vote) or (B) if there is no board of directors or Committee, then such Independent Managers shall have participated in such vote. The organizational documents of Borrower shall provide that Borrower will not and Borrower agrees that it will not, without the unanimous written consent of its board of directors, its Committee or its Sole Member (as applicable), including, or together with, the Independent Directors or Independent Managers (as applicable) (i) file or consent to the filing of any petition, either voluntary or involuntary, to take advantage of any applicable insolvency, bankruptcy, liquidation or reorganization statute, (ii) seek or consent to the appointment of a receiver, liquidator or any similar official of Borrower or a substantial part of its business, (iii) take any action that would be reasonably likely to cause such entity to become insolvent, (iv) make an assignment for the benefit of creditors, (v) admit in writing its inability to pay debts generally as they become due, (vi) declare or effectuate a moratorium on the payment of any obligations, or (vii) take any action in furtherance of the foregoing. Borrower shall not take any of the foregoing actions without the unanimous written consent of its board of directors, its Committee or its Sole Member, as applicable, including (or together with) all Independent Directors or Independent Managers, as applicable. In addition, the organizational documents of Borrower shall provide that, when voting with respect to any matters set forth in the immediately preceding sentence of this </w:t>
      </w:r>
      <w:r>
        <w:rPr>
          <w:rFonts w:ascii="Arial" w:cs="Arial" w:eastAsia="Arial" w:hAnsi="Arial"/>
          <w:sz w:val="17"/>
          <w:szCs w:val="17"/>
          <w:u w:val="single" w:color="auto"/>
          <w:color w:val="auto"/>
        </w:rPr>
        <w:t>clause (q)</w:t>
      </w:r>
      <w:r>
        <w:rPr>
          <w:rFonts w:ascii="Arial" w:cs="Arial" w:eastAsia="Arial" w:hAnsi="Arial"/>
          <w:sz w:val="17"/>
          <w:szCs w:val="17"/>
          <w:color w:val="auto"/>
        </w:rPr>
        <w:t>, the Independent Directors or Independent Managers (as applicable) shall consider only the interests of Borrower, including its creditors. Without limiting the generality of the foregoing, such documents shall expressly provide that, to the greatest extent permitted by law, except for duties to Borrower (including duties to the members of Borrower solely to the extent of their respective economic interest in Borrower and to Borrower’s creditors as set forth in the immediately preceding sentence), such Independent Directors or Independent Managers (as applicable) shall not owe any fiduciary duties to, and shall not consider, in acting or otherwise voting on any matter for which their approval is required, the interests of (i) the members of Borrower, (ii) other Affiliates of Borrower, or (iii) any group of Affiliates of which Borrower is a part); provided, however, the foregoing shall not eliminate the implied contractual covenant of good faith and fair dealing.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4" w:name="page425"/>
    <w:bookmarkEnd w:id="424"/>
    <w:p>
      <w:pPr>
        <w:jc w:val="both"/>
        <w:ind w:firstLine="1304"/>
        <w:spacing w:after="0" w:line="287" w:lineRule="auto"/>
        <w:tabs>
          <w:tab w:leader="none" w:pos="2078"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organizational documents of Borrower shall provide that, as long as any portion of the Obligations remains outstanding, upon the occurrence of any event that causes Sole Member to cease to be a member of Borrower (other than (i) upon an assignment by Sole Member of all of its limited liability company interest in Borrower and the admission of the transferee, if permitted pursuant to the organizational documents of Borrower and the Loan Documents, or (ii) the resignation of Sole Member and the admission of an additional member of Borrower, if permitted pursuant to the organizational documents of Borrower and the Loan Documents), each of the persons acting as an Independent Director or Independent Manager (as applicable) of Borrower shall, without any action of any Person and simultaneously with Sole Member ceasing to be a member of Borrower, automatically be admitted as members of Borrower (in each case, individually, a “</w:t>
      </w:r>
      <w:r>
        <w:rPr>
          <w:rFonts w:ascii="Arial" w:cs="Arial" w:eastAsia="Arial" w:hAnsi="Arial"/>
          <w:sz w:val="16"/>
          <w:szCs w:val="16"/>
          <w:b w:val="1"/>
          <w:bCs w:val="1"/>
          <w:i w:val="1"/>
          <w:iCs w:val="1"/>
          <w:color w:val="auto"/>
        </w:rPr>
        <w:t>Special Member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Special Members</w:t>
      </w:r>
      <w:r>
        <w:rPr>
          <w:rFonts w:ascii="Arial" w:cs="Arial" w:eastAsia="Arial" w:hAnsi="Arial"/>
          <w:sz w:val="16"/>
          <w:szCs w:val="16"/>
          <w:color w:val="auto"/>
        </w:rPr>
        <w:t>”) and shall preserve and continue the existence of Borrower without dissolution or division (whether pursuant to Section 18-217 of the Act or otherwise). The organizational documents of Borrower shall further provide that for so long as any portion of the Obligations is outstanding, no Special Member may resign or transfer its rights as Special Member unless (i) a successor Special Member has been admitted to Borrower as a Special Member, and (ii) such successor Special Member has also accepted its appointment as an Independent Director or Independent Manager (as applicable).</w:t>
      </w:r>
    </w:p>
    <w:p>
      <w:pPr>
        <w:spacing w:after="0" w:line="171" w:lineRule="exact"/>
        <w:rPr>
          <w:rFonts w:ascii="Arial" w:cs="Arial" w:eastAsia="Arial" w:hAnsi="Arial"/>
          <w:sz w:val="16"/>
          <w:szCs w:val="16"/>
          <w:color w:val="auto"/>
        </w:rPr>
      </w:pPr>
    </w:p>
    <w:p>
      <w:pPr>
        <w:jc w:val="both"/>
        <w:ind w:firstLine="1304"/>
        <w:spacing w:after="0" w:line="263" w:lineRule="auto"/>
        <w:tabs>
          <w:tab w:leader="none" w:pos="2057"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organizational documents of Borrower shall provide that, as long as any portion of the Obligations remains outstanding, except as expressly permitted pursuant to the terms of this Agreement, (i) Sole Member may not resign, and (ii) no additional member shall be admitted to Borrower.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5" w:name="page426"/>
    <w:bookmarkEnd w:id="425"/>
    <w:p>
      <w:pPr>
        <w:jc w:val="both"/>
        <w:ind w:firstLine="1304"/>
        <w:spacing w:after="0" w:line="284" w:lineRule="auto"/>
        <w:tabs>
          <w:tab w:leader="none" w:pos="1987" w:val="left"/>
        </w:tabs>
        <w:numPr>
          <w:ilvl w:val="0"/>
          <w:numId w:val="453"/>
        </w:numPr>
        <w:rPr>
          <w:rFonts w:ascii="Arial" w:cs="Arial" w:eastAsia="Arial" w:hAnsi="Arial"/>
          <w:sz w:val="16"/>
          <w:szCs w:val="16"/>
          <w:color w:val="auto"/>
        </w:rPr>
      </w:pPr>
      <w:r>
        <w:rPr>
          <w:rFonts w:ascii="Arial" w:cs="Arial" w:eastAsia="Arial" w:hAnsi="Arial"/>
          <w:sz w:val="16"/>
          <w:szCs w:val="16"/>
          <w:color w:val="auto"/>
        </w:rPr>
        <w:t>The organizational documents of Borrower shall provide that, as long as any portion of the Obligations remains outstanding: (i) Borrower shall be dissolved, and its affairs shall be wound up, only upon the first to occur of the following: (A) the termination of the legal existence of the last remaining member of Borrower or the occurrence of any other event which terminates the continued membership of the last remaining member of Borrower in Borrower unless the business of Borrower is continued in a manner permitted by its operating agreement or the Delaware Limited Liability Company Act (as the same may be amended, modified or replaced,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(B) the entry of a decree of judicial dissolution under Section 18-802 of the Act; (ii) upon the occurrence of any event that causes the last remaining member of Borrower to cease to be a member of Borrower or that causes Sole Member to cease to be a member of Borrower (other than (A) upon an assignment by Sole Member of all of its limited liability company interest in Borrower and the admission of the transferee, if permitted pursuant to the organizational documents of Borrower and the Loan Documents, or (B) the resignation of Sole Member and the admission of an additional member of Borrower, if permitted pursuant to the organizational documents of Borrower and the Loan Documents), to the fullest extent permitted by law, the personal representative of such last remaining member shall be authorized to, and shall, within ninety (90) days after the occurrence of the event that terminated the continued membership of such member in Borrower, agree in writing (I) to continue the existence of Borrower, and (II) to the admission of the personal representative or its nominee or designee, as the case may be, as a substitute member of Borrower, effective as of the occurrence of the event that terminated the continued membership of such member in Borrower; (iii) the bankruptcy of Sole Member or a Special Member shall not cause such Sole Member or Special Member, respectively, to cease to be a member of Borrower and upon the occurrence of such an event, the business of Borrower shall continue without dissolution; (iv) in the event of the dissolution of Borrower, Borrower shall conduct only such activities as are necessary to wind up its affairs (including the sale of the assets of Borrower in an orderly manner), and the assets of Borrower shall be applied in the manner, and in the order of priority, set forth in Section 18-804 of the Act; (v) to the fullest extent permitted by law, each of Sole Member and the Special Members shall irrevocably waive any right or power that they might have to cause Borrower or any of its assets to be partitioned, to cause the appointment of a receiver for all or any portion of the assets of Borrower, to compel any sale of all or any portion of the assets of Borrower pursuant to any applicable law or to file a complaint or to institute any proceeding at law or in equity to cause the dissolution, division (whether pursuant to Section 18-217 of the Act or otherwise), liquidation, winding up or termination of Borrower and (vi) Borrower shall be prohibited from effectuating a division (whether pursuant to Section 18-217 of the Act or otherwise).</w:t>
      </w:r>
    </w:p>
    <w:p>
      <w:pPr>
        <w:spacing w:after="0" w:line="178" w:lineRule="exact"/>
        <w:rPr>
          <w:rFonts w:ascii="Arial" w:cs="Arial" w:eastAsia="Arial" w:hAnsi="Arial"/>
          <w:sz w:val="16"/>
          <w:szCs w:val="16"/>
          <w:color w:val="auto"/>
        </w:rPr>
      </w:pPr>
    </w:p>
    <w:p>
      <w:pPr>
        <w:jc w:val="both"/>
        <w:ind w:firstLine="1304"/>
        <w:spacing w:after="0" w:line="301" w:lineRule="auto"/>
        <w:tabs>
          <w:tab w:leader="none" w:pos="2023"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Borrower shall conduct its business so that the assumptions made with respect to Borrower in the Insolvency Opinion shall be true and correct in all material respects. In connection with the foregoing, Borrower hereby covenants and agrees that it will comply with or cause the compliance in all material respects with, (i) all of the facts and assumptions (whether regarding Borrower or any other Person) set forth in the Insolvency Opinion, (ii) all of the representations, warranties and covenants on this </w:t>
      </w:r>
      <w:r>
        <w:rPr>
          <w:rFonts w:ascii="Arial" w:cs="Arial" w:eastAsia="Arial" w:hAnsi="Arial"/>
          <w:sz w:val="16"/>
          <w:szCs w:val="16"/>
          <w:b w:val="1"/>
          <w:bCs w:val="1"/>
          <w:u w:val="single" w:color="auto"/>
          <w:color w:val="auto"/>
        </w:rPr>
        <w:t>Schedule V</w:t>
      </w:r>
      <w:r>
        <w:rPr>
          <w:rFonts w:ascii="Arial" w:cs="Arial" w:eastAsia="Arial" w:hAnsi="Arial"/>
          <w:sz w:val="16"/>
          <w:szCs w:val="16"/>
          <w:color w:val="auto"/>
        </w:rPr>
        <w:t>, and (iii) all of the organizational documents of Borrower.</w:t>
      </w:r>
    </w:p>
    <w:p>
      <w:pPr>
        <w:spacing w:after="0" w:line="157" w:lineRule="exact"/>
        <w:rPr>
          <w:rFonts w:ascii="Arial" w:cs="Arial" w:eastAsia="Arial" w:hAnsi="Arial"/>
          <w:sz w:val="16"/>
          <w:szCs w:val="16"/>
          <w:color w:val="auto"/>
        </w:rPr>
      </w:pPr>
    </w:p>
    <w:p>
      <w:pPr>
        <w:jc w:val="both"/>
        <w:ind w:firstLine="1304"/>
        <w:spacing w:after="0" w:line="259" w:lineRule="auto"/>
        <w:tabs>
          <w:tab w:leader="none" w:pos="199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Borrower has paid and intends to pay its own liabilities and expenses, including the salaries of its own employees (if any) from its own funds, and has maintained and shall maintain a sufficient number of employees (if any) in light of its contemplated business operations; provided that the foregoing shall not require any direct or indirect member, partner or shareholder of Borrower to make any additional capital contributions to Borrower.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6" w:name="page427"/>
    <w:bookmarkEnd w:id="426"/>
    <w:p>
      <w:pPr>
        <w:ind w:left="1960" w:hanging="656"/>
        <w:spacing w:after="0"/>
        <w:tabs>
          <w:tab w:leader="none" w:pos="196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Borrower has not permitted and will not permit any Affiliate or constituent party independent access to its bank accounts.</w:t>
      </w:r>
    </w:p>
    <w:p>
      <w:pPr>
        <w:spacing w:after="0" w:line="236" w:lineRule="exact"/>
        <w:rPr>
          <w:rFonts w:ascii="Arial" w:cs="Arial" w:eastAsia="Arial" w:hAnsi="Arial"/>
          <w:sz w:val="17"/>
          <w:szCs w:val="17"/>
          <w:color w:val="auto"/>
        </w:rPr>
      </w:pPr>
    </w:p>
    <w:p>
      <w:pPr>
        <w:jc w:val="both"/>
        <w:ind w:firstLine="1304"/>
        <w:spacing w:after="0" w:line="263" w:lineRule="auto"/>
        <w:tabs>
          <w:tab w:leader="none" w:pos="1955" w:val="left"/>
        </w:tabs>
        <w:numPr>
          <w:ilvl w:val="0"/>
          <w:numId w:val="454"/>
        </w:numPr>
        <w:rPr>
          <w:rFonts w:ascii="Arial" w:cs="Arial" w:eastAsia="Arial" w:hAnsi="Arial"/>
          <w:sz w:val="18"/>
          <w:szCs w:val="18"/>
          <w:color w:val="auto"/>
        </w:rPr>
      </w:pPr>
      <w:r>
        <w:rPr>
          <w:rFonts w:ascii="Arial" w:cs="Arial" w:eastAsia="Arial" w:hAnsi="Arial"/>
          <w:sz w:val="18"/>
          <w:szCs w:val="18"/>
          <w:color w:val="auto"/>
        </w:rPr>
        <w:t>Borrower has compensated and shall compensate each of its consultants and agents from its funds for services provided to it and pay from its own assets all obligations of any kind incurred; provided that the foregoing shall not require any direct or indirect member, partner or shareholder of Borrower to make any additional capital contributions to Borrower.</w:t>
      </w:r>
    </w:p>
    <w:p>
      <w:pPr>
        <w:spacing w:after="0" w:line="183" w:lineRule="exact"/>
        <w:rPr>
          <w:rFonts w:ascii="Arial" w:cs="Arial" w:eastAsia="Arial" w:hAnsi="Arial"/>
          <w:sz w:val="18"/>
          <w:szCs w:val="18"/>
          <w:color w:val="auto"/>
        </w:rPr>
      </w:pPr>
    </w:p>
    <w:p>
      <w:pPr>
        <w:ind w:right="700" w:firstLine="1304"/>
        <w:spacing w:after="0" w:line="277" w:lineRule="auto"/>
        <w:tabs>
          <w:tab w:leader="none" w:pos="191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Borrower has allocated and will allocate fairly and reasonably any overhead expenses that are shared with any Affiliate, including shared office space.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Except in connection with the Loan, Borrower has not pledged and will not pledge its assets for the benefit of any other Person.</w:t>
      </w:r>
    </w:p>
    <w:p>
      <w:pPr>
        <w:spacing w:after="0" w:line="248" w:lineRule="exact"/>
        <w:rPr>
          <w:sz w:val="20"/>
          <w:szCs w:val="20"/>
          <w:color w:val="auto"/>
        </w:rPr>
      </w:pPr>
    </w:p>
    <w:p>
      <w:pPr>
        <w:jc w:val="both"/>
        <w:ind w:firstLine="1304"/>
        <w:spacing w:after="0" w:line="263" w:lineRule="auto"/>
        <w:tabs>
          <w:tab w:leader="none" w:pos="196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Borrower has and will have no obligation to indemnify its officers, directors, members or Special Members, as the case may be, or has such an obligation that is fully subordinated to the Debt and will not constitute a claim against it if cash flow in excess of the amount required to pay the Debt is insufficient to pay such obligation.</w:t>
      </w:r>
    </w:p>
    <w:p>
      <w:pPr>
        <w:spacing w:after="0" w:line="183" w:lineRule="exact"/>
        <w:rPr>
          <w:rFonts w:ascii="Arial" w:cs="Arial" w:eastAsia="Arial" w:hAnsi="Arial"/>
          <w:sz w:val="18"/>
          <w:szCs w:val="18"/>
          <w:color w:val="auto"/>
        </w:rPr>
      </w:pPr>
    </w:p>
    <w:p>
      <w:pPr>
        <w:ind w:left="1920" w:hanging="616"/>
        <w:spacing w:after="0"/>
        <w:tabs>
          <w:tab w:leader="none" w:pos="192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Borrower has not, does not, and will not have any of its obligations guaranteed by an Affiliate (other than from the Guarantor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with respect to the Loan).</w:t>
      </w:r>
    </w:p>
    <w:p>
      <w:pPr>
        <w:spacing w:after="0" w:line="210" w:lineRule="exact"/>
        <w:rPr>
          <w:rFonts w:ascii="Arial" w:cs="Arial" w:eastAsia="Arial" w:hAnsi="Arial"/>
          <w:sz w:val="17"/>
          <w:szCs w:val="17"/>
          <w:color w:val="auto"/>
        </w:rPr>
      </w:pPr>
    </w:p>
    <w:p>
      <w:pPr>
        <w:jc w:val="both"/>
        <w:ind w:firstLine="1304"/>
        <w:spacing w:after="0" w:line="263" w:lineRule="auto"/>
        <w:tabs>
          <w:tab w:leader="none" w:pos="205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Borrower has not, and shall not, register to do business in and/or otherwise be recognized by any jurisdiction other than the United States, Delaware (or any subdivision thereof) and/or the State (or any subdivision thereof), including, without limitation, by becoming a “registered foreign entity” under the Australian Corporations Act of 2001.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with respect to an Independent Director or Independent Manager, (i) acts or omissions by such Independent Director or Independent Manager, as applicable, that constitute willful disregard of, or gross negligence with respect to, such Independent Director’s or Independent Manager’s, as applicable, duties, (ii) such Independent Director or Independent Manager, as applicable, has engaged in or has been charged with or has been indicted or convicted for any crime or crimes of fraud or other acts constituting a crime under any law applicable to such Independent Director or Independent Manager, as applicable, (iii) such Independent Director or Independent Manager, as applicable, has breached its fiduciary duties of loyalty and care as and to the extent of such duties in accordance with the terms of Borrower’s organizational documents, (iv) there is a material increase in the fees charged by such Independent Director or Independent Manager, as applicable, or a material change to such Independent Director’s or Independent Manager’s, as applicable, terms of service, (v) such Independent Director or Independent Manager, as applicable, is unable to perform his or her duties as Independent Director or Independent Manager, as applicable, due to death, disability or incapacity, or (vi) such Independent Director or Independent Manager, as applicable, no longer meets the definition of Independent Director or Independent Manager, as applicable.</w:t>
      </w: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7" w:name="page428"/>
    <w:bookmarkEnd w:id="427"/>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or “</w:t>
      </w:r>
      <w:r>
        <w:rPr>
          <w:rFonts w:ascii="Arial" w:cs="Arial" w:eastAsia="Arial" w:hAnsi="Arial"/>
          <w:sz w:val="17"/>
          <w:szCs w:val="17"/>
          <w:b w:val="1"/>
          <w:bCs w:val="1"/>
          <w:i w:val="1"/>
          <w:iCs w:val="1"/>
          <w:color w:val="auto"/>
        </w:rPr>
        <w:t>Independent Manager</w:t>
      </w:r>
      <w:r>
        <w:rPr>
          <w:rFonts w:ascii="Arial" w:cs="Arial" w:eastAsia="Arial" w:hAnsi="Arial"/>
          <w:sz w:val="17"/>
          <w:szCs w:val="17"/>
          <w:color w:val="auto"/>
        </w:rPr>
        <w:t>” shall mean a natural person selected by Borrower (a) with prior experience as an independent director, independent manager or independent member, (b) with at least three (3) years of employment experience, (c) who is provided by a Nationally Recognized Service Company, (d) who is duly appointed as an Independent Director or Independent Manager and is not, will not be while serving as Independent Director or Independent Manager (except pursuant to an express provision in Borrower’s operating agreement providing for the appointment of such Independent Director or Independent Manager to become a “special member” upon the last remaining member of Borrower ceasing to be a member of Borrower) and shall not have been at any time during the preceding five (5) years, any of the following:</w:t>
      </w:r>
    </w:p>
    <w:p>
      <w:pPr>
        <w:spacing w:after="0" w:line="178" w:lineRule="exact"/>
        <w:rPr>
          <w:sz w:val="20"/>
          <w:szCs w:val="20"/>
          <w:color w:val="auto"/>
        </w:rPr>
      </w:pPr>
    </w:p>
    <w:p>
      <w:pPr>
        <w:ind w:left="2600" w:right="20" w:hanging="648"/>
        <w:spacing w:after="0" w:line="277" w:lineRule="auto"/>
        <w:tabs>
          <w:tab w:leader="none" w:pos="26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 stockholder, director (other than as an Independent Director), officer, employee, partner, attorney or counsel of Borrower, any Affiliate of Borrower or any direct or indirect parent of Borrower;</w:t>
      </w:r>
    </w:p>
    <w:p>
      <w:pPr>
        <w:spacing w:after="0" w:line="170" w:lineRule="exact"/>
        <w:rPr>
          <w:rFonts w:ascii="Arial" w:cs="Arial" w:eastAsia="Arial" w:hAnsi="Arial"/>
          <w:sz w:val="18"/>
          <w:szCs w:val="18"/>
          <w:color w:val="auto"/>
        </w:rPr>
      </w:pPr>
    </w:p>
    <w:p>
      <w:pPr>
        <w:ind w:left="2600" w:hanging="648"/>
        <w:spacing w:after="0" w:line="277" w:lineRule="auto"/>
        <w:tabs>
          <w:tab w:leader="none" w:pos="26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 customer, supplier or other Person who derives any of its purchases or revenues from its activities with Borrower or any Affiliate of Borrower;</w:t>
      </w:r>
    </w:p>
    <w:p>
      <w:pPr>
        <w:spacing w:after="0" w:line="170" w:lineRule="exact"/>
        <w:rPr>
          <w:rFonts w:ascii="Arial" w:cs="Arial" w:eastAsia="Arial" w:hAnsi="Arial"/>
          <w:sz w:val="18"/>
          <w:szCs w:val="18"/>
          <w:color w:val="auto"/>
        </w:rPr>
      </w:pPr>
    </w:p>
    <w:p>
      <w:pPr>
        <w:ind w:left="2600" w:hanging="648"/>
        <w:spacing w:after="0" w:line="277" w:lineRule="auto"/>
        <w:tabs>
          <w:tab w:leader="none" w:pos="26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 Person or other entity Controlling or under Common Control with any such stockholder, partner, customer, supplier or other Person described in clause (i) or clause (ii) above; or</w:t>
      </w:r>
    </w:p>
    <w:p>
      <w:pPr>
        <w:spacing w:after="0" w:line="170" w:lineRule="exact"/>
        <w:rPr>
          <w:rFonts w:ascii="Arial" w:cs="Arial" w:eastAsia="Arial" w:hAnsi="Arial"/>
          <w:sz w:val="18"/>
          <w:szCs w:val="18"/>
          <w:color w:val="auto"/>
        </w:rPr>
      </w:pPr>
    </w:p>
    <w:p>
      <w:pPr>
        <w:ind w:left="2600" w:hanging="648"/>
        <w:spacing w:after="0" w:line="277" w:lineRule="auto"/>
        <w:tabs>
          <w:tab w:leader="none" w:pos="26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 member of the immediate family of any such stockholder, director, officer, employee, partner, customer, supplier or other Person described in clause (i) or clause (ii) above.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natural person who otherwise satisfies the foregoing definition and satisfies subparagraph (i) by reason of being the Independent Director or Independent Manager of a “special purpose entity” affiliated with Borrower shall be qualified to serve as an Independent Director or Independent Manager of Borrower, provided that the fees that such individual earns from serving as Independent Director or Independent Manager of affiliates of Borrower in any given year constitute in the aggregate less than five percent (5%) of such individual’s annual income for that year.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natural person who satisfies the foregoing definition other than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not be disqualified from serving as an Independent Director or Independent Manager of Borrower if such individual is an independent director, independent manager or special manager provided by a Nationally Recognized Service Company that provides professional independent directors, independent managers and special managers and also provides other corporate services in the ordinary course of its business.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8" w:name="page429"/>
    <w:bookmarkEnd w:id="428"/>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Nationally Recognized Service Company</w:t>
      </w:r>
      <w:r>
        <w:rPr>
          <w:rFonts w:ascii="Arial" w:cs="Arial" w:eastAsia="Arial" w:hAnsi="Arial"/>
          <w:sz w:val="18"/>
          <w:szCs w:val="18"/>
          <w:color w:val="auto"/>
        </w:rPr>
        <w:t>” shall mean any of CT Corporation, Corporation Service Company, National Registered Agents, Inc., Wilmington Trust Company, National Corporate Research, Ltd., United Corporate Services, Inc., Independent Member Services LLC or such other nationally recognized company that provides independent director, independent manager or independent member services and that is reasonably satisfactory to Lender, in each case that is not an Affiliate of Borrower and that provides professional independent directors and other corporate services in the ordinary course of its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9" w:name="page430"/>
    <w:bookmarkEnd w:id="429"/>
    <w:p>
      <w:pPr>
        <w:jc w:val="center"/>
        <w:ind w:right="19"/>
        <w:spacing w:after="0"/>
        <w:rPr>
          <w:sz w:val="20"/>
          <w:szCs w:val="20"/>
          <w:color w:val="auto"/>
        </w:rPr>
      </w:pPr>
      <w:r>
        <w:rPr>
          <w:rFonts w:ascii="Arial" w:cs="Arial" w:eastAsia="Arial" w:hAnsi="Arial"/>
          <w:sz w:val="18"/>
          <w:szCs w:val="18"/>
          <w:b w:val="1"/>
          <w:bCs w:val="1"/>
          <w:u w:val="single" w:color="auto"/>
          <w:color w:val="auto"/>
        </w:rPr>
        <w:t>SCHEDULE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INTELLECTUAL PROPERTY/WEBSITES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VI-1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0" w:name="page431"/>
    <w:bookmarkEnd w:id="430"/>
    <w:p>
      <w:pPr>
        <w:jc w:val="center"/>
        <w:ind w:right="312"/>
        <w:spacing w:after="0"/>
        <w:rPr>
          <w:sz w:val="20"/>
          <w:szCs w:val="20"/>
          <w:color w:val="auto"/>
        </w:rPr>
      </w:pPr>
      <w:r>
        <w:rPr>
          <w:rFonts w:ascii="Arial" w:cs="Arial" w:eastAsia="Arial" w:hAnsi="Arial"/>
          <w:sz w:val="18"/>
          <w:szCs w:val="18"/>
          <w:b w:val="1"/>
          <w:bCs w:val="1"/>
          <w:u w:val="single" w:color="auto"/>
          <w:color w:val="auto"/>
        </w:rPr>
        <w:t>SCHEDULE VII</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u w:val="single" w:color="auto"/>
          <w:color w:val="auto"/>
        </w:rPr>
        <w:t>REA</w:t>
      </w:r>
    </w:p>
    <w:p>
      <w:pPr>
        <w:spacing w:after="0" w:line="229" w:lineRule="exact"/>
        <w:rPr>
          <w:sz w:val="20"/>
          <w:szCs w:val="20"/>
          <w:color w:val="auto"/>
        </w:rPr>
      </w:pPr>
    </w:p>
    <w:p>
      <w:pPr>
        <w:jc w:val="both"/>
        <w:ind w:left="328" w:hanging="328"/>
        <w:spacing w:after="0" w:line="263" w:lineRule="auto"/>
        <w:tabs>
          <w:tab w:leader="none" w:pos="32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Deed of Conservation Easement and Grant of Temporary Construction Easements, dated as of November 22, 2013 and recorded in the Hamilton County Register of Deeds on November 22, 2013, by and between Industrial Development Board of the City of Chattanooga, Alston Power Turbomachines LLC, a Delaware limited liability company and Hamilton County.</w:t>
      </w:r>
    </w:p>
    <w:p>
      <w:pPr>
        <w:spacing w:after="0" w:line="183" w:lineRule="exact"/>
        <w:rPr>
          <w:rFonts w:ascii="Arial" w:cs="Arial" w:eastAsia="Arial" w:hAnsi="Arial"/>
          <w:sz w:val="18"/>
          <w:szCs w:val="18"/>
          <w:color w:val="auto"/>
        </w:rPr>
      </w:pPr>
    </w:p>
    <w:p>
      <w:pPr>
        <w:ind w:left="328" w:right="340" w:hanging="328"/>
        <w:spacing w:after="0" w:line="277" w:lineRule="auto"/>
        <w:tabs>
          <w:tab w:leader="none" w:pos="32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Declaration Of Temporary Access Easement And Use, dated as of the date hereof, by West End Property II, LLC, a Tennessee limited liability company.</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Access Easement and Use Agreement (Crane), dated as of the date hereof, by and between West End Loading, LLC, a Tennessee limited liability company and West End Property II, LLC, a Tennessee limited liability company.</w:t>
      </w:r>
    </w:p>
    <w:p>
      <w:pPr>
        <w:spacing w:after="0" w:line="170" w:lineRule="exact"/>
        <w:rPr>
          <w:rFonts w:ascii="Arial" w:cs="Arial" w:eastAsia="Arial" w:hAnsi="Arial"/>
          <w:sz w:val="18"/>
          <w:szCs w:val="18"/>
          <w:color w:val="auto"/>
        </w:rPr>
      </w:pPr>
    </w:p>
    <w:p>
      <w:pPr>
        <w:ind w:left="328" w:right="520" w:hanging="328"/>
        <w:spacing w:after="0" w:line="277" w:lineRule="auto"/>
        <w:tabs>
          <w:tab w:leader="none" w:pos="32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Declaration of Access and Utilities Easement, dated as of the date hereof, made by West End Property II, LLC, a Tennessee limited liability company.</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Reciprocal Access and Utility Easement Agreement, dated as of the date hereof, between West End Property II, LLC, a Tennessee limited liability company, and Aerisyn Opportunity Zone Business, LLC, a Tennessee limited liability company.</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Access and Utilities Easement Agreement, dated as of the date hereof, by and between Aerisyn Opportunity Zone Business, LLC, a Tennessee limited liability company, and West End Property II, LLC, a Tennessee limited liability company.</w:t>
      </w:r>
    </w:p>
    <w:p>
      <w:pPr>
        <w:spacing w:after="0" w:line="200" w:lineRule="exact"/>
        <w:rPr>
          <w:sz w:val="20"/>
          <w:szCs w:val="20"/>
          <w:color w:val="auto"/>
        </w:rPr>
      </w:pPr>
    </w:p>
    <w:p>
      <w:pPr>
        <w:spacing w:after="0" w:line="389" w:lineRule="exact"/>
        <w:rPr>
          <w:sz w:val="20"/>
          <w:szCs w:val="20"/>
          <w:color w:val="auto"/>
        </w:rPr>
      </w:pPr>
    </w:p>
    <w:p>
      <w:pPr>
        <w:jc w:val="center"/>
        <w:ind w:right="372"/>
        <w:spacing w:after="0"/>
        <w:rPr>
          <w:sz w:val="20"/>
          <w:szCs w:val="20"/>
          <w:color w:val="auto"/>
        </w:rPr>
      </w:pPr>
      <w:r>
        <w:rPr>
          <w:rFonts w:ascii="Arial" w:cs="Arial" w:eastAsia="Arial" w:hAnsi="Arial"/>
          <w:sz w:val="18"/>
          <w:szCs w:val="18"/>
          <w:color w:val="auto"/>
        </w:rPr>
        <w:t>Sch. VII-1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48895</wp:posOffset>
            </wp:positionV>
            <wp:extent cx="7132320" cy="171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431" w:name="page432"/>
    <w:bookmarkEnd w:id="431"/>
    <w:p>
      <w:pPr>
        <w:jc w:val="center"/>
        <w:spacing w:after="0"/>
        <w:rPr>
          <w:sz w:val="20"/>
          <w:szCs w:val="20"/>
          <w:color w:val="auto"/>
        </w:rPr>
      </w:pPr>
      <w:r>
        <w:rPr>
          <w:rFonts w:ascii="Arial" w:cs="Arial" w:eastAsia="Arial" w:hAnsi="Arial"/>
          <w:sz w:val="18"/>
          <w:szCs w:val="18"/>
          <w:b w:val="1"/>
          <w:bCs w:val="1"/>
          <w:u w:val="single" w:color="auto"/>
          <w:color w:val="auto"/>
        </w:rPr>
        <w:t>SCHEDULE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GROUND LEASE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certain Lease Agreement dated as of the date hereof, by and between The Industrial Development Board Of The City Of Chattanooga, a public corporation duly created and existing under the laws of the State of Tennessee (“</w:t>
      </w:r>
      <w:r>
        <w:rPr>
          <w:rFonts w:ascii="Arial" w:cs="Arial" w:eastAsia="Arial" w:hAnsi="Arial"/>
          <w:sz w:val="18"/>
          <w:szCs w:val="18"/>
          <w:b w:val="1"/>
          <w:bCs w:val="1"/>
          <w:i w:val="1"/>
          <w:iCs w:val="1"/>
          <w:color w:val="auto"/>
        </w:rPr>
        <w:t>Ground Lessor</w:t>
      </w:r>
      <w:r>
        <w:rPr>
          <w:rFonts w:ascii="Arial" w:cs="Arial" w:eastAsia="Arial" w:hAnsi="Arial"/>
          <w:sz w:val="18"/>
          <w:szCs w:val="18"/>
          <w:color w:val="auto"/>
        </w:rPr>
        <w:t>”), and Novonix 1029, LLC, a Delaware limited liability company, as amended by that certain Ground Lease Estoppel Agreement dated as of the date hereof given by Ground Lessor and Borrower for the benefit of Lender.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VIII-1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2" w:name="page433"/>
    <w:bookmarkEnd w:id="432"/>
    <w:p>
      <w:pPr>
        <w:jc w:val="center"/>
        <w:ind w:right="19"/>
        <w:spacing w:after="0"/>
        <w:rPr>
          <w:sz w:val="20"/>
          <w:szCs w:val="20"/>
          <w:color w:val="auto"/>
        </w:rPr>
      </w:pPr>
      <w:r>
        <w:rPr>
          <w:rFonts w:ascii="Arial" w:cs="Arial" w:eastAsia="Arial" w:hAnsi="Arial"/>
          <w:sz w:val="18"/>
          <w:szCs w:val="18"/>
          <w:b w:val="1"/>
          <w:bCs w:val="1"/>
          <w:u w:val="single" w:color="auto"/>
          <w:color w:val="auto"/>
        </w:rPr>
        <w:t>SCHEDULE IX</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IX-1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3" w:name="page434"/>
    <w:bookmarkEnd w:id="433"/>
    <w:tbl>
      <w:tblPr>
        <w:tblLayout w:type="fixed"/>
        <w:tblInd w:w="1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4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99"/>
              </w:rPr>
              <w:t>SCHEDULE X</w:t>
            </w:r>
          </w:p>
        </w:tc>
        <w:tc>
          <w:tcPr>
            <w:tcW w:w="346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412"/>
        </w:trPr>
        <w:tc>
          <w:tcPr>
            <w:tcW w:w="7780" w:type="dxa"/>
            <w:vAlign w:val="bottom"/>
            <w:gridSpan w:val="5"/>
          </w:tcPr>
          <w:p>
            <w:pPr>
              <w:jc w:val="center"/>
              <w:ind w:left="3390"/>
              <w:spacing w:after="0"/>
              <w:rPr>
                <w:sz w:val="20"/>
                <w:szCs w:val="20"/>
                <w:color w:val="auto"/>
              </w:rPr>
            </w:pPr>
            <w:r>
              <w:rPr>
                <w:rFonts w:ascii="Arial" w:cs="Arial" w:eastAsia="Arial" w:hAnsi="Arial"/>
                <w:sz w:val="18"/>
                <w:szCs w:val="18"/>
                <w:b w:val="1"/>
                <w:bCs w:val="1"/>
                <w:color w:val="auto"/>
              </w:rPr>
              <w:t>SCHEDULED CAPITAL EXPENDITURES</w:t>
            </w:r>
          </w:p>
        </w:tc>
        <w:tc>
          <w:tcPr>
            <w:tcW w:w="3460" w:type="dxa"/>
            <w:vAlign w:val="bottom"/>
          </w:tcPr>
          <w:p>
            <w:pPr>
              <w:spacing w:after="0"/>
              <w:rPr>
                <w:sz w:val="24"/>
                <w:szCs w:val="24"/>
                <w:color w:val="auto"/>
              </w:rPr>
            </w:pPr>
          </w:p>
        </w:tc>
      </w:tr>
      <w:tr>
        <w:trPr>
          <w:trHeight w:val="453"/>
        </w:trPr>
        <w:tc>
          <w:tcPr>
            <w:tcW w:w="3920" w:type="dxa"/>
            <w:vAlign w:val="bottom"/>
          </w:tcPr>
          <w:p>
            <w:pPr>
              <w:spacing w:after="0"/>
              <w:rPr>
                <w:sz w:val="24"/>
                <w:szCs w:val="24"/>
                <w:color w:val="auto"/>
              </w:rPr>
            </w:pPr>
          </w:p>
        </w:tc>
        <w:tc>
          <w:tcPr>
            <w:tcW w:w="3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8"/>
              </w:rPr>
              <w:t>(attached hereto)</w:t>
            </w:r>
          </w:p>
        </w:tc>
        <w:tc>
          <w:tcPr>
            <w:tcW w:w="4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3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209"/>
        </w:trPr>
        <w:tc>
          <w:tcPr>
            <w:tcW w:w="778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Scheduled Capital Expenditure*</w:t>
            </w:r>
          </w:p>
        </w:tc>
        <w:tc>
          <w:tcPr>
            <w:tcW w:w="3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Estimated Cost</w:t>
            </w:r>
          </w:p>
        </w:tc>
      </w:tr>
      <w:tr>
        <w:trPr>
          <w:trHeight w:val="210"/>
        </w:trPr>
        <w:tc>
          <w:tcPr>
            <w:tcW w:w="778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Pit Demolition</w:t>
            </w:r>
          </w:p>
        </w:tc>
        <w:tc>
          <w:tcPr>
            <w:tcW w:w="3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$2,657,264</w:t>
            </w:r>
          </w:p>
        </w:tc>
      </w:tr>
      <w:tr>
        <w:trPr>
          <w:trHeight w:val="209"/>
        </w:trPr>
        <w:tc>
          <w:tcPr>
            <w:tcW w:w="778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Vacuum Chamber</w:t>
            </w:r>
          </w:p>
        </w:tc>
        <w:tc>
          <w:tcPr>
            <w:tcW w:w="3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$950,418</w:t>
            </w:r>
          </w:p>
        </w:tc>
      </w:tr>
      <w:tr>
        <w:trPr>
          <w:trHeight w:val="209"/>
        </w:trPr>
        <w:tc>
          <w:tcPr>
            <w:tcW w:w="778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Loading Dock Upgrade</w:t>
            </w:r>
          </w:p>
        </w:tc>
        <w:tc>
          <w:tcPr>
            <w:tcW w:w="3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$392,099</w:t>
            </w:r>
          </w:p>
        </w:tc>
      </w:tr>
      <w:tr>
        <w:trPr>
          <w:trHeight w:val="210"/>
        </w:trPr>
        <w:tc>
          <w:tcPr>
            <w:tcW w:w="778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Equipment Removal</w:t>
            </w:r>
          </w:p>
        </w:tc>
        <w:tc>
          <w:tcPr>
            <w:tcW w:w="3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$344,381</w:t>
            </w:r>
          </w:p>
        </w:tc>
      </w:tr>
      <w:tr>
        <w:trPr>
          <w:trHeight w:val="209"/>
        </w:trPr>
        <w:tc>
          <w:tcPr>
            <w:tcW w:w="778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Piping</w:t>
            </w:r>
          </w:p>
        </w:tc>
        <w:tc>
          <w:tcPr>
            <w:tcW w:w="3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$489,750</w:t>
            </w:r>
          </w:p>
        </w:tc>
      </w:tr>
      <w:tr>
        <w:trPr>
          <w:trHeight w:val="209"/>
        </w:trPr>
        <w:tc>
          <w:tcPr>
            <w:tcW w:w="7780" w:type="dxa"/>
            <w:vAlign w:val="bottom"/>
            <w:tcBorders>
              <w:left w:val="single" w:sz="8" w:color="auto"/>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General Logistics</w:t>
            </w:r>
          </w:p>
        </w:tc>
        <w:tc>
          <w:tcPr>
            <w:tcW w:w="3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$554,550</w:t>
            </w:r>
          </w:p>
        </w:tc>
      </w:tr>
      <w:tr>
        <w:trPr>
          <w:trHeight w:val="210"/>
        </w:trPr>
        <w:tc>
          <w:tcPr>
            <w:tcW w:w="3920" w:type="dxa"/>
            <w:vAlign w:val="bottom"/>
            <w:tcBorders>
              <w:left w:val="single" w:sz="8" w:color="auto"/>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rPr>
              <w:t>Total:</w:t>
            </w:r>
          </w:p>
        </w:tc>
        <w:tc>
          <w:tcPr>
            <w:tcW w:w="3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$5,388,462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In each case, as more particularly described on </w:t>
      </w:r>
      <w:r>
        <w:rPr>
          <w:rFonts w:ascii="Arial" w:cs="Arial" w:eastAsia="Arial" w:hAnsi="Arial"/>
          <w:sz w:val="18"/>
          <w:szCs w:val="18"/>
          <w:u w:val="single" w:color="auto"/>
          <w:color w:val="auto"/>
        </w:rPr>
        <w:t>Schedule XI</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 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4" w:name="page435"/>
    <w:bookmarkEnd w:id="434"/>
    <w:p>
      <w:pPr>
        <w:jc w:val="center"/>
        <w:ind w:right="19"/>
        <w:spacing w:after="0"/>
        <w:rPr>
          <w:sz w:val="20"/>
          <w:szCs w:val="20"/>
          <w:color w:val="auto"/>
        </w:rPr>
      </w:pPr>
      <w:r>
        <w:rPr>
          <w:rFonts w:ascii="Arial" w:cs="Arial" w:eastAsia="Arial" w:hAnsi="Arial"/>
          <w:sz w:val="18"/>
          <w:szCs w:val="18"/>
          <w:b w:val="1"/>
          <w:bCs w:val="1"/>
          <w:u w:val="single" w:color="auto"/>
          <w:color w:val="auto"/>
        </w:rPr>
        <w:t>SCHEDULE XI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PLANS AND SPECIFICATIONS FOR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SCHEDULED CAPITAL EXPENDITURES WORK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 hereto)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XI-1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5" w:name="page436"/>
    <w:bookmarkEnd w:id="435"/>
    <w:p>
      <w:pPr>
        <w:ind w:left="1800"/>
        <w:spacing w:after="0"/>
        <w:tabs>
          <w:tab w:leader="none" w:pos="7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756920</wp:posOffset>
            </wp:positionH>
            <wp:positionV relativeFrom="page">
              <wp:posOffset>226060</wp:posOffset>
            </wp:positionV>
            <wp:extent cx="6000750" cy="48006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480060"/>
                    </a:xfrm>
                    <a:prstGeom prst="rect">
                      <a:avLst/>
                    </a:prstGeom>
                    <a:noFill/>
                  </pic:spPr>
                </pic:pic>
              </a:graphicData>
            </a:graphic>
          </wp:anchor>
        </w:drawing>
        <w:t>PO Box 16608  •  Chattanooga, Tennessee 37416-0608  •  Phone: 423-622-4500</w:t>
      </w:r>
      <w:r>
        <w:rPr>
          <w:sz w:val="20"/>
          <w:szCs w:val="20"/>
          <w:color w:val="auto"/>
        </w:rPr>
        <w:tab/>
      </w:r>
      <w:r>
        <w:rPr>
          <w:rFonts w:ascii="Arial" w:cs="Arial" w:eastAsia="Arial" w:hAnsi="Arial"/>
          <w:sz w:val="16"/>
          <w:szCs w:val="16"/>
          <w:color w:val="auto"/>
        </w:rPr>
        <w:t>•  Fax: 423-624-6763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Daniel Deas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PUREgraphite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353 Corporate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Chattanooga TN 37404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Big Blue Demolition Refit Quotation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is in response to your request for additional formation concerning the original quotation. We propose to provide supervision, material, labor, and equipment to complete the project with pricing based on the following:</w:t>
      </w:r>
    </w:p>
    <w:p>
      <w:pPr>
        <w:spacing w:after="0" w:line="16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Pits</w:t>
      </w:r>
    </w:p>
    <w:p>
      <w:pPr>
        <w:spacing w:after="0" w:line="229" w:lineRule="exact"/>
        <w:rPr>
          <w:sz w:val="20"/>
          <w:szCs w:val="20"/>
          <w:color w:val="auto"/>
        </w:rPr>
      </w:pPr>
    </w:p>
    <w:p>
      <w:pPr>
        <w:ind w:left="620" w:right="140" w:hanging="620"/>
        <w:spacing w:after="0" w:line="277" w:lineRule="auto"/>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Demolish and remove concrete, existing furnace, and stairs in various pit areas. Backfill designated pits. Install reinforcement steel and re-pour concrete back to the finished floor level. Fabricate and install floor steel at the furnace and turbine pit areas.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Breakdown</w:t>
      </w:r>
    </w:p>
    <w:p>
      <w:pPr>
        <w:spacing w:after="0" w:line="225" w:lineRule="exact"/>
        <w:rPr>
          <w:sz w:val="20"/>
          <w:szCs w:val="20"/>
          <w:color w:val="auto"/>
        </w:rPr>
      </w:pPr>
    </w:p>
    <w:p>
      <w:pPr>
        <w:ind w:left="620"/>
        <w:spacing w:after="0"/>
        <w:tabs>
          <w:tab w:leader="none" w:pos="960" w:val="left"/>
          <w:tab w:leader="none" w:pos="3560" w:val="left"/>
        </w:tabs>
        <w:rPr>
          <w:sz w:val="20"/>
          <w:szCs w:val="20"/>
          <w:color w:val="auto"/>
        </w:rPr>
      </w:pPr>
      <w:r>
        <w:rPr>
          <w:rFonts w:ascii="Arial" w:cs="Arial" w:eastAsia="Arial" w:hAnsi="Arial"/>
          <w:sz w:val="18"/>
          <w:szCs w:val="18"/>
          <w:color w:val="auto"/>
        </w:rPr>
        <w:t>●</w:t>
        <w:tab/>
        <w:t>Concrete:</w:t>
      </w:r>
      <w:r>
        <w:rPr>
          <w:sz w:val="20"/>
          <w:szCs w:val="20"/>
          <w:color w:val="auto"/>
        </w:rPr>
        <w:tab/>
      </w:r>
      <w:r>
        <w:rPr>
          <w:rFonts w:ascii="Arial" w:cs="Arial" w:eastAsia="Arial" w:hAnsi="Arial"/>
          <w:sz w:val="15"/>
          <w:szCs w:val="15"/>
          <w:color w:val="auto"/>
        </w:rPr>
        <w:t>$2,476,351.00</w:t>
      </w:r>
    </w:p>
    <w:p>
      <w:pPr>
        <w:spacing w:after="0" w:line="225" w:lineRule="exact"/>
        <w:rPr>
          <w:sz w:val="20"/>
          <w:szCs w:val="20"/>
          <w:color w:val="auto"/>
        </w:rPr>
      </w:pPr>
    </w:p>
    <w:p>
      <w:pPr>
        <w:ind w:left="980" w:hanging="351"/>
        <w:spacing w:after="0"/>
        <w:tabs>
          <w:tab w:leader="none" w:pos="9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Steelwork:</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Material:</w:t>
      </w:r>
      <w:r>
        <w:rPr>
          <w:rFonts w:ascii="Arial" w:cs="Arial" w:eastAsia="Arial" w:hAnsi="Arial"/>
          <w:sz w:val="15"/>
          <w:szCs w:val="15"/>
          <w:color w:val="auto"/>
        </w:rPr>
        <w:t>$113,480.00</w:t>
      </w:r>
    </w:p>
    <w:tbl>
      <w:tblPr>
        <w:tblLayout w:type="fixed"/>
        <w:tblInd w:w="980" w:type="dxa"/>
        <w:tblCellMar>
          <w:top w:w="0" w:type="dxa"/>
          <w:left w:w="0" w:type="dxa"/>
          <w:bottom w:w="0" w:type="dxa"/>
          <w:right w:w="0" w:type="dxa"/>
        </w:tblCellMar>
      </w:tblPr>
      <w:tr>
        <w:trPr>
          <w:trHeight w:val="185"/>
        </w:trPr>
        <w:tc>
          <w:tcPr>
            <w:tcW w:w="2600" w:type="dxa"/>
            <w:vAlign w:val="bottom"/>
          </w:tcPr>
          <w:p>
            <w:pPr>
              <w:spacing w:after="0" w:line="184" w:lineRule="exact"/>
              <w:rPr>
                <w:sz w:val="20"/>
                <w:szCs w:val="20"/>
                <w:color w:val="auto"/>
              </w:rPr>
            </w:pPr>
            <w:r>
              <w:rPr>
                <w:rFonts w:ascii="Arial" w:cs="Arial" w:eastAsia="Arial" w:hAnsi="Arial"/>
                <w:sz w:val="18"/>
                <w:szCs w:val="18"/>
                <w:color w:val="auto"/>
              </w:rPr>
              <w:t>Labor:</w:t>
            </w:r>
          </w:p>
        </w:tc>
        <w:tc>
          <w:tcPr>
            <w:tcW w:w="8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86"/>
              </w:rPr>
              <w:t>$ 67,433.00</w:t>
            </w:r>
          </w:p>
        </w:tc>
      </w:tr>
    </w:tbl>
    <w:p>
      <w:pPr>
        <w:spacing w:after="0" w:line="229" w:lineRule="exact"/>
        <w:rPr>
          <w:sz w:val="20"/>
          <w:szCs w:val="20"/>
          <w:color w:val="auto"/>
        </w:rPr>
      </w:pPr>
    </w:p>
    <w:p>
      <w:pPr>
        <w:ind w:left="980"/>
        <w:spacing w:after="0"/>
        <w:tabs>
          <w:tab w:leader="none" w:pos="356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$2,657,264.00</w:t>
      </w:r>
    </w:p>
    <w:p>
      <w:pPr>
        <w:spacing w:after="0" w:line="2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Vacuum Chamber</w:t>
      </w:r>
    </w:p>
    <w:p>
      <w:pPr>
        <w:spacing w:after="0" w:line="229" w:lineRule="exact"/>
        <w:rPr>
          <w:sz w:val="20"/>
          <w:szCs w:val="20"/>
          <w:color w:val="auto"/>
        </w:rPr>
      </w:pPr>
    </w:p>
    <w:p>
      <w:pPr>
        <w:ind w:left="620" w:hanging="620"/>
        <w:spacing w:after="0" w:line="277" w:lineRule="auto"/>
        <w:tabs>
          <w:tab w:leader="none" w:pos="6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Install temporary floor plates to protect the floor area around the chamber. Demolish and remove concrete, handrails, ladders, chamber doors and piping.</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Breakdown</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   Concrete:</w:t>
            </w:r>
          </w:p>
        </w:tc>
        <w:tc>
          <w:tcPr>
            <w:tcW w:w="1860" w:type="dxa"/>
            <w:vAlign w:val="bottom"/>
          </w:tcPr>
          <w:p>
            <w:pPr>
              <w:jc w:val="right"/>
              <w:spacing w:after="0"/>
              <w:rPr>
                <w:sz w:val="20"/>
                <w:szCs w:val="20"/>
                <w:color w:val="auto"/>
              </w:rPr>
            </w:pPr>
            <w:r>
              <w:rPr>
                <w:rFonts w:ascii="Arial" w:cs="Arial" w:eastAsia="Arial" w:hAnsi="Arial"/>
                <w:sz w:val="18"/>
                <w:szCs w:val="18"/>
                <w:color w:val="auto"/>
              </w:rPr>
              <w:t>$861,841.00</w:t>
            </w:r>
          </w:p>
        </w:tc>
      </w:tr>
    </w:tbl>
    <w:p>
      <w:pPr>
        <w:spacing w:after="0" w:line="202" w:lineRule="exact"/>
        <w:rPr>
          <w:sz w:val="20"/>
          <w:szCs w:val="20"/>
          <w:color w:val="auto"/>
        </w:rPr>
      </w:pPr>
    </w:p>
    <w:p>
      <w:pPr>
        <w:ind w:left="980" w:hanging="351"/>
        <w:spacing w:after="0"/>
        <w:tabs>
          <w:tab w:leader="none" w:pos="9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Steel/Piping Work:</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Material:</w:t>
      </w:r>
      <w:r>
        <w:rPr>
          <w:rFonts w:ascii="Arial" w:cs="Arial" w:eastAsia="Arial" w:hAnsi="Arial"/>
          <w:sz w:val="15"/>
          <w:szCs w:val="15"/>
          <w:color w:val="auto"/>
        </w:rPr>
        <w:t>$56,461.00</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Labor:</w:t>
      </w:r>
      <w:r>
        <w:rPr>
          <w:rFonts w:ascii="Arial" w:cs="Arial" w:eastAsia="Arial" w:hAnsi="Arial"/>
          <w:sz w:val="15"/>
          <w:szCs w:val="15"/>
          <w:u w:val="single" w:color="auto"/>
          <w:color w:val="auto"/>
        </w:rPr>
        <w:t>$32,116.00</w:t>
      </w:r>
    </w:p>
    <w:p>
      <w:pPr>
        <w:spacing w:after="0" w:line="21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TOTAL:</w:t>
      </w:r>
      <w:r>
        <w:rPr>
          <w:rFonts w:ascii="Arial" w:cs="Arial" w:eastAsia="Arial" w:hAnsi="Arial"/>
          <w:sz w:val="16"/>
          <w:szCs w:val="16"/>
          <w:color w:val="auto"/>
        </w:rPr>
        <w:t>$950,418.00</w:t>
      </w:r>
    </w:p>
    <w:p>
      <w:pPr>
        <w:spacing w:after="0" w:line="2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Industrial Mechanical Design &amp; Construction</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  king1@king-industries.com  •  web address:  www.king-industries.com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51" w:right="499" w:bottom="1440" w:gutter="0" w:footer="0" w:header="0"/>
        </w:sectPr>
      </w:pPr>
    </w:p>
    <w:bookmarkStart w:id="436" w:name="page437"/>
    <w:bookmarkEnd w:id="436"/>
    <w:p>
      <w:pPr>
        <w:spacing w:after="0"/>
        <w:tabs>
          <w:tab w:leader="none" w:pos="60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Loading Docks</w:t>
      </w:r>
    </w:p>
    <w:p>
      <w:pPr>
        <w:spacing w:after="0" w:line="229" w:lineRule="exact"/>
        <w:rPr>
          <w:sz w:val="20"/>
          <w:szCs w:val="20"/>
          <w:color w:val="auto"/>
        </w:rPr>
      </w:pPr>
    </w:p>
    <w:p>
      <w:pPr>
        <w:jc w:val="both"/>
        <w:ind w:left="620" w:right="180" w:hanging="620"/>
        <w:spacing w:after="0" w:line="263" w:lineRule="auto"/>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Saw cut and remove concrete in lot area for new pour in front of docks. Modify the building steel in order to install 3 dock doors. Form and pour concrete for 3 dock ramps to match existing ramps. Provide and install 3 new dock doors and levelers, with 3 dock pad sets. Fabricate and install handrails on the dock ramps.</w:t>
      </w:r>
    </w:p>
    <w:p>
      <w:pPr>
        <w:spacing w:after="0" w:line="18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Breakdown</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   Concrete:</w:t>
            </w:r>
          </w:p>
        </w:tc>
        <w:tc>
          <w:tcPr>
            <w:tcW w:w="1840" w:type="dxa"/>
            <w:vAlign w:val="bottom"/>
          </w:tcPr>
          <w:p>
            <w:pPr>
              <w:jc w:val="right"/>
              <w:spacing w:after="0"/>
              <w:rPr>
                <w:sz w:val="20"/>
                <w:szCs w:val="20"/>
                <w:color w:val="auto"/>
              </w:rPr>
            </w:pPr>
            <w:r>
              <w:rPr>
                <w:rFonts w:ascii="Arial" w:cs="Arial" w:eastAsia="Arial" w:hAnsi="Arial"/>
                <w:sz w:val="18"/>
                <w:szCs w:val="18"/>
                <w:color w:val="auto"/>
              </w:rPr>
              <w:t>$227,231.00</w:t>
            </w:r>
          </w:p>
        </w:tc>
      </w:tr>
    </w:tbl>
    <w:p>
      <w:pPr>
        <w:spacing w:after="0" w:line="202" w:lineRule="exact"/>
        <w:rPr>
          <w:sz w:val="20"/>
          <w:szCs w:val="20"/>
          <w:color w:val="auto"/>
        </w:rPr>
      </w:pPr>
    </w:p>
    <w:p>
      <w:pPr>
        <w:ind w:left="1340" w:hanging="347"/>
        <w:spacing w:after="0"/>
        <w:tabs>
          <w:tab w:leader="none" w:pos="13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Steelwork:</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Material:</w:t>
      </w:r>
      <w:r>
        <w:rPr>
          <w:rFonts w:ascii="Arial" w:cs="Arial" w:eastAsia="Arial" w:hAnsi="Arial"/>
          <w:sz w:val="15"/>
          <w:szCs w:val="15"/>
          <w:color w:val="auto"/>
        </w:rPr>
        <w:t>$80,082.00</w:t>
      </w:r>
    </w:p>
    <w:p>
      <w:pPr>
        <w:spacing w:after="0" w:line="9"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Labor:</w:t>
      </w:r>
      <w:r>
        <w:rPr>
          <w:rFonts w:ascii="Arial" w:cs="Arial" w:eastAsia="Arial" w:hAnsi="Arial"/>
          <w:sz w:val="15"/>
          <w:szCs w:val="15"/>
          <w:u w:val="single" w:color="auto"/>
          <w:color w:val="auto"/>
        </w:rPr>
        <w:t>$84,786.00</w:t>
      </w:r>
    </w:p>
    <w:p>
      <w:pPr>
        <w:spacing w:after="0" w:line="211" w:lineRule="exact"/>
        <w:rPr>
          <w:sz w:val="20"/>
          <w:szCs w:val="20"/>
          <w:color w:val="auto"/>
        </w:rPr>
      </w:pPr>
    </w:p>
    <w:p>
      <w:pPr>
        <w:ind w:left="1000"/>
        <w:spacing w:after="0"/>
        <w:tabs>
          <w:tab w:leader="none" w:pos="392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$392,099.00</w:t>
      </w:r>
    </w:p>
    <w:p>
      <w:pPr>
        <w:spacing w:after="0" w:line="2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6"/>
          <w:szCs w:val="16"/>
          <w:b w:val="1"/>
          <w:bCs w:val="1"/>
          <w:color w:val="auto"/>
        </w:rPr>
        <w:t>Equipment Removal</w:t>
      </w:r>
    </w:p>
    <w:p>
      <w:pPr>
        <w:spacing w:after="0" w:line="229" w:lineRule="exact"/>
        <w:rPr>
          <w:sz w:val="20"/>
          <w:szCs w:val="20"/>
          <w:color w:val="auto"/>
        </w:rPr>
      </w:pPr>
    </w:p>
    <w:p>
      <w:pPr>
        <w:ind w:left="620" w:right="440" w:hanging="620"/>
        <w:spacing w:after="0" w:line="308" w:lineRule="auto"/>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Disassemble and remove from site for scrap or store on site for resale, 4 large pieces of equipment; Gegelec machine, Esab welding machine, Tenova furnace, Dufleux Milling Machine. Disassemble and remove from site all chain link fence inside the plant.</w:t>
      </w:r>
    </w:p>
    <w:p>
      <w:pPr>
        <w:spacing w:after="0" w:line="14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Breakdown</w:t>
      </w:r>
    </w:p>
    <w:p>
      <w:pPr>
        <w:spacing w:after="0" w:line="225" w:lineRule="exact"/>
        <w:rPr>
          <w:sz w:val="20"/>
          <w:szCs w:val="20"/>
          <w:color w:val="auto"/>
        </w:rPr>
      </w:pPr>
    </w:p>
    <w:p>
      <w:pPr>
        <w:ind w:left="1340" w:hanging="347"/>
        <w:spacing w:after="0"/>
        <w:tabs>
          <w:tab w:leader="none" w:pos="13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Steelwork:</w:t>
      </w:r>
    </w:p>
    <w:p>
      <w:pPr>
        <w:spacing w:after="0" w:line="18"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Arial" w:cs="Arial" w:eastAsia="Arial" w:hAnsi="Arial"/>
                <w:sz w:val="18"/>
                <w:szCs w:val="18"/>
                <w:color w:val="auto"/>
              </w:rPr>
              <w:t>Material:</w:t>
            </w:r>
          </w:p>
        </w:tc>
        <w:tc>
          <w:tcPr>
            <w:tcW w:w="900" w:type="dxa"/>
            <w:vAlign w:val="bottom"/>
          </w:tcPr>
          <w:p>
            <w:pPr>
              <w:spacing w:after="0"/>
              <w:rPr>
                <w:sz w:val="20"/>
                <w:szCs w:val="20"/>
                <w:color w:val="auto"/>
              </w:rPr>
            </w:pPr>
            <w:r>
              <w:rPr>
                <w:rFonts w:ascii="Arial" w:cs="Arial" w:eastAsia="Arial" w:hAnsi="Arial"/>
                <w:sz w:val="18"/>
                <w:szCs w:val="18"/>
                <w:color w:val="auto"/>
                <w:w w:val="97"/>
              </w:rPr>
              <w:t>$  5,156.00</w:t>
            </w:r>
          </w:p>
        </w:tc>
        <w:tc>
          <w:tcPr>
            <w:tcW w:w="40" w:type="dxa"/>
            <w:vAlign w:val="bottom"/>
          </w:tcPr>
          <w:p>
            <w:pPr>
              <w:spacing w:after="0"/>
              <w:rPr>
                <w:sz w:val="17"/>
                <w:szCs w:val="17"/>
                <w:color w:val="auto"/>
              </w:rPr>
            </w:pPr>
          </w:p>
        </w:tc>
      </w:tr>
      <w:tr>
        <w:trPr>
          <w:trHeight w:val="190"/>
        </w:trPr>
        <w:tc>
          <w:tcPr>
            <w:tcW w:w="2600" w:type="dxa"/>
            <w:vAlign w:val="bottom"/>
          </w:tcPr>
          <w:p>
            <w:pPr>
              <w:spacing w:after="0" w:line="190" w:lineRule="exact"/>
              <w:rPr>
                <w:sz w:val="20"/>
                <w:szCs w:val="20"/>
                <w:color w:val="auto"/>
              </w:rPr>
            </w:pPr>
            <w:r>
              <w:rPr>
                <w:rFonts w:ascii="Arial" w:cs="Arial" w:eastAsia="Arial" w:hAnsi="Arial"/>
                <w:sz w:val="18"/>
                <w:szCs w:val="18"/>
                <w:color w:val="auto"/>
              </w:rPr>
              <w:t>Labor:</w:t>
            </w:r>
          </w:p>
        </w:tc>
        <w:tc>
          <w:tcPr>
            <w:tcW w:w="9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339,225.00</w:t>
            </w:r>
          </w:p>
        </w:tc>
        <w:tc>
          <w:tcPr>
            <w:tcW w:w="40" w:type="dxa"/>
            <w:vAlign w:val="bottom"/>
          </w:tcPr>
          <w:p>
            <w:pPr>
              <w:spacing w:after="0"/>
              <w:rPr>
                <w:sz w:val="16"/>
                <w:szCs w:val="16"/>
                <w:color w:val="auto"/>
              </w:rPr>
            </w:pPr>
          </w:p>
        </w:tc>
      </w:tr>
      <w:tr>
        <w:trPr>
          <w:trHeight w:val="453"/>
        </w:trPr>
        <w:tc>
          <w:tcPr>
            <w:tcW w:w="260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tcPr>
          <w:p>
            <w:pPr>
              <w:spacing w:after="0"/>
              <w:rPr>
                <w:sz w:val="20"/>
                <w:szCs w:val="20"/>
                <w:color w:val="auto"/>
              </w:rPr>
            </w:pPr>
            <w:r>
              <w:rPr>
                <w:rFonts w:ascii="Arial" w:cs="Arial" w:eastAsia="Arial" w:hAnsi="Arial"/>
                <w:sz w:val="18"/>
                <w:szCs w:val="18"/>
                <w:color w:val="auto"/>
                <w:w w:val="87"/>
              </w:rPr>
              <w:t>$344, 381.00</w:t>
            </w:r>
          </w:p>
        </w:tc>
      </w:tr>
    </w:tbl>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6"/>
          <w:szCs w:val="16"/>
          <w:b w:val="1"/>
          <w:bCs w:val="1"/>
          <w:color w:val="auto"/>
        </w:rPr>
        <w:t>Piping</w:t>
      </w:r>
    </w:p>
    <w:p>
      <w:pPr>
        <w:spacing w:after="0" w:line="229" w:lineRule="exact"/>
        <w:rPr>
          <w:sz w:val="20"/>
          <w:szCs w:val="20"/>
          <w:color w:val="auto"/>
        </w:rPr>
      </w:pPr>
    </w:p>
    <w:p>
      <w:pPr>
        <w:ind w:left="620" w:right="520" w:hanging="620"/>
        <w:spacing w:after="0" w:line="277" w:lineRule="auto"/>
        <w:tabs>
          <w:tab w:leader="none" w:pos="6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Install vales to isolate systems before demolition. Demolish and remove all piping back to the isolation vales from the pit, loading dock, and large equipment areas.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Breakdown</w:t>
      </w:r>
    </w:p>
    <w:p>
      <w:pPr>
        <w:spacing w:after="0" w:line="225" w:lineRule="exact"/>
        <w:rPr>
          <w:sz w:val="20"/>
          <w:szCs w:val="20"/>
          <w:color w:val="auto"/>
        </w:rPr>
      </w:pPr>
    </w:p>
    <w:p>
      <w:pPr>
        <w:ind w:left="1340" w:hanging="347"/>
        <w:spacing w:after="0"/>
        <w:tabs>
          <w:tab w:leader="none" w:pos="134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Piping Work:</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ind w:left="1340"/>
              <w:spacing w:after="0"/>
              <w:rPr>
                <w:sz w:val="20"/>
                <w:szCs w:val="20"/>
                <w:color w:val="auto"/>
              </w:rPr>
            </w:pPr>
            <w:r>
              <w:rPr>
                <w:rFonts w:ascii="Arial" w:cs="Arial" w:eastAsia="Arial" w:hAnsi="Arial"/>
                <w:sz w:val="18"/>
                <w:szCs w:val="18"/>
                <w:color w:val="auto"/>
              </w:rPr>
              <w:t>Material:</w:t>
            </w:r>
          </w:p>
        </w:tc>
        <w:tc>
          <w:tcPr>
            <w:tcW w:w="900" w:type="dxa"/>
            <w:vAlign w:val="bottom"/>
          </w:tcPr>
          <w:p>
            <w:pPr>
              <w:spacing w:after="0"/>
              <w:rPr>
                <w:sz w:val="20"/>
                <w:szCs w:val="20"/>
                <w:color w:val="auto"/>
              </w:rPr>
            </w:pPr>
            <w:r>
              <w:rPr>
                <w:rFonts w:ascii="Arial" w:cs="Arial" w:eastAsia="Arial" w:hAnsi="Arial"/>
                <w:sz w:val="18"/>
                <w:szCs w:val="18"/>
                <w:color w:val="auto"/>
                <w:w w:val="92"/>
              </w:rPr>
              <w:t>$ 52,545.00</w:t>
            </w:r>
          </w:p>
        </w:tc>
        <w:tc>
          <w:tcPr>
            <w:tcW w:w="6400" w:type="dxa"/>
            <w:vAlign w:val="bottom"/>
          </w:tcPr>
          <w:p>
            <w:pPr>
              <w:spacing w:after="0"/>
              <w:rPr>
                <w:sz w:val="18"/>
                <w:szCs w:val="18"/>
                <w:color w:val="auto"/>
              </w:rPr>
            </w:pPr>
          </w:p>
        </w:tc>
      </w:tr>
      <w:tr>
        <w:trPr>
          <w:trHeight w:val="190"/>
        </w:trPr>
        <w:tc>
          <w:tcPr>
            <w:tcW w:w="3940" w:type="dxa"/>
            <w:vAlign w:val="bottom"/>
          </w:tcPr>
          <w:p>
            <w:pPr>
              <w:ind w:left="1340"/>
              <w:spacing w:after="0" w:line="190" w:lineRule="exact"/>
              <w:rPr>
                <w:sz w:val="20"/>
                <w:szCs w:val="20"/>
                <w:color w:val="auto"/>
              </w:rPr>
            </w:pPr>
            <w:r>
              <w:rPr>
                <w:rFonts w:ascii="Arial" w:cs="Arial" w:eastAsia="Arial" w:hAnsi="Arial"/>
                <w:sz w:val="18"/>
                <w:szCs w:val="18"/>
                <w:color w:val="auto"/>
              </w:rPr>
              <w:t>Labor:</w:t>
            </w:r>
          </w:p>
        </w:tc>
        <w:tc>
          <w:tcPr>
            <w:tcW w:w="9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437,205.00</w:t>
            </w:r>
          </w:p>
        </w:tc>
        <w:tc>
          <w:tcPr>
            <w:tcW w:w="6400" w:type="dxa"/>
            <w:vAlign w:val="bottom"/>
          </w:tcPr>
          <w:p>
            <w:pPr>
              <w:spacing w:after="0"/>
              <w:rPr>
                <w:sz w:val="16"/>
                <w:szCs w:val="16"/>
                <w:color w:val="auto"/>
              </w:rPr>
            </w:pPr>
          </w:p>
        </w:tc>
      </w:tr>
      <w:tr>
        <w:trPr>
          <w:trHeight w:val="453"/>
        </w:trPr>
        <w:tc>
          <w:tcPr>
            <w:tcW w:w="3940" w:type="dxa"/>
            <w:vAlign w:val="bottom"/>
          </w:tcPr>
          <w:p>
            <w:pPr>
              <w:ind w:left="134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r>
              <w:rPr>
                <w:rFonts w:ascii="Arial" w:cs="Arial" w:eastAsia="Arial" w:hAnsi="Arial"/>
                <w:sz w:val="18"/>
                <w:szCs w:val="18"/>
                <w:color w:val="auto"/>
                <w:w w:val="87"/>
              </w:rPr>
              <w:t>$489,750.00</w:t>
            </w:r>
          </w:p>
        </w:tc>
        <w:tc>
          <w:tcPr>
            <w:tcW w:w="6400" w:type="dxa"/>
            <w:vAlign w:val="bottom"/>
          </w:tcPr>
          <w:p>
            <w:pPr>
              <w:spacing w:after="0"/>
              <w:rPr>
                <w:sz w:val="24"/>
                <w:szCs w:val="24"/>
                <w:color w:val="auto"/>
              </w:rPr>
            </w:pPr>
          </w:p>
        </w:tc>
      </w:tr>
      <w:tr>
        <w:trPr>
          <w:trHeight w:val="911"/>
        </w:trPr>
        <w:tc>
          <w:tcPr>
            <w:tcW w:w="3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437" w:name="page438"/>
    <w:bookmarkEnd w:id="437"/>
    <w:p>
      <w:pPr>
        <w:spacing w:after="0"/>
        <w:tabs>
          <w:tab w:leader="none" w:pos="64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6"/>
          <w:szCs w:val="16"/>
          <w:b w:val="1"/>
          <w:bCs w:val="1"/>
          <w:color w:val="auto"/>
        </w:rPr>
        <w:t>General Conditions / Logistics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cost breakdown for this section is as follows:</w:t>
      </w:r>
    </w:p>
    <w:p>
      <w:pPr>
        <w:spacing w:after="0" w:line="23" w:lineRule="exact"/>
        <w:rPr>
          <w:sz w:val="20"/>
          <w:szCs w:val="20"/>
          <w:color w:val="auto"/>
        </w:rPr>
      </w:pPr>
    </w:p>
    <w:p>
      <w:pPr>
        <w:ind w:left="980" w:hanging="324"/>
        <w:spacing w:after="0"/>
        <w:tabs>
          <w:tab w:leader="none" w:pos="9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Project supervision includes a Project Manager, Superintendent, Asst. Field Superintendent and Safety Supervisor.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Engineering services for building steel for 3 dock doors and floor steel for furnace pit and turbine pit.</w:t>
      </w:r>
    </w:p>
    <w:p>
      <w:pPr>
        <w:spacing w:after="0" w:line="9" w:lineRule="exact"/>
        <w:rPr>
          <w:rFonts w:ascii="Arial" w:cs="Arial" w:eastAsia="Arial" w:hAnsi="Arial"/>
          <w:sz w:val="18"/>
          <w:szCs w:val="18"/>
          <w:color w:val="auto"/>
        </w:rPr>
      </w:pPr>
    </w:p>
    <w:p>
      <w:pPr>
        <w:ind w:left="980" w:right="2060" w:hanging="324"/>
        <w:spacing w:after="0" w:line="375" w:lineRule="auto"/>
        <w:tabs>
          <w:tab w:leader="none" w:pos="9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construction equipment for the project varies in duration according to the sequence of the work and includes: Included in King’s price: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(1) 10,000 lb. fork truck</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(4) 5,000 lb. fork trucks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(2) scissors lifts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(2) skid steers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(2) boom lifts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(2) mobile carts</w:t>
      </w:r>
    </w:p>
    <w:p>
      <w:pPr>
        <w:spacing w:after="0" w:line="9"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Other misc. items incudes; PPE/safety equipment, tools, office supplies/office equipment, communications, general labor, waste disposal, company trucks/fuel, etc.</w:t>
      </w:r>
    </w:p>
    <w:p>
      <w:pPr>
        <w:spacing w:after="0" w:line="185" w:lineRule="exact"/>
        <w:rPr>
          <w:sz w:val="20"/>
          <w:szCs w:val="20"/>
          <w:color w:val="auto"/>
        </w:rPr>
      </w:pPr>
    </w:p>
    <w:p>
      <w:pPr>
        <w:ind w:left="980"/>
        <w:spacing w:after="0"/>
        <w:tabs>
          <w:tab w:leader="none" w:pos="226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$554,550.00</w:t>
      </w:r>
    </w:p>
    <w:p>
      <w:pPr>
        <w:spacing w:after="0" w:line="225" w:lineRule="exact"/>
        <w:rPr>
          <w:sz w:val="20"/>
          <w:szCs w:val="20"/>
          <w:color w:val="auto"/>
        </w:rPr>
      </w:pPr>
    </w:p>
    <w:p>
      <w:pPr>
        <w:ind w:left="980" w:hanging="324"/>
        <w:spacing w:after="0"/>
        <w:tabs>
          <w:tab w:leader="none" w:pos="9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Included in the concrete contractor’s price: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(2) two trackhoes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(3) bobcats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(2) small dump trucks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(up to 5) tri-axle dump trucks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(1) compactor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 small compactors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(1) 330 CAT trackhoe &amp; hydraulic breaker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(1) small crane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 man lifts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 concrete pump trucks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6"/>
          <w:szCs w:val="16"/>
          <w:b w:val="1"/>
          <w:bCs w:val="1"/>
          <w:color w:val="auto"/>
        </w:rPr>
        <w:t>Supplemental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pricing for this quotation is based on the following:</w:t>
      </w:r>
    </w:p>
    <w:p>
      <w:pPr>
        <w:spacing w:after="0" w:line="225" w:lineRule="exact"/>
        <w:rPr>
          <w:sz w:val="20"/>
          <w:szCs w:val="20"/>
          <w:color w:val="auto"/>
        </w:rPr>
      </w:pPr>
    </w:p>
    <w:p>
      <w:pPr>
        <w:ind w:left="980" w:hanging="324"/>
        <w:spacing w:after="0"/>
        <w:tabs>
          <w:tab w:leader="none" w:pos="9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workweek is 6 days per week, 10 hours per day. Sundays and holidays are non-work days.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Manpower “average crew size” by trade:</w:t>
      </w:r>
    </w:p>
    <w:p>
      <w:pPr>
        <w:spacing w:after="0" w:line="23" w:lineRule="exact"/>
        <w:rPr>
          <w:rFonts w:ascii="Arial" w:cs="Arial" w:eastAsia="Arial" w:hAnsi="Arial"/>
          <w:sz w:val="18"/>
          <w:szCs w:val="18"/>
          <w:color w:val="auto"/>
        </w:rPr>
      </w:pPr>
    </w:p>
    <w:p>
      <w:pPr>
        <w:ind w:left="1080" w:hanging="100"/>
        <w:spacing w:after="0"/>
        <w:tabs>
          <w:tab w:leader="none" w:pos="10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Ironworker/Sheet Metal Workers: 6</w:t>
      </w:r>
    </w:p>
    <w:p>
      <w:pPr>
        <w:spacing w:after="0" w:line="9" w:lineRule="exact"/>
        <w:rPr>
          <w:rFonts w:ascii="Arial" w:cs="Arial" w:eastAsia="Arial" w:hAnsi="Arial"/>
          <w:sz w:val="18"/>
          <w:szCs w:val="18"/>
          <w:color w:val="auto"/>
        </w:rPr>
      </w:pPr>
    </w:p>
    <w:p>
      <w:pPr>
        <w:ind w:left="1080" w:hanging="100"/>
        <w:spacing w:after="0"/>
        <w:tabs>
          <w:tab w:leader="none" w:pos="10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Pipefitters: 6</w:t>
      </w:r>
    </w:p>
    <w:p>
      <w:pPr>
        <w:spacing w:after="0" w:line="9" w:lineRule="exact"/>
        <w:rPr>
          <w:rFonts w:ascii="Arial" w:cs="Arial" w:eastAsia="Arial" w:hAnsi="Arial"/>
          <w:sz w:val="18"/>
          <w:szCs w:val="18"/>
          <w:color w:val="auto"/>
        </w:rPr>
      </w:pPr>
    </w:p>
    <w:p>
      <w:pPr>
        <w:ind w:left="1080" w:hanging="100"/>
        <w:spacing w:after="0"/>
        <w:tabs>
          <w:tab w:leader="none" w:pos="10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Concrete Workers:13 (Additional manpower during demo of vacuum chamber)</w:t>
      </w:r>
    </w:p>
    <w:p>
      <w:pPr>
        <w:spacing w:after="0" w:line="9" w:lineRule="exact"/>
        <w:rPr>
          <w:rFonts w:ascii="Arial" w:cs="Arial" w:eastAsia="Arial" w:hAnsi="Arial"/>
          <w:sz w:val="18"/>
          <w:szCs w:val="18"/>
          <w:color w:val="auto"/>
        </w:rPr>
      </w:pPr>
    </w:p>
    <w:p>
      <w:pPr>
        <w:ind w:left="1080" w:hanging="100"/>
        <w:spacing w:after="0"/>
        <w:tabs>
          <w:tab w:leader="none" w:pos="10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Overhead Crane Operator: 1</w:t>
      </w:r>
    </w:p>
    <w:p>
      <w:pPr>
        <w:spacing w:after="0" w:line="9" w:lineRule="exact"/>
        <w:rPr>
          <w:rFonts w:ascii="Arial" w:cs="Arial" w:eastAsia="Arial" w:hAnsi="Arial"/>
          <w:sz w:val="18"/>
          <w:szCs w:val="18"/>
          <w:color w:val="auto"/>
        </w:rPr>
      </w:pPr>
    </w:p>
    <w:p>
      <w:pPr>
        <w:ind w:left="1080" w:hanging="100"/>
        <w:spacing w:after="0"/>
        <w:tabs>
          <w:tab w:leader="none" w:pos="10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General Labor: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438" w:name="page439"/>
    <w:bookmarkEnd w:id="438"/>
    <w:p>
      <w:pPr>
        <w:ind w:left="800" w:hanging="333"/>
        <w:spacing w:after="0"/>
        <w:tabs>
          <w:tab w:leader="none" w:pos="8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Project Manhours by category:</w:t>
      </w:r>
    </w:p>
    <w:p>
      <w:pPr>
        <w:spacing w:after="0" w:line="23" w:lineRule="exact"/>
        <w:rPr>
          <w:sz w:val="20"/>
          <w:szCs w:val="20"/>
          <w:color w:val="auto"/>
        </w:rPr>
      </w:pPr>
    </w:p>
    <w:tbl>
      <w:tblPr>
        <w:tblLayout w:type="fixed"/>
        <w:tblInd w:w="800" w:type="dxa"/>
        <w:tblCellMar>
          <w:top w:w="0" w:type="dxa"/>
          <w:left w:w="0" w:type="dxa"/>
          <w:bottom w:w="0" w:type="dxa"/>
          <w:right w:w="0" w:type="dxa"/>
        </w:tblCellMar>
      </w:tblP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 Supervision:</w:t>
            </w:r>
          </w:p>
        </w:tc>
        <w:tc>
          <w:tcPr>
            <w:tcW w:w="900" w:type="dxa"/>
            <w:vAlign w:val="bottom"/>
          </w:tcPr>
          <w:p>
            <w:pPr>
              <w:ind w:left="420"/>
              <w:spacing w:after="0"/>
              <w:rPr>
                <w:sz w:val="20"/>
                <w:szCs w:val="20"/>
                <w:color w:val="auto"/>
              </w:rPr>
            </w:pPr>
            <w:r>
              <w:rPr>
                <w:rFonts w:ascii="Arial" w:cs="Arial" w:eastAsia="Arial" w:hAnsi="Arial"/>
                <w:sz w:val="18"/>
                <w:szCs w:val="18"/>
                <w:color w:val="auto"/>
              </w:rPr>
              <w:t>5,150</w:t>
            </w: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 Ironworkers/SM Workers:</w:t>
            </w:r>
          </w:p>
        </w:tc>
        <w:tc>
          <w:tcPr>
            <w:tcW w:w="900" w:type="dxa"/>
            <w:vAlign w:val="bottom"/>
          </w:tcPr>
          <w:p>
            <w:pPr>
              <w:ind w:left="420"/>
              <w:spacing w:after="0"/>
              <w:rPr>
                <w:sz w:val="20"/>
                <w:szCs w:val="20"/>
                <w:color w:val="auto"/>
              </w:rPr>
            </w:pPr>
            <w:r>
              <w:rPr>
                <w:rFonts w:ascii="Arial" w:cs="Arial" w:eastAsia="Arial" w:hAnsi="Arial"/>
                <w:sz w:val="18"/>
                <w:szCs w:val="18"/>
                <w:color w:val="auto"/>
              </w:rPr>
              <w:t>7,200</w:t>
            </w: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 Pipefitters:</w:t>
            </w:r>
          </w:p>
        </w:tc>
        <w:tc>
          <w:tcPr>
            <w:tcW w:w="900" w:type="dxa"/>
            <w:vAlign w:val="bottom"/>
          </w:tcPr>
          <w:p>
            <w:pPr>
              <w:ind w:left="420"/>
              <w:spacing w:after="0"/>
              <w:rPr>
                <w:sz w:val="20"/>
                <w:szCs w:val="20"/>
                <w:color w:val="auto"/>
              </w:rPr>
            </w:pPr>
            <w:r>
              <w:rPr>
                <w:rFonts w:ascii="Arial" w:cs="Arial" w:eastAsia="Arial" w:hAnsi="Arial"/>
                <w:sz w:val="18"/>
                <w:szCs w:val="18"/>
                <w:color w:val="auto"/>
              </w:rPr>
              <w:t>6,450</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 Concrete Workers:</w:t>
            </w:r>
          </w:p>
        </w:tc>
        <w:tc>
          <w:tcPr>
            <w:tcW w:w="900" w:type="dxa"/>
            <w:vAlign w:val="bottom"/>
          </w:tcPr>
          <w:p>
            <w:pPr>
              <w:ind w:left="420"/>
              <w:spacing w:after="0"/>
              <w:rPr>
                <w:sz w:val="20"/>
                <w:szCs w:val="20"/>
                <w:color w:val="auto"/>
              </w:rPr>
            </w:pPr>
            <w:r>
              <w:rPr>
                <w:rFonts w:ascii="Arial" w:cs="Arial" w:eastAsia="Arial" w:hAnsi="Arial"/>
                <w:sz w:val="18"/>
                <w:szCs w:val="18"/>
                <w:color w:val="auto"/>
                <w:w w:val="83"/>
              </w:rPr>
              <w:t>16,000</w:t>
            </w: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 OH Crane Operator:</w:t>
            </w:r>
          </w:p>
        </w:tc>
        <w:tc>
          <w:tcPr>
            <w:tcW w:w="900" w:type="dxa"/>
            <w:vAlign w:val="bottom"/>
          </w:tcPr>
          <w:p>
            <w:pPr>
              <w:ind w:left="420"/>
              <w:spacing w:after="0"/>
              <w:rPr>
                <w:sz w:val="20"/>
                <w:szCs w:val="20"/>
                <w:color w:val="auto"/>
              </w:rPr>
            </w:pPr>
            <w:r>
              <w:rPr>
                <w:rFonts w:ascii="Arial" w:cs="Arial" w:eastAsia="Arial" w:hAnsi="Arial"/>
                <w:sz w:val="18"/>
                <w:szCs w:val="18"/>
                <w:color w:val="auto"/>
              </w:rPr>
              <w:t>1,290</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 Laborer:</w:t>
            </w:r>
          </w:p>
        </w:tc>
        <w:tc>
          <w:tcPr>
            <w:tcW w:w="900" w:type="dxa"/>
            <w:vAlign w:val="bottom"/>
          </w:tcPr>
          <w:p>
            <w:pPr>
              <w:ind w:left="420"/>
              <w:spacing w:after="0"/>
              <w:rPr>
                <w:sz w:val="20"/>
                <w:szCs w:val="20"/>
                <w:color w:val="auto"/>
              </w:rPr>
            </w:pPr>
            <w:r>
              <w:rPr>
                <w:rFonts w:ascii="Arial" w:cs="Arial" w:eastAsia="Arial" w:hAnsi="Arial"/>
                <w:sz w:val="18"/>
                <w:szCs w:val="18"/>
                <w:color w:val="auto"/>
              </w:rPr>
              <w:t>1,290</w:t>
            </w:r>
          </w:p>
        </w:tc>
      </w:tr>
      <w:tr>
        <w:trPr>
          <w:trHeight w:val="459"/>
        </w:trPr>
        <w:tc>
          <w:tcPr>
            <w:tcW w:w="2400" w:type="dxa"/>
            <w:vAlign w:val="bottom"/>
          </w:tcPr>
          <w:p>
            <w:pPr>
              <w:spacing w:after="0"/>
              <w:rPr>
                <w:sz w:val="20"/>
                <w:szCs w:val="20"/>
                <w:color w:val="auto"/>
              </w:rPr>
            </w:pPr>
            <w:r>
              <w:rPr>
                <w:rFonts w:ascii="Arial" w:cs="Arial" w:eastAsia="Arial" w:hAnsi="Arial"/>
                <w:sz w:val="18"/>
                <w:szCs w:val="18"/>
                <w:color w:val="auto"/>
              </w:rPr>
              <w:t>Total Manhours:</w:t>
            </w:r>
          </w:p>
        </w:tc>
        <w:tc>
          <w:tcPr>
            <w:tcW w:w="900" w:type="dxa"/>
            <w:vAlign w:val="bottom"/>
          </w:tcPr>
          <w:p>
            <w:pPr>
              <w:ind w:left="420"/>
              <w:spacing w:after="0"/>
              <w:rPr>
                <w:sz w:val="20"/>
                <w:szCs w:val="20"/>
                <w:color w:val="auto"/>
              </w:rPr>
            </w:pPr>
            <w:r>
              <w:rPr>
                <w:rFonts w:ascii="Arial" w:cs="Arial" w:eastAsia="Arial" w:hAnsi="Arial"/>
                <w:sz w:val="18"/>
                <w:szCs w:val="18"/>
                <w:color w:val="auto"/>
                <w:w w:val="83"/>
              </w:rPr>
              <w:t>37,380</w:t>
            </w:r>
          </w:p>
        </w:tc>
      </w:tr>
    </w:tbl>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above total does not include hours for incidental 3rd tier subs or service providers)</w:t>
      </w:r>
    </w:p>
    <w:p>
      <w:pPr>
        <w:spacing w:after="0" w:line="225" w:lineRule="exact"/>
        <w:rPr>
          <w:sz w:val="20"/>
          <w:szCs w:val="20"/>
          <w:color w:val="auto"/>
        </w:rPr>
      </w:pPr>
    </w:p>
    <w:p>
      <w:pPr>
        <w:ind w:left="800" w:hanging="333"/>
        <w:spacing w:after="0"/>
        <w:tabs>
          <w:tab w:leader="none" w:pos="8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Estimated material by concrete contractor:</w:t>
      </w:r>
    </w:p>
    <w:p>
      <w:pPr>
        <w:spacing w:after="0" w:line="23" w:lineRule="exact"/>
        <w:rPr>
          <w:rFonts w:ascii="Arial" w:cs="Arial" w:eastAsia="Arial" w:hAnsi="Arial"/>
          <w:sz w:val="18"/>
          <w:szCs w:val="18"/>
          <w:color w:val="auto"/>
        </w:rPr>
      </w:pPr>
    </w:p>
    <w:p>
      <w:pPr>
        <w:ind w:left="1020" w:hanging="216"/>
        <w:spacing w:after="0"/>
        <w:tabs>
          <w:tab w:leader="none" w:pos="10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1,400 CY Concrete</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17,966 Tons of Stone</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74,000 lbs. Rebar Reinforcement</w:t>
      </w:r>
    </w:p>
    <w:p>
      <w:pPr>
        <w:spacing w:after="0" w:line="210" w:lineRule="exact"/>
        <w:rPr>
          <w:rFonts w:ascii="Arial" w:cs="Arial" w:eastAsia="Arial" w:hAnsi="Arial"/>
          <w:sz w:val="18"/>
          <w:szCs w:val="18"/>
          <w:color w:val="auto"/>
        </w:rPr>
      </w:pPr>
    </w:p>
    <w:p>
      <w:pPr>
        <w:ind w:left="800" w:hanging="333"/>
        <w:spacing w:after="0"/>
        <w:tabs>
          <w:tab w:leader="none" w:pos="8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Attachments to this quotation:</w:t>
      </w:r>
    </w:p>
    <w:p>
      <w:pPr>
        <w:spacing w:after="0" w:line="23" w:lineRule="exact"/>
        <w:rPr>
          <w:rFonts w:ascii="Arial" w:cs="Arial" w:eastAsia="Arial" w:hAnsi="Arial"/>
          <w:sz w:val="18"/>
          <w:szCs w:val="18"/>
          <w:color w:val="auto"/>
        </w:rPr>
      </w:pPr>
    </w:p>
    <w:p>
      <w:pPr>
        <w:ind w:left="1020" w:hanging="216"/>
        <w:spacing w:after="0"/>
        <w:tabs>
          <w:tab w:leader="none" w:pos="10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Construction / Payment and Progress, Schedules</w:t>
      </w:r>
    </w:p>
    <w:p>
      <w:pPr>
        <w:spacing w:after="0" w:line="9" w:lineRule="exact"/>
        <w:rPr>
          <w:rFonts w:ascii="Arial" w:cs="Arial" w:eastAsia="Arial" w:hAnsi="Arial"/>
          <w:sz w:val="18"/>
          <w:szCs w:val="18"/>
          <w:color w:val="auto"/>
        </w:rPr>
      </w:pPr>
    </w:p>
    <w:p>
      <w:pPr>
        <w:ind w:left="1020" w:hanging="216"/>
        <w:spacing w:after="0"/>
        <w:tabs>
          <w:tab w:leader="none" w:pos="10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Labor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the opportunity to work with you on this project. If you have any questions, please contact 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Tony Watson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Tony Watson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(423) 421-9947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Price Exclusion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Encountering or relocation of subsurface utilities, and dewatering due to springs or other underground water sources. Encountering subterranean material such as; rock, foundations or muck.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Work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additional work or services shall be performed outside the scope of work without the prior written authorization (Change Order) of the Purchaser. Any such authorization shall be duly executed on a change order form, approved by both parties, which shall become a part of the contract. Where such additional work is added to this contract, it is agreed that all terms and conditions of these terms and conditions shall apply equally to such additional work or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Schedule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King Industries shall be entitled to additional compensation for changes in the construction schedule made by the Owner/Purchaser or third party which causes additional project cost in the form of an extension or reduction of the construction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color w:val="auto"/>
        </w:rPr>
        <w:t>Delays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time during which King Industries is delayed in its work by (a) the acts of Owner, Purchaser or his agents or employees or those claiming under agreement with or grant from Owner/Purchaser, or by (b) the Acts of God which King Industries could not have reasonably foreseen and provided against, or by (c) stormy or inclement weather which necessarily delays the work, or by (d) any strikes, boycotts or like obstructive actions by employees or labor organizations and which are beyond the control of King Industries and which cannot be reasonably overcome, or by (e) extra work requested by the Purchaser, or by (f) Purchaser supplied material or equipment not on site and/or ready for installation according to King Industries planned construction sequence, or (g) Force Majeure; shall be added to the time for completion or by a fair and reasonable allowance. King Industries’ construction schedule is based on a continuity of installation work that is not impaired by completion of work by the Purchaser or his contractors or subcontractors; Purchaser’s / Owners plant operation scheduling, tie in scheduling, work or safety permits, and drawing approvals for construction, or similar delays. If through no fault of King Industries the work is delayed or postponed the Purchaser shall reimburse King Industries for all additional costs, from such delays or postponements.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Payment Terms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Payment terms are according to the down payment and progress payments are due as provided in the payment/SOV schedule agreed to by the parties. This serves as notice in any state where prior notification is required of King Industries’ intent to exercise its lien rights in the event of nonpayment. All past due amounts are subject to a service charge of 1 1/2% per month or the maximum rate allowed by state law plus costs of collection including attorney fees if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440" w:name="page441"/>
    <w:bookmarkEnd w:id="440"/>
    <w:p>
      <w:pPr>
        <w:jc w:val="center"/>
        <w:ind w:right="19"/>
        <w:spacing w:after="0"/>
        <w:rPr>
          <w:sz w:val="20"/>
          <w:szCs w:val="20"/>
          <w:color w:val="auto"/>
        </w:rPr>
      </w:pPr>
      <w:r>
        <w:rPr>
          <w:rFonts w:ascii="Arial" w:cs="Arial" w:eastAsia="Arial" w:hAnsi="Arial"/>
          <w:sz w:val="18"/>
          <w:szCs w:val="18"/>
          <w:b w:val="1"/>
          <w:bCs w:val="1"/>
          <w:u w:val="single" w:color="auto"/>
          <w:color w:val="auto"/>
        </w:rPr>
        <w:t>SCHEDULE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SPECIFIED EQUIPMENT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 hereto)</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XII-1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41" w:name="page442"/>
    <w:bookmarkEnd w:id="441"/>
    <w:tbl>
      <w:tblPr>
        <w:tblLayout w:type="fixed"/>
        <w:tblInd w:w="1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Strictly private &amp; confidential</w:t>
            </w:r>
          </w:p>
        </w:tc>
        <w:tc>
          <w:tcPr>
            <w:tcW w:w="2360" w:type="dxa"/>
            <w:vAlign w:val="bottom"/>
          </w:tcPr>
          <w:p>
            <w:pPr>
              <w:spacing w:after="0"/>
              <w:rPr>
                <w:sz w:val="20"/>
                <w:szCs w:val="20"/>
                <w:color w:val="auto"/>
              </w:rPr>
            </w:pPr>
          </w:p>
        </w:tc>
        <w:tc>
          <w:tcPr>
            <w:tcW w:w="5840" w:type="dxa"/>
            <w:vAlign w:val="bottom"/>
            <w:gridSpan w:val="5"/>
          </w:tcPr>
          <w:p>
            <w:pPr>
              <w:ind w:left="2000"/>
              <w:spacing w:after="0"/>
              <w:rPr>
                <w:sz w:val="20"/>
                <w:szCs w:val="20"/>
                <w:color w:val="auto"/>
              </w:rPr>
            </w:pPr>
            <w:r>
              <w:rPr>
                <w:rFonts w:ascii="Arial" w:cs="Arial" w:eastAsia="Arial" w:hAnsi="Arial"/>
                <w:sz w:val="18"/>
                <w:szCs w:val="18"/>
                <w:b w:val="1"/>
                <w:bCs w:val="1"/>
                <w:color w:val="auto"/>
                <w:w w:val="88"/>
              </w:rPr>
              <w:t>Not a commitment – For discussion purposes only</w:t>
            </w:r>
          </w:p>
        </w:tc>
        <w:tc>
          <w:tcPr>
            <w:tcW w:w="0" w:type="dxa"/>
            <w:vAlign w:val="bottom"/>
          </w:tcPr>
          <w:p>
            <w:pPr>
              <w:spacing w:after="0"/>
              <w:rPr>
                <w:sz w:val="1"/>
                <w:szCs w:val="1"/>
                <w:color w:val="auto"/>
              </w:rPr>
            </w:pPr>
          </w:p>
        </w:tc>
      </w:tr>
      <w:tr>
        <w:trPr>
          <w:trHeight w:val="407"/>
        </w:trPr>
        <w:tc>
          <w:tcPr>
            <w:tcW w:w="70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4720" w:type="dxa"/>
            <w:vAlign w:val="bottom"/>
            <w:tcBorders>
              <w:top w:val="single" w:sz="8" w:color="auto"/>
            </w:tcBorders>
            <w:gridSpan w:val="2"/>
          </w:tcPr>
          <w:p>
            <w:pPr>
              <w:jc w:val="center"/>
              <w:ind w:left="310"/>
              <w:spacing w:after="0"/>
              <w:rPr>
                <w:sz w:val="20"/>
                <w:szCs w:val="20"/>
                <w:color w:val="auto"/>
              </w:rPr>
            </w:pPr>
            <w:r>
              <w:rPr>
                <w:rFonts w:ascii="Arial" w:cs="Arial" w:eastAsia="Arial" w:hAnsi="Arial"/>
                <w:sz w:val="18"/>
                <w:szCs w:val="18"/>
                <w:b w:val="1"/>
                <w:bCs w:val="1"/>
                <w:color w:val="auto"/>
                <w:w w:val="90"/>
              </w:rPr>
              <w:t>Novonix Chattanooga</w:t>
            </w:r>
          </w:p>
        </w:tc>
        <w:tc>
          <w:tcPr>
            <w:tcW w:w="1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72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90"/>
              </w:rPr>
              <w:t>Up to $30,100,000 Fixed Rate Financing</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72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89"/>
              </w:rPr>
              <w:t>Schedule B – Equipment Schedule</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00" w:type="dxa"/>
            <w:vAlign w:val="bottom"/>
            <w:tcBorders>
              <w:left w:val="single" w:sz="8" w:color="auto"/>
              <w:right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Item</w:t>
            </w:r>
          </w:p>
        </w:tc>
        <w:tc>
          <w:tcPr>
            <w:tcW w:w="236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Vendor</w:t>
            </w:r>
          </w:p>
        </w:tc>
        <w:tc>
          <w:tcPr>
            <w:tcW w:w="236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Item Name</w:t>
            </w:r>
          </w:p>
        </w:tc>
        <w:tc>
          <w:tcPr>
            <w:tcW w:w="236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Purpose</w:t>
            </w:r>
          </w:p>
        </w:tc>
        <w:tc>
          <w:tcPr>
            <w:tcW w:w="112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Quantity</w:t>
            </w:r>
          </w:p>
        </w:tc>
        <w:tc>
          <w:tcPr>
            <w:tcW w:w="8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Estimated</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23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Commission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w:t>
            </w:r>
          </w:p>
        </w:tc>
        <w:tc>
          <w:tcPr>
            <w:tcW w:w="2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Harper</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Generation 2 Furnace</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Heats Precursor material to</w:t>
            </w:r>
          </w:p>
        </w:tc>
        <w:tc>
          <w:tcPr>
            <w:tcW w:w="11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above 2700 *C</w:t>
            </w: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2</w:t>
            </w:r>
          </w:p>
        </w:tc>
        <w:tc>
          <w:tcPr>
            <w:tcW w:w="2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Neuman &amp; Esser</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Grinding Mill</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3"/>
              </w:rPr>
              <w:t>Sizes precursor material to be</w:t>
            </w:r>
          </w:p>
        </w:tc>
        <w:tc>
          <w:tcPr>
            <w:tcW w:w="11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ready for us in furnace</w:t>
            </w: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w:t>
            </w:r>
          </w:p>
        </w:tc>
        <w:tc>
          <w:tcPr>
            <w:tcW w:w="2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Neuman &amp; Esser</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Shaping Mill</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6"/>
              </w:rPr>
              <w:t>Shapes precursor material to</w:t>
            </w:r>
          </w:p>
        </w:tc>
        <w:tc>
          <w:tcPr>
            <w:tcW w:w="11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achieve desired performance</w:t>
            </w: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criteria</w:t>
            </w: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w:t>
            </w:r>
          </w:p>
        </w:tc>
        <w:tc>
          <w:tcPr>
            <w:tcW w:w="2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Neuman &amp; Esser</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Mill to Mill Tube Chain</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Transfer material from mill to</w:t>
            </w:r>
          </w:p>
        </w:tc>
        <w:tc>
          <w:tcPr>
            <w:tcW w:w="11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Transfer</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mill</w:t>
            </w: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w:t>
            </w:r>
          </w:p>
        </w:tc>
        <w:tc>
          <w:tcPr>
            <w:tcW w:w="2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Flexicon</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ICX 150 Grinding Mill</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Feeds precursor material into</w:t>
            </w:r>
          </w:p>
        </w:tc>
        <w:tc>
          <w:tcPr>
            <w:tcW w:w="11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Feeder</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grinding mill</w:t>
            </w: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6</w:t>
            </w:r>
          </w:p>
        </w:tc>
        <w:tc>
          <w:tcPr>
            <w:tcW w:w="2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King</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Platform for Generation 2</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7"/>
              </w:rPr>
              <w:t>Equipment to secure furnace</w:t>
            </w:r>
          </w:p>
        </w:tc>
        <w:tc>
          <w:tcPr>
            <w:tcW w:w="11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Furnace</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place</w:t>
            </w: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7</w:t>
            </w:r>
          </w:p>
        </w:tc>
        <w:tc>
          <w:tcPr>
            <w:tcW w:w="2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King</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Platform for Grinding Mill</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Equipment to secure mill in</w:t>
            </w:r>
          </w:p>
        </w:tc>
        <w:tc>
          <w:tcPr>
            <w:tcW w:w="11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place</w:t>
            </w: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8</w:t>
            </w:r>
          </w:p>
        </w:tc>
        <w:tc>
          <w:tcPr>
            <w:tcW w:w="23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King</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Platform for Shaping Mill</w:t>
            </w:r>
          </w:p>
        </w:tc>
        <w:tc>
          <w:tcPr>
            <w:tcW w:w="23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Equipment to secure mill in</w:t>
            </w:r>
          </w:p>
        </w:tc>
        <w:tc>
          <w:tcPr>
            <w:tcW w:w="11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March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place</w:t>
            </w:r>
          </w:p>
        </w:tc>
        <w:tc>
          <w:tcPr>
            <w:tcW w:w="11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23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0"/>
        </w:trPr>
        <w:tc>
          <w:tcPr>
            <w:tcW w:w="7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-1010920</wp:posOffset>
            </wp:positionV>
            <wp:extent cx="2571750" cy="51435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2" w:name="page443"/>
    <w:bookmarkEnd w:id="442"/>
    <w:p>
      <w:pPr>
        <w:jc w:val="center"/>
        <w:ind w:right="312"/>
        <w:spacing w:after="0"/>
        <w:rPr>
          <w:sz w:val="20"/>
          <w:szCs w:val="20"/>
          <w:color w:val="auto"/>
        </w:rPr>
      </w:pPr>
      <w:r>
        <w:rPr>
          <w:rFonts w:ascii="Arial" w:cs="Arial" w:eastAsia="Arial" w:hAnsi="Arial"/>
          <w:sz w:val="18"/>
          <w:szCs w:val="18"/>
          <w:b w:val="1"/>
          <w:bCs w:val="1"/>
          <w:u w:val="single" w:color="auto"/>
          <w:color w:val="auto"/>
        </w:rPr>
        <w:t>SCHEDULE XIII</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u w:val="single" w:color="auto"/>
          <w:color w:val="auto"/>
        </w:rPr>
        <w:t>ADDITIONAL OEPRATIONS AGREEMENTS</w:t>
      </w:r>
    </w:p>
    <w:p>
      <w:pPr>
        <w:spacing w:after="0" w:line="229" w:lineRule="exact"/>
        <w:rPr>
          <w:sz w:val="20"/>
          <w:szCs w:val="20"/>
          <w:color w:val="auto"/>
        </w:rPr>
      </w:pPr>
    </w:p>
    <w:p>
      <w:pPr>
        <w:ind w:left="328" w:right="20" w:hanging="328"/>
        <w:spacing w:after="0" w:line="277" w:lineRule="auto"/>
        <w:tabs>
          <w:tab w:leader="none" w:pos="328" w:val="left"/>
        </w:tabs>
        <w:numPr>
          <w:ilvl w:val="0"/>
          <w:numId w:val="468"/>
        </w:numPr>
        <w:rPr>
          <w:rFonts w:ascii="Arial" w:cs="Arial" w:eastAsia="Arial" w:hAnsi="Arial"/>
          <w:sz w:val="18"/>
          <w:szCs w:val="18"/>
          <w:color w:val="auto"/>
        </w:rPr>
      </w:pPr>
      <w:r>
        <w:rPr>
          <w:rFonts w:ascii="Arial" w:cs="Arial" w:eastAsia="Arial" w:hAnsi="Arial"/>
          <w:sz w:val="18"/>
          <w:szCs w:val="18"/>
          <w:color w:val="auto"/>
        </w:rPr>
        <w:t>Brownfield Voluntary Agreement for Site Number 33-762, dated as of March 4, 2018, by and between the Tennessee Department of Environment and Conservation and Alstom Power, Inc., a wholly owned subsidiary of General Electric.</w:t>
      </w:r>
    </w:p>
    <w:p>
      <w:pPr>
        <w:spacing w:after="0" w:line="170"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468"/>
        </w:numPr>
        <w:rPr>
          <w:rFonts w:ascii="Arial" w:cs="Arial" w:eastAsia="Arial" w:hAnsi="Arial"/>
          <w:sz w:val="18"/>
          <w:szCs w:val="18"/>
          <w:color w:val="auto"/>
        </w:rPr>
      </w:pPr>
      <w:r>
        <w:rPr>
          <w:rFonts w:ascii="Arial" w:cs="Arial" w:eastAsia="Arial" w:hAnsi="Arial"/>
          <w:sz w:val="18"/>
          <w:szCs w:val="18"/>
          <w:color w:val="auto"/>
        </w:rPr>
        <w:t>Notice of Land Use Restrictions, dated on or about May 25, 2018 and recorded in the Hamilton County Register of Deeds on May 31, 2018, by the Tennessee Department of Environment and Conservation Division of Remediation and Alstom Power, Inc., a wholly owned subsidiary of General Electric.</w:t>
      </w:r>
    </w:p>
    <w:p>
      <w:pPr>
        <w:spacing w:after="0" w:line="173" w:lineRule="exact"/>
        <w:rPr>
          <w:rFonts w:ascii="Arial" w:cs="Arial" w:eastAsia="Arial" w:hAnsi="Arial"/>
          <w:sz w:val="18"/>
          <w:szCs w:val="18"/>
          <w:color w:val="auto"/>
        </w:rPr>
      </w:pPr>
    </w:p>
    <w:p>
      <w:pPr>
        <w:jc w:val="both"/>
        <w:ind w:left="328" w:hanging="328"/>
        <w:spacing w:after="0" w:line="215" w:lineRule="auto"/>
        <w:tabs>
          <w:tab w:leader="none" w:pos="328"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Affirmation of Environmental Covenants, dated as of May 30</w:t>
      </w:r>
      <w:r>
        <w:rPr>
          <w:rFonts w:ascii="Arial" w:cs="Arial" w:eastAsia="Arial" w:hAnsi="Arial"/>
          <w:sz w:val="29"/>
          <w:szCs w:val="29"/>
          <w:color w:val="auto"/>
          <w:vertAlign w:val="superscript"/>
        </w:rPr>
        <w:t>th</w:t>
      </w:r>
      <w:r>
        <w:rPr>
          <w:rFonts w:ascii="Arial" w:cs="Arial" w:eastAsia="Arial" w:hAnsi="Arial"/>
          <w:sz w:val="18"/>
          <w:szCs w:val="18"/>
          <w:color w:val="auto"/>
        </w:rPr>
        <w:t>, 2018 and recorded in the Hamilton County Register of Deeds on May 31, 2018, by West End Property II, LLC, a Tennessee limited liability company, for the benefit of Alston Power Turbomachines LLC, a Delaware limited liability company.</w:t>
      </w:r>
    </w:p>
    <w:p>
      <w:pPr>
        <w:spacing w:after="0" w:line="204"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468"/>
        </w:numPr>
        <w:rPr>
          <w:rFonts w:ascii="Arial" w:cs="Arial" w:eastAsia="Arial" w:hAnsi="Arial"/>
          <w:sz w:val="18"/>
          <w:szCs w:val="18"/>
          <w:color w:val="auto"/>
        </w:rPr>
      </w:pPr>
      <w:r>
        <w:rPr>
          <w:rFonts w:ascii="Arial" w:cs="Arial" w:eastAsia="Arial" w:hAnsi="Arial"/>
          <w:sz w:val="18"/>
          <w:szCs w:val="18"/>
          <w:color w:val="auto"/>
        </w:rPr>
        <w:t>Supplemental Agreement, dated as of November 5, 2019 and recorded in the Hamilton County Register of Deeds on November 6, 2019, by and between West End Property II, LLC, a Tennessee limited liability company and R&amp;S, LLC, a Delaware limited liability company (the “</w:t>
      </w:r>
      <w:r>
        <w:rPr>
          <w:rFonts w:ascii="Arial" w:cs="Arial" w:eastAsia="Arial" w:hAnsi="Arial"/>
          <w:sz w:val="18"/>
          <w:szCs w:val="18"/>
          <w:b w:val="1"/>
          <w:bCs w:val="1"/>
          <w:color w:val="auto"/>
        </w:rPr>
        <w:t>West End</w:t>
      </w:r>
      <w:r>
        <w:rPr>
          <w:rFonts w:ascii="Arial" w:cs="Arial" w:eastAsia="Arial" w:hAnsi="Arial"/>
          <w:sz w:val="18"/>
          <w:szCs w:val="18"/>
          <w:color w:val="auto"/>
        </w:rPr>
        <w:t xml:space="preserve"> </w:t>
      </w:r>
      <w:r>
        <w:rPr>
          <w:rFonts w:ascii="Arial" w:cs="Arial" w:eastAsia="Arial" w:hAnsi="Arial"/>
          <w:sz w:val="18"/>
          <w:szCs w:val="18"/>
          <w:b w:val="1"/>
          <w:bCs w:val="1"/>
          <w:color w:val="auto"/>
        </w:rPr>
        <w:t>Supplemental Agreement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Agreement Concerning Environmental Documents and Fees, dated as of the date hereof, by and between West End Property II, LLC, a Tennessee limited liability company and PUREgraphite LLC, a Delaware limited liability company.</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68"/>
        </w:numPr>
        <w:rPr>
          <w:rFonts w:ascii="Arial" w:cs="Arial" w:eastAsia="Arial" w:hAnsi="Arial"/>
          <w:sz w:val="17"/>
          <w:szCs w:val="17"/>
          <w:color w:val="auto"/>
        </w:rPr>
      </w:pPr>
      <w:r>
        <w:rPr>
          <w:rFonts w:ascii="Arial" w:cs="Arial" w:eastAsia="Arial" w:hAnsi="Arial"/>
          <w:sz w:val="17"/>
          <w:szCs w:val="17"/>
          <w:color w:val="auto"/>
        </w:rPr>
        <w:t>Environmental Indemnity Declaration, dated as of the date hereof, by West End Property II, LLC, a Tennessee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Sch. XIII-1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48895</wp:posOffset>
            </wp:positionV>
            <wp:extent cx="7132320"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443" w:name="page444"/>
    <w:bookmarkEnd w:id="443"/>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LEGAL DESCRIPTION</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Legal Description for Fee Tract</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 tract of land located in the City of Chattanooga, Hamilton County, Tennessee being known as Lot 1, The Bend Big Blue Subdivision as recorded in Plat Book 121, Page 33, in the Register’s Office of Hamilton County, Tennessee and being more particularly described as follows:</w:t>
      </w:r>
    </w:p>
    <w:p>
      <w:pPr>
        <w:spacing w:after="0" w:line="14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Beginning at a PK Nail Set at the northeast corner of Lot 1, The Bend Big Blue Subdivision as recorded in Plat Book 121, Page 33, in the Register’s Office of Hamilton County, Tennessee and on the southern portion of a Private Access Easement (Not City Maintained) referred to as West Main Street (Private) width of said easement varies, said point being a common corner of the West End Property II, LLC tract remaining portion recorded in Deed Book 11360, Page 381 in the Register’s Office of Hamilton County, Tennessee, said point being hereafter referred to as the POINT OF BEGINNING;</w:t>
      </w:r>
    </w:p>
    <w:p>
      <w:pPr>
        <w:spacing w:after="0" w:line="157"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Thence, leaving said point with and along a common line with the said West End Property II, LLC tract South 24 degrees 26 minutes 33 seconds West, 1169.98 fee to a point on the northern right-of-way of CSX Railway, having a width that varies;</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Thence, with and along said right of way the following calls, North 66 Degrees 06 minutes 20 seconds West, 24.83 feet to a point; thence, South 24 degrees 10 minutes 02 seconds West, 6.97 feet to a point, said point being at the intersection of the said CSX Railway right-of-way and the norther right-of-way of the Norfolk Southern Railway right-of-way, having a right-of-way width that varies;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Thence, leaving the said CSX Railway right-of-way with and along the said Norfolk Southern rigt-of-way the following calls, North 58 degrees 33 minutes 54 seconds West, 90.56 feet to a point; Thence, in a curve to the right, having a radius of 395.44 feet, a length of 152.34 feet, and being subtended by a chord of North 47 degrees 31 minutes 43 seconds West, 151.40 feet to a point; Thence, North 37 degrees 46 minutes 06 seconds West, 28.34 feet to a point;</w:t>
      </w:r>
    </w:p>
    <w:p>
      <w:pPr>
        <w:spacing w:after="0" w:line="2"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Thence, in a curve to the right, having a radius of 478.18 feet, a length of 225.39 feet, and being subtended by a chord of North 24 degrees 15 minutes 54 seconds West, 223.31 feet to a point; Thence, in a curve to the right, having a radius of 455.56 feet, a length of 99.13 feet, and being subtended by a chord of North 04 degrees 31 minutes 39 seconds West, 98.94 feet to a common point with the said West End Property II, LLC Tract;</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Thence, leaving said Norfolk Southern Railway right-of-way with and along a common line with said West End Property II, LLC tract in a curve to the right, having a radius of 200 feet, a length of 10.17 feet, and being subtended by a chord of North 22 degrees 50 minutes 49 seconds East, 10.17 feet to a point;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Thence, North 24 degrees 18 minutes 14 seconds East, 73.14 feet to a point;</w:t>
      </w:r>
    </w:p>
    <w:p>
      <w:pPr>
        <w:spacing w:after="0" w:line="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Thence, in a curve to the left, having a radius of 517.14 feet, a length of 394.16 feet, and being subtended by a chord of North 08 degrees 05 minutes 31 seconds West, 384.69 feet to a point; Thence, in a curve to the right, having a radius of 19.00 feet, a length of 17.88 feet, and being subtended by a chord of North 02 degrees 57 minutes 54 seconds West, 17.23 feet to a point;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XIII-2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color w:val="auto"/>
        </w:rPr>
        <w:t>Thence, North 23 degrees 59 minutes 50 seconds West, 55.91 feet to a point;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Thence, South 66 degrees 13 minutes 45 seconds East, 27.74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Thence, North 24 degrees 13 minutes 13 seconds East, 56.96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Thence, North 65 degrees 27 minutes 23 seconds West, 1.50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Thence, North 24 degrees 32 minutes 37 seconds East, 101.73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Thence, South 65 degrees 27 minutes 23 seconds East, 2.88 feet to a point;</w:t>
      </w:r>
    </w:p>
    <w:p>
      <w:pPr>
        <w:spacing w:after="0" w:line="9"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Thence, North 24 degrees 17 minutes 40 seconds East, 157.34 feet to a point at the southwest corner of Lot 1, West End Opportunity Zone Subdivision, recorded in Plat Book 116, Page 170 in the Register’s Office of Hamilton County, Tennessee;</w:t>
      </w:r>
    </w:p>
    <w:p>
      <w:pPr>
        <w:spacing w:after="0" w:line="1" w:lineRule="exact"/>
        <w:rPr>
          <w:sz w:val="20"/>
          <w:szCs w:val="20"/>
          <w:color w:val="auto"/>
        </w:rPr>
      </w:pPr>
    </w:p>
    <w:p>
      <w:pPr>
        <w:ind w:right="980"/>
        <w:spacing w:after="0" w:line="250" w:lineRule="auto"/>
        <w:rPr>
          <w:sz w:val="20"/>
          <w:szCs w:val="20"/>
          <w:color w:val="auto"/>
        </w:rPr>
      </w:pPr>
      <w:r>
        <w:rPr>
          <w:rFonts w:ascii="Arial" w:cs="Arial" w:eastAsia="Arial" w:hAnsi="Arial"/>
          <w:sz w:val="18"/>
          <w:szCs w:val="18"/>
          <w:color w:val="auto"/>
        </w:rPr>
        <w:t>Thence, with and along common lines with said Lot 1 of the West end Opportunity Zone Subdivision South 65 degrees 40 minutes 42 seconds East, 118.83 feet to a point;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Thence, North 24 degrees 19 minutes 18 seconds East, 80.70 feet to a point on the southern line of the said West Main Street (Private);</w:t>
      </w:r>
    </w:p>
    <w:p>
      <w:pPr>
        <w:spacing w:after="0" w:line="9" w:lineRule="exact"/>
        <w:rPr>
          <w:sz w:val="20"/>
          <w:szCs w:val="20"/>
          <w:color w:val="auto"/>
        </w:rPr>
      </w:pPr>
    </w:p>
    <w:p>
      <w:pPr>
        <w:ind w:right="860"/>
        <w:spacing w:after="0" w:line="260" w:lineRule="auto"/>
        <w:rPr>
          <w:sz w:val="20"/>
          <w:szCs w:val="20"/>
          <w:color w:val="auto"/>
        </w:rPr>
      </w:pPr>
      <w:r>
        <w:rPr>
          <w:rFonts w:ascii="Arial" w:cs="Arial" w:eastAsia="Arial" w:hAnsi="Arial"/>
          <w:sz w:val="18"/>
          <w:szCs w:val="18"/>
          <w:color w:val="auto"/>
        </w:rPr>
        <w:t>Thence, leaving said point with and along the southern line of the said West Main Street (Private) South 65 degrees 09 minutes 31 seconds East, 567.82 feet to the POINT OF BEGINNING.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Said tract herein contains 652,021.861 Sq Ft or 14.968 Acres.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tract of land situated in the City of Chattanooga, Hamilton County, Tennessee and being a portion of Tract C conveyed by The Alabama Great Southern Railway Company to West End Property II, LLC recorded in Book 12574, Page 857 in the Register’s Office of Hamilton County Tennessee. Said portion of Tract C being more particularly described as follows: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at a point in the southeast corner of Lot 1, The Bend Big Blue Subdivision, recorded in Plat Book 121, Page 33 in the Register’s Office of Hamilton County, Tennessee on the west right-of-way of property now or formerly owned by CSX Railway, said point having Tennessee State Plane Grid Coordinates of North 257,537.803 and East 2,170,745.613, said point being hereafter referred to as the POINT OF BEGINNING;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Thence, leaving said point, with and along the said CSX property South 24 degrees 10 minutes 02 seconds West, 1.44 feet to point;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with and along the new division line between The Alabama Great Southern Railway Company and West End Property II, LLC the following calls and distances, North 65 degrees 25 minutes 35 seconds West, 56.95 feet to point;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in a curve to the right having a radius of 463.53 feet a length of 453.71 feet and being subtended by a chord of North 37 degrees 23 minutes 08 seconds West, 435.81 feet to point;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Thence, leaving the new said division line in a curve to the right having a radius of 200.00 feet a length of 107.28 feet and being subtended by a chord of North 06 degrees 01 minutes 21 seconds East, 106.00 feet to point on the existing property line of said Lot 1, The Bend Big Blue Subdivision;</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XIII-3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5" w:name="page446"/>
    <w:bookmarkEnd w:id="445"/>
    <w:p>
      <w:pPr>
        <w:spacing w:after="0"/>
        <w:rPr>
          <w:sz w:val="20"/>
          <w:szCs w:val="20"/>
          <w:color w:val="auto"/>
        </w:rPr>
      </w:pPr>
      <w:r>
        <w:rPr>
          <w:rFonts w:ascii="Arial" w:cs="Arial" w:eastAsia="Arial" w:hAnsi="Arial"/>
          <w:sz w:val="18"/>
          <w:szCs w:val="18"/>
          <w:color w:val="auto"/>
        </w:rPr>
        <w:t>Thence, with and along the existing line of said Lot 1, The Bend Big Blue Subdivision the following call and distances,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 curve to the left having a radius of 455.56 feet a length of 99.13 feet and being subtended by a chord of South 04 degrees 31 minutes 39 seconds East, 98.94 feet to point;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Thence, in a curve to the left, having a radius of 478.18 feet a length of 225.39 feet and being subtended by a chord of South 24 degrees 15 minutes 54 seconds East, 223.31 feet to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South 37 degrees 46 minutes 06 seconds East, 28.34 feet to point;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Thence, in a curve to the left, having a radius of 395.44 feet a length of 152.34 feet and being subtended by a chord of South 47 degrees 31 minutes 43 seconds East, 151.40 feet to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South 58 degrees 33 minutes 54 seconds East, 90.56 feet the POINT OF BEGINNING.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Said Portion of Tract C herein contains 10,053.207 Sq.Ft. or 0.231 Acres.</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XIII-4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446" w:name="page447"/>
    <w:bookmarkEnd w:id="446"/>
    <w:p>
      <w:pPr>
        <w:jc w:val="center"/>
        <w:ind w:right="40"/>
        <w:spacing w:after="0"/>
        <w:rPr>
          <w:sz w:val="20"/>
          <w:szCs w:val="20"/>
          <w:color w:val="auto"/>
        </w:rPr>
      </w:pPr>
      <w:r>
        <w:rPr>
          <w:rFonts w:ascii="Arial" w:cs="Arial" w:eastAsia="Arial" w:hAnsi="Arial"/>
          <w:sz w:val="18"/>
          <w:szCs w:val="18"/>
          <w:color w:val="auto"/>
        </w:rPr>
        <w:t>Legal Description of Easement Tract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Crane Easement Parcel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Access Easement and Use Agreement (Crane) dated July 28, 2021 between West End Loading, LLC and West End Property II, LLC recorded in Book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 Page _____ in the ROHCT: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City of Chattanooga, Hamilton County, Tennessee, Tract 5 (Five) of the ABB Combustion Engineering, Inc. Subdivision as designated on Plat recorded in Plat Book 54, Page 184 in the Register’s Office of Hamilton County, Tennessee. According to said Plat, Tract 5 is more particularly described as follows:</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Beginning at a point, said point being located on the southwestern right of-way line of West 19th street (50-foot right-of-way) at the northwestern corner of Tract 4, Revised Plat of ABB Combustion Engineering, Inc. Subdivisions, as recorded in Plat Book 54, Page 184 in the Register’s Office of Hamilton County, Tennessee; thence S 20°20’09” W a distance of 67 .96 feet to a point marked with a fence post; thence S 24°19’43” W a distance of 66.95 feet to a point marked with a fence post thence N 63°30’54” W a distance of 20.18 feet to a point marked with a fence post and lying of the southwestern line of a private 20’ ingress and egress easement; thence leaving said private 20-foot easement S 02°11’24” E a distance of 181.65 feet to a point marked with a cut cross; thence S 37°01’39” E a distance of 133.51 feet to a point, said point marked with a cut cross; thence S 24°13’05” W a distance of 198.31 feet to a point marked with an iron pin; thence S 78°26’ 05” W, passing a fence post at 54.40 feet, a total distance of 59 feet, more or less to the Tennessee River Bank; thence following along with said River Bank as it curves to the left, said curve having a radius of 659.62 feet, a delta of 10°57’43”, a tangent of 63.29 feet, a chord of N 26°56’33” W, 126.01 feet and an arc length of 126.20 feet to a point marking the beginning of a compound curve as it continues to the left; said curve having a radius of 9.15 feet, a delta of 66°06’34’, a tangent of 5.95 feet, a chord of N 70°56’06” W, 9.98 feet and an arc length of 10.56 feet to a point marking the beginning of a reverse curve to the right; said curve having a radius of 6.79 feet, a delta of 78°33’39” a tangent of 5.55 feet, a chord of N 64°42'34" W, 8.60 feet and an arc length of 9.31 feet to a point marking a compound curve to the right; said curve having a radius of 312.67 feet, a delta of 13°40'39" a tangent of 37.50 feet, a chord of N 12°10'07" W, 74.46 feet and an arc length of 74.64 feet to a point marking the beginning of compound curve to the right; said curve having a radius of 23.88 feet a delta of 57°34'31", a tangent of 13.12 feet, a chord of N 40°33'03" E, 23.00 feet and an arc length of 24.00 feet to a point; thence N 01 °19'32" E a distance of 106.34 feet to a point; thence following along with a curve to the right, said curve having a radius of 23.14 feet, a delta of 58°45'54" a tangent of 13.03 feet, a chord of N 47°17'18" W 22.70 feet and an arc length of 23.73 feet to a point; thence N 22°51 '58" W a distance of 12.39 feet to a point marking the beginning of a curve to the right; said curve having a radius of 335.64 feet, a delta of 08°41'42" a tangent of 25.52 feet, a chord of N 16°11'35" W, 50.89 feet and an arc length of 50.94 feet to a point marking a compound curve to the right; said curve having a radius of 904.29 feet, a delta of 05°16'52" a tangent of 41.70 feet, a chord of N 09°12'18" W, 83.32 feet and an arc length of 83.35 feet to a point marking the end of the said curve; thence leaving the water's edge N 86°25'45" E passing a fence post at 25 feet, more or less, then continuing a distance of 75.84 feet to a point marked by a rebar; thence following along with a curve to the right, said curve having a radius of 461.86 feet, a delta of 16°52'20" a tangent of 68.50 feet, a chord of N 37°16'50" E, 135.52 feet and an arc length of 136.01 feet to a point marked with a rebar; thence N 45°44'18" E a distance of 13.00 feet to a point marked with a rebar; thence N 24°13'05" E a distance of 20.50 feet to a point lying on the northwestern right-of-way line of the above mentioned southwestern right-of-way of West 19th Street (50' right-of-way); thence following along with said right-of-way S 65°48'20" E a distance of 46.57 feet to the point of beginning, containing 1.93 acres, more or less.</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XIII-5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7" w:name="page448"/>
    <w:bookmarkEnd w:id="447"/>
    <w:p>
      <w:pPr>
        <w:spacing w:after="0"/>
        <w:rPr>
          <w:sz w:val="20"/>
          <w:szCs w:val="20"/>
          <w:color w:val="auto"/>
        </w:rPr>
      </w:pPr>
      <w:r>
        <w:rPr>
          <w:rFonts w:ascii="Arial" w:cs="Arial" w:eastAsia="Arial" w:hAnsi="Arial"/>
          <w:sz w:val="18"/>
          <w:szCs w:val="18"/>
          <w:color w:val="auto"/>
        </w:rPr>
        <w:t>Appurtenant Easements: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Declaration of Access and Utilities Easement (Private Drives of “Front Street”, “Closed Main Street”, “Sanitary Sewer Easement”) dated July 28, 2021 by West End Property II, LLC recorded in Book _____, Page _____ in the Register’s Office of Hamilton County, Tennessee (the “</w:t>
      </w:r>
      <w:r>
        <w:rPr>
          <w:rFonts w:ascii="Arial" w:cs="Arial" w:eastAsia="Arial" w:hAnsi="Arial"/>
          <w:sz w:val="17"/>
          <w:szCs w:val="17"/>
          <w:u w:val="single" w:color="auto"/>
          <w:color w:val="auto"/>
        </w:rPr>
        <w:t>ROHCT</w:t>
      </w:r>
      <w:r>
        <w:rPr>
          <w:rFonts w:ascii="Arial" w:cs="Arial" w:eastAsia="Arial" w:hAnsi="Arial"/>
          <w:sz w:val="17"/>
          <w:szCs w:val="17"/>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Front Street – Ingress/Egress &amp; Utility Easement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Ingress/Egress &amp; Utility Easement located on a portion of the property known as the West End Property II, LLC tract situated in the City of Chattanooga, Hamilton County, Tennessee and being recorded in Deed Book 11360, Page 381 in the Register’s Office of Hamilton County, Tennessee less and accept those areas that cross the Norfolk Southern Railway right-of-way and the CSX Railway right-of-way, said easement being more particularly described as follows: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at a point at the northeast corner of Tract 7, ABB Combustions Engineering Subdivision, recorded in Plat Book 54, Page 184 in the Register’s Office of Hamilton County, Tennessee at the southern line of the CSX Railway right-of-way at a common corner with the said West End Property II, LLC tract, said point having Tennessee State Plane Grid Coordinates (NAD83) of North=257,693.040 and East=2,170,464.216; said point being hereafter referred to as the POINT OF BEGINNING;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leaving said point with and along the common line between said Tract 7 and the said CSX Railway right-of-way North 49 degrees 08 minutes 32 seconds West, 11.01 feet to a point;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leaving said common line in a curve to the left having a radius of 296.71 feet, a length of 120.49 feet, and being subtended by a chord of North 21 degrees 22 minutes 33 seconds West, 119.66 feet to a point;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Thence, in a curve to the right, having a radius of 190.65 feet, a length of 133.04 feet, and being subtended by a chord of North 13 degrees 01 minutes 08 seconds West, 130.35 feet to a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06 degrees 58 minutes 18 seconds East, 30.17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North 25 degrees 14 minutes 36 seconds East, 153.94 feet to a point;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in a curve to the left, having a radius of 731.71 feet, a length of 115.66 feet, and being subtended by a chord of North 03 degrees 35 minutes 36 seconds East, 115.54 feet to a point;</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XIII-6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8" w:name="page449"/>
    <w:bookmarkEnd w:id="448"/>
    <w:p>
      <w:pPr>
        <w:spacing w:after="0" w:line="277" w:lineRule="auto"/>
        <w:rPr>
          <w:sz w:val="20"/>
          <w:szCs w:val="20"/>
          <w:color w:val="auto"/>
        </w:rPr>
      </w:pPr>
      <w:r>
        <w:rPr>
          <w:rFonts w:ascii="Arial" w:cs="Arial" w:eastAsia="Arial" w:hAnsi="Arial"/>
          <w:sz w:val="18"/>
          <w:szCs w:val="18"/>
          <w:color w:val="auto"/>
        </w:rPr>
        <w:t>Thence, in a curve to the left, having a radius of 450.32 feet, a length of 118.86 feet, and being subtended by a chord of North 08 degrees 29 minutes 48 seconds West, 118.52 feet to a point;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Thence, North 74 degrees 35 minutes 45 seconds East, 29.11 feet to a point on the western boundary of Lot 1, The Bend Big Blue Subdivision recorded in Plat Book 121, Page 33, in the Register’s Office of Hamilton County, Tennessee;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with and along the western boundary of said Lot 1, The Bend Big Blue Subdivision in a curve to the right, having a radius of 517.14 feet, a length of 263.08 feet, and being subtended by a chord of South 00 degrees 49 minutes 49 seconds East, 260.25 feet to a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South 24 degrees 18 minutes 14 seconds West, 73.14 feet to a point;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in a curve to the left, having a radius of 200.00 feet, a length of 117.46 feet, and being subtended by a chord of South 07 degrees 28 minutes 46 seconds West, 115.77 feet to a point;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in a curve to the left, having a radius of 463.53 feet, a length of 453.71 feet, and being subtended by a chord of South 37 degrees 23 minutes 08 seconds East, 435.81 feet to a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South 65 degrees 25 minutes 35 seconds East, 56.95 feet to a point on the CSX Railway right-of-way;</w:t>
      </w:r>
    </w:p>
    <w:p>
      <w:pPr>
        <w:spacing w:after="0" w:line="215" w:lineRule="exact"/>
        <w:rPr>
          <w:sz w:val="20"/>
          <w:szCs w:val="20"/>
          <w:color w:val="auto"/>
        </w:rPr>
      </w:pPr>
    </w:p>
    <w:p>
      <w:pPr>
        <w:ind w:right="20"/>
        <w:spacing w:after="0" w:line="202" w:lineRule="auto"/>
        <w:rPr>
          <w:sz w:val="20"/>
          <w:szCs w:val="20"/>
          <w:color w:val="auto"/>
        </w:rPr>
      </w:pPr>
      <w:r>
        <w:rPr>
          <w:rFonts w:ascii="Arial" w:cs="Arial" w:eastAsia="Arial" w:hAnsi="Arial"/>
          <w:sz w:val="18"/>
          <w:szCs w:val="18"/>
          <w:color w:val="auto"/>
        </w:rPr>
        <w:t>Thence, South 24 degrees 10 minutes 02 seconds West, 20.38 feet to a point on the northern right-of-way of West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having a right-of-way width of 50.00 feet;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Thence, with and along said West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right-of-way North 65 degrees 50 minutes 00 seconds West, 301.23 feet to a point;</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in a curve to the left, having a radius of 440.46 fee, a length of 39.96 feet, and being subtended by a chord of North 04 degrees 27 minutes 40 seconds West, 39.94 feet to a point on the western lone of said Tract 7, ABB Combustions Engineering Subdivision;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with and along said Tract 7 North 24 degrees 32 minutes 15 seconds East, 13.19 feet to the POINT OF BEGINNING.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Said easement herein contains 35,944.346 Sq Ft or 0.825 Acres.</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XIII-7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9" w:name="page450"/>
    <w:bookmarkEnd w:id="449"/>
    <w:p>
      <w:pPr>
        <w:jc w:val="center"/>
        <w:spacing w:after="0"/>
        <w:rPr>
          <w:sz w:val="20"/>
          <w:szCs w:val="20"/>
          <w:color w:val="auto"/>
        </w:rPr>
      </w:pPr>
      <w:r>
        <w:rPr>
          <w:rFonts w:ascii="Arial" w:cs="Arial" w:eastAsia="Arial" w:hAnsi="Arial"/>
          <w:sz w:val="18"/>
          <w:szCs w:val="18"/>
          <w:b w:val="1"/>
          <w:bCs w:val="1"/>
          <w:u w:val="single" w:color="auto"/>
          <w:color w:val="auto"/>
        </w:rPr>
        <w:t>Legal Description of Closed Main Street Easement Area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60.00 foot wide Ingress/Egress &amp; Utility Easement located on a portion of the property known as the West End Property II, LLC tract situated in the City of Chattanooga, Hamilton County, Tennessee and being recorded in Deed Book 11360, Page 381 in the Register's Office of Hamilton County, Tennessee, said easement being more particularly described as follows:</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Beginning at a point at the northeast corner of Lot 1, The Bend Big Blue Subdivision, recorded in Plat Book 121, Page 33, in the Register's Office of Hamilton County, Tennessee, at a common corner with the said West End Property II, LLC tract, said point having Tennessee State Plane Grid Coordinates (NAD83) of North=258,599.224 and East=2,171,255.279; said point being hereafter referred to as the POINT OF BEGINNING;</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leaving said point, with and along the northern line of said Lot 1, The Bend Big Blue Subdivision North 65 degrees 09 minutes 31 seconds West, 567.82 feet to a point on the eastern line of Lot 1, West End Opportunity Zone Subdivision, recorded in Plat Book 116, Page 170 in the Register's Office of Hamilton County, Tennessee;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with and along the eastern line of said West End Opportunity Zone Subdivision North 24 degrees 19 minutes 18 seconds East, 14.53 feet to a point at the northeast corner of said Lot 1, West End Opportunity Zone Subdivision;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24 degrees 19 minutes 18 seconds East, 45.48 feet to a point;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South 65 degrees 09 minutes 31 seconds East, 582.78 feet to a point on the western line of the Aerisyn Opportunity Zone Business Tract, recorded in Deed Book 11683, Page 82 in the Register's Office of Hamilton County, Tennessee;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with and along the western line of said Aerisyn Opportunity Zone Business Tract South 24 degrees 25 minutes 01 seconds West, 60.00 feet to a point;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Thence, leaving said western line of said Aerisyn Opportunity Zone Business Tract North 65 degrees 09 minutes 31 seconds West, 14.86 feet to the POINT OF BEGINNING. Said easement herein contains 34,963.653 Sq Ft or 0.803 Acres.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Legal Description of Sanitary Sewer Easement Area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10 foot wide Sanitary Sewer Service Line Easement located on a portion of the property known as the West End Property II, LLC tract situated in the City of Chattanooga, Hamilton County, Tennessee and being recorded in Deed Book 11360, Page 381 in the Register’s Office of Hamilton County, Tennessee and being more particularly described as follows: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Commencing at a point at the northeast corner of the Lot 1, West End Opportunity Zone Subdivision recorded in Plat Book 116, Page 170 in the Register’s Office of Hamilton County, Tennessee and also being a common corner with the said West End Property II, LLC tract, said point having Tennessee State Plane Grid Coordinates (NAD83) of North=258,851.008 and East=2,170,745.982;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Thence, leaving said point South 84 degrees 55 minutes 24 seconds East, 186.38 feet to a point on the centerline of the said 10 foot wide Private Sanitary Sewer Service Line Easement and on the western side of a 20 foot wide Public Sanitary Sewer Easement recorded in Plat Book 115, Page 132 in the Register’s Office of Hamilton County, Tennessee, said point having Tennessee State Plane Grid Coordinates (NAD83) of North=258,834.516 and East=2,170,931.628, said point being hereafter referred to as the POINT OF BEGINNING;</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XIII-8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0" w:name="page451"/>
    <w:bookmarkEnd w:id="450"/>
    <w:p>
      <w:pPr>
        <w:jc w:val="both"/>
        <w:spacing w:after="0" w:line="277" w:lineRule="auto"/>
        <w:rPr>
          <w:sz w:val="20"/>
          <w:szCs w:val="20"/>
          <w:color w:val="auto"/>
        </w:rPr>
      </w:pPr>
      <w:r>
        <w:rPr>
          <w:rFonts w:ascii="Arial" w:cs="Arial" w:eastAsia="Arial" w:hAnsi="Arial"/>
          <w:sz w:val="18"/>
          <w:szCs w:val="18"/>
          <w:color w:val="auto"/>
        </w:rPr>
        <w:t>Thence, with and along the centerline of said easement, herein described, the extents of which being 5.00 feet on either side of the described centerline the following calls, North 66 degrees 10 minutes 45 seconds West, 175.43 feet to a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66 degrees 22 minutes 04 seconds West, 51.45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South 72 degrees 57 minutes 43 seconds West, 106.74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South 27 degrees 03 minutes 04 seconds West, 96.35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South 28 degrees 45 minutes 50 seconds West, 75.43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South 17 degrees 56 minutes 22 seconds West, 74.58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South 23 degrees 40 minutes 29 seconds West, 79.58 feet to a point;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South 73 degrees 01 minutes 46 seconds East, 10.39 feet to a point on the common line between said West End Property II, LLC tract and Lot 1, The Bend Big Blue Subdivision recorded in Plat Book 121, Page 33, in the Register’s Office of Hamilton County, Tennessee, said point being the termination point of the easement herein described.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Said easement herein contains 6,699.484 Sq Ft or 0.154 Acres.</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XIII-9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1" w:name="page452"/>
    <w:bookmarkEnd w:id="451"/>
    <w:p>
      <w:pPr>
        <w:ind w:right="580"/>
        <w:spacing w:after="0" w:line="277" w:lineRule="auto"/>
        <w:rPr>
          <w:sz w:val="20"/>
          <w:szCs w:val="20"/>
          <w:color w:val="auto"/>
        </w:rPr>
      </w:pPr>
      <w:r>
        <w:rPr>
          <w:rFonts w:ascii="Arial" w:cs="Arial" w:eastAsia="Arial" w:hAnsi="Arial"/>
          <w:sz w:val="18"/>
          <w:szCs w:val="18"/>
          <w:color w:val="auto"/>
        </w:rPr>
        <w:t>Reciprocal Access and Utility Easement Agreement (Alley) dated July 28, 2021 between West End Property II, LLC and Aerisyn Opportunity Zone Business, LLC recorded in Book _____, Page _____ in the ROHCT.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Easement Area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Ingress/Egress &amp; Utility Easement located on a portion of the property known as the West End Property II, LLC tract situated in the City of Chattanooga, Hamilton County, Tennessee and being recorded in Deed Book 11360, Page 381 in the Register’s Office of Hamilton County, Tennessee and a portion of Lot 1, The Bend Big Blue Subdivision recorded in Plat Book 121, Page 33, in the Register’s Office of Hamilton County, Tennessee, said easement being more particularly described as follows: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at a point at the northeast corner of said Lot 1, The Bend Big Blue Subdivision at a common corner with the said West End Property II, LLC tract, said point having Tennessee State Plane Grid Coordinates (NAD83) of North=258,599.224 and East=2,171,255.279; said point being hereafter referred to as the POINT OF BEGINNING;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leaving said point, South 65 degrees 09 minutes 31 seconds East, 14.86 feet to a point on the western line of the Aerisyn Opportunity Zone Business tract recorded in Deed Book 11683, Page 82 in the Register’s Office of Hamilton County, Tennessee;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with and along the common line between the said Aerisyn Opportunity Zone Business tract and the said West End Property II, LLC tract South 24 degrees 25 minutes 01 seconds West, 614.46 feet to a point;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leaving said common line South 16 degrees 16 minutes 12 seconds West, 204.39 feet to a point back on the common line between the said Aerisyn Opportunity Zone Business tract and the said West End Property II, LLC tract;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with and along the common line between the said Aerisyn Opportunity Zone Business tract and the said West End Property II, LLC tract South 23 degrees 11 minutes 39 seconds West, 4.58 feet to a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South 64 degrees 05 minutes 18 seconds East, 1.09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South 24 degrees 22 minutes 34 seconds West, 226.03 feet to a point;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leaving said common line South 04 degrees 47 minutes 24 seconds West, 79.75 feet to a point;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South 24 degrees 16 minutes 43 seconds West, 42.50 feet to a point on the norther right-of-way of CSX Railway having a right-of-way width that varies;</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XIII-10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2" w:name="page453"/>
    <w:bookmarkEnd w:id="452"/>
    <w:p>
      <w:pPr>
        <w:spacing w:after="0" w:line="277" w:lineRule="auto"/>
        <w:rPr>
          <w:sz w:val="20"/>
          <w:szCs w:val="20"/>
          <w:color w:val="auto"/>
        </w:rPr>
      </w:pPr>
      <w:r>
        <w:rPr>
          <w:rFonts w:ascii="Arial" w:cs="Arial" w:eastAsia="Arial" w:hAnsi="Arial"/>
          <w:sz w:val="18"/>
          <w:szCs w:val="18"/>
          <w:color w:val="auto"/>
        </w:rPr>
        <w:t>Thence, with and along said right-of-way in a curve to the right having a radius of 408.51 feet, a length of 60.02 feet, and being subtended by a chord of North 70 degrees 05 minutes 20 seconds West, 59.96 feet to a point;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continuing along said right-of-way North 66 degrees 06 minutes 20 seconds West, 12.80 feet to a point at the southeast corner of said Lot 1, The Bend Big Blue Subdivision;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continuing along said right-of-way with the common line of said Lot 1, The Bend Big Blue Subdivision North 66 degrees 06 minutes 20 seconds West, 15.00 feet to a point;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leaving said right-of-way North 24 degrees 26 minutes 33 seconds East, 1170.22 feet to a point on the northern line of said Lot 1, The Bend Big Blue Subdivision;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with and along the northern line of said Lot 1, The Bend Big Blue Subdivision, South 65 degrees 09 minutes 31 seconds East, 15.00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Said easement herein contains 51,020.331 Sq Ft or 1.171 Acres.</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XIII-11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3" w:name="page454"/>
    <w:bookmarkEnd w:id="453"/>
    <w:p>
      <w:pPr>
        <w:ind w:left="980"/>
        <w:spacing w:after="0" w:line="277" w:lineRule="auto"/>
        <w:rPr>
          <w:sz w:val="20"/>
          <w:szCs w:val="20"/>
          <w:color w:val="auto"/>
        </w:rPr>
      </w:pPr>
      <w:r>
        <w:rPr>
          <w:rFonts w:ascii="Arial" w:cs="Arial" w:eastAsia="Arial" w:hAnsi="Arial"/>
          <w:sz w:val="18"/>
          <w:szCs w:val="18"/>
          <w:color w:val="auto"/>
        </w:rPr>
        <w:t>Access and Utilities Easement Agreement (Closed Main Street) dated July 28, 2021 between Aerisyn Opportunity Zone Business, LLC and West End Property II, LLC recorded in Book _____, Page _____ in the ROHCT.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Legal Description of Easement Area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60.00 foot wide Ingress/Egress &amp; Utility Easement located on a portion of the property known as the Aerisyn Opportunity Zone Business Tract situated in the City of Chattanooga, Hamilton County, Tennessee and being recorded in Deed Book 11683, Page 82 in the Register’s Office of Hamilton County, Tennessee, said easement being more particularly described as follows: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Commencing at a point on the western right-of-way of Riverfront Parkway, having a right-of-way width of 80.00 feet at the southeast corner of Lot 1, ABB Combustion Engineering, Inc. Subdivision, recorded in Plat Book 90, Page 135 in the Register’s Office of Hamilton County, Tennessee, said point having Tennessee State Plane Grid Coordinates (NAD83) of North=258,301.187 and East=2,172,086.142 and being hereafter referred to as the POINT OF COMMENCEMENT;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leaving said point, with and along the said right-of-way of Riverfront Parkway South 24 degrees 07 minutes 40 seconds West, 18.59 feet to a point at the northeast corner of the easement herein described, said point having Tennessee State Plane Grid Coordinates (NAD83) of North=258,284.217 and East=2,172,078.541 and being hereafter referred to as the POINT OF BEGINNING;</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Thence, leaving said point, with and along the said right-of-way of Riverfront Parkway South 24 degrees 07 minutes 40 seconds West, 60.00 feet to a point;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Thence, North 65 degrees 09 minutes 31 seconds West, 865.31 feet to a point on the western line of the said Aerisyn Opportunity Zone Business Tract;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with and along the said wester line of the said Aerisyn Opportunity Zone Business Tract North 24 degrees 25 minutes 01 seconds East, 60.00 feet to a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leaving said wester line South 65 degrees 09 minutes 31 seconds East, 865.01 feet to the POINT OF BEGINNING.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Said easement herein contains 51,909.778 Sq Ft or 1.192 Acres.</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Sch. XIII-12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4" w:name="page455"/>
    <w:bookmarkEnd w:id="454"/>
    <w:p>
      <w:pPr>
        <w:spacing w:after="0"/>
        <w:rPr>
          <w:sz w:val="20"/>
          <w:szCs w:val="20"/>
          <w:color w:val="auto"/>
        </w:rPr>
      </w:pPr>
      <w:r>
        <w:rPr>
          <w:rFonts w:ascii="Arial" w:cs="Arial" w:eastAsia="Arial" w:hAnsi="Arial"/>
          <w:sz w:val="16"/>
          <w:szCs w:val="16"/>
          <w:color w:val="auto"/>
        </w:rPr>
        <w:t>Declaration of Temporary Access Easement and Use (Soil Relocation) dated July 28, 2021 by West End Property II, LLC recorded in Book _____, Page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 in the ROHCT.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legal except in site plan</w:t>
      </w: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68" w:right="599" w:bottom="1440" w:gutter="0" w:footer="0" w:header="0"/>
        </w:sectPr>
      </w:pPr>
    </w:p>
    <w:bookmarkStart w:id="455" w:name="page456"/>
    <w:bookmarkEnd w:id="455"/>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Secondary Market Transaction Information</w:t>
      </w:r>
    </w:p>
    <w:p>
      <w:pPr>
        <w:spacing w:after="0" w:line="229" w:lineRule="exact"/>
        <w:rPr>
          <w:sz w:val="20"/>
          <w:szCs w:val="20"/>
          <w:color w:val="auto"/>
        </w:rPr>
      </w:pPr>
    </w:p>
    <w:p>
      <w:pPr>
        <w:ind w:left="660" w:hanging="652"/>
        <w:spacing w:after="0" w:line="277" w:lineRule="auto"/>
        <w:tabs>
          <w:tab w:leader="none" w:pos="6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Any proposed program for the renovation, improvement or development of the Property, or any part thereof, including the estimated cost thereof and the method of financing to be used.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general competitive conditions to which the Property is or may be subject.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Management of the Property.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Occupancy rate expressed as a percentage for each of the last five years.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Principal business, occupations and professions carried on, in, or from the Property.</w:t>
      </w:r>
    </w:p>
    <w:p>
      <w:pPr>
        <w:spacing w:after="0" w:line="225"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Number of Tenants occupying 10% or more of the total rentable square footage of the Property and principal nature of business of such Tenant, and the principal provisions of the leases with those Tenants including, but not limited to: rental per annum, expiration date, and renewal options.</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average effective annual rental per square foot or unit for each of the last three years prior to the date of filing.</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Schedule of the lease expirations for each of the ten years starting with the year in which the registration statement is filed (or the year in which the prospectus supplement is dated, as applicable), stating:</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number of Tenants whose leases will expire.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total area in square feet covered by such leases.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annual rental represented by such leases.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percentage of gross annual rental represented by such leases.</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6" w:name="page457"/>
    <w:bookmarkEnd w:id="456"/>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ADDITIONAL ACCESS EASEMENT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57" w:name="page458"/>
    <w:bookmarkEnd w:id="457"/>
    <w:p>
      <w:pPr>
        <w:spacing w:after="0"/>
        <w:rPr>
          <w:sz w:val="20"/>
          <w:szCs w:val="20"/>
          <w:color w:val="auto"/>
        </w:rPr>
      </w:pPr>
      <w:r>
        <w:rPr>
          <w:rFonts w:ascii="Arial" w:cs="Arial" w:eastAsia="Arial" w:hAnsi="Arial"/>
          <w:sz w:val="18"/>
          <w:szCs w:val="18"/>
          <w:color w:val="auto"/>
        </w:rPr>
        <w:t>Drawn by and Return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Miller &amp; Martin PLLC (RLD)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1200 Volunteer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832 Georgia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Chattanooga, TN 37402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sz w:val="20"/>
                <w:szCs w:val="20"/>
                <w:color w:val="auto"/>
              </w:rPr>
            </w:pPr>
            <w:r>
              <w:rPr>
                <w:rFonts w:ascii="Arial" w:cs="Arial" w:eastAsia="Arial" w:hAnsi="Arial"/>
                <w:sz w:val="18"/>
                <w:szCs w:val="18"/>
                <w:color w:val="auto"/>
              </w:rPr>
              <w:t>New Owner Name and Address:</w:t>
            </w:r>
          </w:p>
        </w:tc>
        <w:tc>
          <w:tcPr>
            <w:tcW w:w="2900" w:type="dxa"/>
            <w:vAlign w:val="bottom"/>
            <w:gridSpan w:val="2"/>
          </w:tcPr>
          <w:p>
            <w:pPr>
              <w:spacing w:after="0"/>
              <w:rPr>
                <w:sz w:val="20"/>
                <w:szCs w:val="20"/>
                <w:color w:val="auto"/>
              </w:rPr>
            </w:pPr>
            <w:r>
              <w:rPr>
                <w:rFonts w:ascii="Arial" w:cs="Arial" w:eastAsia="Arial" w:hAnsi="Arial"/>
                <w:sz w:val="18"/>
                <w:szCs w:val="18"/>
                <w:color w:val="auto"/>
              </w:rPr>
              <w:t>Send Tax Bills To:</w:t>
            </w:r>
          </w:p>
        </w:tc>
        <w:tc>
          <w:tcPr>
            <w:tcW w:w="2420" w:type="dxa"/>
            <w:vAlign w:val="bottom"/>
            <w:gridSpan w:val="3"/>
          </w:tcPr>
          <w:p>
            <w:pPr>
              <w:ind w:left="820"/>
              <w:spacing w:after="0"/>
              <w:rPr>
                <w:sz w:val="20"/>
                <w:szCs w:val="20"/>
                <w:color w:val="auto"/>
              </w:rPr>
            </w:pPr>
            <w:r>
              <w:rPr>
                <w:rFonts w:ascii="Arial" w:cs="Arial" w:eastAsia="Arial" w:hAnsi="Arial"/>
                <w:sz w:val="18"/>
                <w:szCs w:val="18"/>
                <w:color w:val="auto"/>
              </w:rPr>
              <w:t>Map Parcel No.:</w:t>
            </w:r>
          </w:p>
        </w:tc>
      </w:tr>
      <w:tr>
        <w:trPr>
          <w:trHeight w:val="20"/>
        </w:trPr>
        <w:tc>
          <w:tcPr>
            <w:tcW w:w="2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340" w:type="dxa"/>
            <w:vAlign w:val="bottom"/>
          </w:tcPr>
          <w:p>
            <w:pPr>
              <w:spacing w:after="0"/>
              <w:rPr>
                <w:sz w:val="20"/>
                <w:szCs w:val="20"/>
                <w:color w:val="auto"/>
              </w:rPr>
            </w:pPr>
            <w:r>
              <w:rPr>
                <w:rFonts w:ascii="Arial" w:cs="Arial" w:eastAsia="Arial" w:hAnsi="Arial"/>
                <w:sz w:val="18"/>
                <w:szCs w:val="18"/>
                <w:color w:val="auto"/>
                <w:w w:val="96"/>
              </w:rPr>
              <w:t>________________________</w:t>
            </w:r>
          </w:p>
        </w:tc>
        <w:tc>
          <w:tcPr>
            <w:tcW w:w="1500" w:type="dxa"/>
            <w:vAlign w:val="bottom"/>
          </w:tcPr>
          <w:p>
            <w:pPr>
              <w:spacing w:after="0"/>
              <w:rPr>
                <w:sz w:val="22"/>
                <w:szCs w:val="22"/>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_______________________</w:t>
            </w:r>
          </w:p>
        </w:tc>
        <w:tc>
          <w:tcPr>
            <w:tcW w:w="2420" w:type="dxa"/>
            <w:vAlign w:val="bottom"/>
            <w:gridSpan w:val="3"/>
          </w:tcPr>
          <w:p>
            <w:pPr>
              <w:ind w:left="820"/>
              <w:spacing w:after="0"/>
              <w:rPr>
                <w:sz w:val="20"/>
                <w:szCs w:val="20"/>
                <w:color w:val="auto"/>
              </w:rPr>
            </w:pPr>
            <w:r>
              <w:rPr>
                <w:rFonts w:ascii="Arial" w:cs="Arial" w:eastAsia="Arial" w:hAnsi="Arial"/>
                <w:sz w:val="18"/>
                <w:szCs w:val="18"/>
                <w:color w:val="auto"/>
                <w:w w:val="88"/>
              </w:rPr>
              <w:t>Part of ____________</w:t>
            </w:r>
          </w:p>
        </w:tc>
      </w:tr>
      <w:tr>
        <w:trPr>
          <w:trHeight w:val="229"/>
        </w:trPr>
        <w:tc>
          <w:tcPr>
            <w:tcW w:w="3840" w:type="dxa"/>
            <w:vAlign w:val="bottom"/>
            <w:gridSpan w:val="2"/>
          </w:tcPr>
          <w:p>
            <w:pPr>
              <w:spacing w:after="0"/>
              <w:rPr>
                <w:sz w:val="20"/>
                <w:szCs w:val="20"/>
                <w:color w:val="auto"/>
              </w:rPr>
            </w:pPr>
            <w:r>
              <w:rPr>
                <w:rFonts w:ascii="Arial" w:cs="Arial" w:eastAsia="Arial" w:hAnsi="Arial"/>
                <w:sz w:val="18"/>
                <w:szCs w:val="18"/>
                <w:color w:val="auto"/>
              </w:rPr>
              <w:t>353 Corporate Place</w:t>
            </w:r>
          </w:p>
        </w:tc>
        <w:tc>
          <w:tcPr>
            <w:tcW w:w="2900" w:type="dxa"/>
            <w:vAlign w:val="bottom"/>
            <w:gridSpan w:val="2"/>
          </w:tcPr>
          <w:p>
            <w:pPr>
              <w:spacing w:after="0"/>
              <w:rPr>
                <w:sz w:val="20"/>
                <w:szCs w:val="20"/>
                <w:color w:val="auto"/>
              </w:rPr>
            </w:pPr>
            <w:r>
              <w:rPr>
                <w:rFonts w:ascii="Arial" w:cs="Arial" w:eastAsia="Arial" w:hAnsi="Arial"/>
                <w:sz w:val="18"/>
                <w:szCs w:val="18"/>
                <w:color w:val="auto"/>
              </w:rPr>
              <w:t>353 Corporate Place</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Chattanooga, TN 37419</w:t>
            </w:r>
          </w:p>
        </w:tc>
        <w:tc>
          <w:tcPr>
            <w:tcW w:w="2900" w:type="dxa"/>
            <w:vAlign w:val="bottom"/>
            <w:gridSpan w:val="2"/>
          </w:tcPr>
          <w:p>
            <w:pPr>
              <w:spacing w:after="0"/>
              <w:rPr>
                <w:sz w:val="20"/>
                <w:szCs w:val="20"/>
                <w:color w:val="auto"/>
              </w:rPr>
            </w:pPr>
            <w:r>
              <w:rPr>
                <w:rFonts w:ascii="Arial" w:cs="Arial" w:eastAsia="Arial" w:hAnsi="Arial"/>
                <w:sz w:val="18"/>
                <w:szCs w:val="18"/>
                <w:color w:val="auto"/>
              </w:rPr>
              <w:t>Chattanooga, TN 37419</w:t>
            </w: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DECLARATION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ACCESS AND UTILITIES EASEMENT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THIS DECLARATION OF ACCESS AND UTILITIES EASEMENT </w:t>
      </w:r>
      <w:r>
        <w:rPr>
          <w:rFonts w:ascii="Arial" w:cs="Arial" w:eastAsia="Arial" w:hAnsi="Arial"/>
          <w:sz w:val="17"/>
          <w:szCs w:val="17"/>
          <w:color w:val="auto"/>
        </w:rPr>
        <w:t>(this “</w:t>
      </w:r>
      <w:r>
        <w:rPr>
          <w:rFonts w:ascii="Arial" w:cs="Arial" w:eastAsia="Arial" w:hAnsi="Arial"/>
          <w:sz w:val="17"/>
          <w:szCs w:val="17"/>
          <w:u w:val="single" w:color="auto"/>
          <w:color w:val="auto"/>
        </w:rPr>
        <w:t>Declaration</w:t>
      </w:r>
      <w:r>
        <w:rPr>
          <w:rFonts w:ascii="Arial" w:cs="Arial" w:eastAsia="Arial" w:hAnsi="Arial"/>
          <w:sz w:val="17"/>
          <w:szCs w:val="17"/>
          <w:color w:val="auto"/>
        </w:rPr>
        <w:t>”) is made as of the ______ day of 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20___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by </w:t>
      </w:r>
      <w:r>
        <w:rPr>
          <w:rFonts w:ascii="Arial" w:cs="Arial" w:eastAsia="Arial" w:hAnsi="Arial"/>
          <w:sz w:val="18"/>
          <w:szCs w:val="18"/>
          <w:b w:val="1"/>
          <w:bCs w:val="1"/>
          <w:color w:val="auto"/>
        </w:rPr>
        <w:t>_____________________________________</w:t>
      </w:r>
      <w:r>
        <w:rPr>
          <w:rFonts w:ascii="Arial" w:cs="Arial" w:eastAsia="Arial" w:hAnsi="Arial"/>
          <w:sz w:val="18"/>
          <w:szCs w:val="18"/>
          <w:color w:val="auto"/>
        </w:rPr>
        <w:t>, a __________________________ (“</w:t>
      </w:r>
      <w:r>
        <w:rPr>
          <w:rFonts w:ascii="Arial" w:cs="Arial" w:eastAsia="Arial" w:hAnsi="Arial"/>
          <w:sz w:val="18"/>
          <w:szCs w:val="18"/>
          <w:u w:val="single" w:color="auto"/>
          <w:color w:val="auto"/>
        </w:rPr>
        <w:t>Declarant</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 THAT: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Declarant owns the parcel of land more particularly described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made a part hereof, being defined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Burdened Parcel</w:t>
      </w:r>
      <w:r>
        <w:rPr>
          <w:rFonts w:ascii="Arial" w:cs="Arial" w:eastAsia="Arial" w:hAnsi="Arial"/>
          <w:sz w:val="18"/>
          <w:szCs w:val="18"/>
          <w:color w:val="auto"/>
        </w:rPr>
        <w: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Declarant’s affiliate, Novonix 1029, LLC, owns or leases the parcel of land adjacent to the Burdened Parcel, as more particularly</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on Exhibit B attached hereto and made a part hereof, being defined as the “</w:t>
      </w:r>
      <w:r>
        <w:rPr>
          <w:rFonts w:ascii="Arial" w:cs="Arial" w:eastAsia="Arial" w:hAnsi="Arial"/>
          <w:sz w:val="18"/>
          <w:szCs w:val="18"/>
          <w:u w:val="single" w:color="auto"/>
          <w:color w:val="auto"/>
        </w:rPr>
        <w:t>Benefitted Parcel</w:t>
      </w:r>
      <w:r>
        <w:rPr>
          <w:rFonts w:ascii="Arial" w:cs="Arial" w:eastAsia="Arial" w:hAnsi="Arial"/>
          <w:sz w:val="18"/>
          <w:szCs w:val="18"/>
          <w:color w:val="auto"/>
        </w:rPr>
        <w:t>”;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Declarant desires to establish for the benefit of the Benefitted Parcel, permanent easements for pedestrian and vehicular ingress and</w:t>
      </w:r>
      <w:r>
        <w:rPr>
          <w:rFonts w:ascii="Arial" w:cs="Arial" w:eastAsia="Arial" w:hAnsi="Arial"/>
          <w:sz w:val="18"/>
          <w:szCs w:val="18"/>
          <w:b w:val="1"/>
          <w:bCs w:val="1"/>
          <w:color w:val="auto"/>
        </w:rPr>
        <w:t xml:space="preserve"> </w:t>
      </w:r>
      <w:r>
        <w:rPr>
          <w:rFonts w:ascii="Arial" w:cs="Arial" w:eastAsia="Arial" w:hAnsi="Arial"/>
          <w:sz w:val="18"/>
          <w:szCs w:val="18"/>
          <w:color w:val="auto"/>
        </w:rPr>
        <w:t>egress and utilities over and under the Burdened Parcel;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Declarant desires to document the creation of such easements and the respective responsibilities as to the installation, use, repair,</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and replacement of the improvements now, or hereafter, contained therein; and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used herein, the terms “Parcel” and “Parcels” shall refer to the Burdened Parcel and the Benefitted Parcel, as well as any future</w:t>
      </w:r>
      <w:r>
        <w:rPr>
          <w:rFonts w:ascii="Arial" w:cs="Arial" w:eastAsia="Arial" w:hAnsi="Arial"/>
          <w:sz w:val="18"/>
          <w:szCs w:val="18"/>
          <w:b w:val="1"/>
          <w:bCs w:val="1"/>
          <w:color w:val="auto"/>
        </w:rPr>
        <w:t xml:space="preserve"> </w:t>
      </w:r>
      <w:r>
        <w:rPr>
          <w:rFonts w:ascii="Arial" w:cs="Arial" w:eastAsia="Arial" w:hAnsi="Arial"/>
          <w:sz w:val="18"/>
          <w:szCs w:val="18"/>
          <w:color w:val="auto"/>
        </w:rPr>
        <w:t>parcel created from a subdivision of any of such Parcel as appropriate in the context, and the term “Owner” shall mean the record owner, whether one or more persons or entities, of fee simple title to any Parcel, and any tenant thereof, but excluding any party having such interest merely as security for the performance of any obligation.</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8" w:name="page459"/>
    <w:bookmarkEnd w:id="458"/>
    <w:p>
      <w:pPr>
        <w:jc w:val="both"/>
        <w:ind w:right="20"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herein contained, and of other good and valuable consideration, the receipt and legal</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all of which hereby are acknowledged, and for the purposes set forth above, Declarant hereby declares for itself, and its successors and assigns with respect to the Burdened Parcel, as follows:</w:t>
      </w:r>
    </w:p>
    <w:p>
      <w:pPr>
        <w:spacing w:after="0" w:line="176" w:lineRule="exact"/>
        <w:rPr>
          <w:sz w:val="20"/>
          <w:szCs w:val="20"/>
          <w:color w:val="auto"/>
        </w:rPr>
      </w:pPr>
    </w:p>
    <w:p>
      <w:pPr>
        <w:jc w:val="both"/>
        <w:ind w:firstLine="656"/>
        <w:spacing w:after="0" w:line="267" w:lineRule="auto"/>
        <w:tabs>
          <w:tab w:leader="none" w:pos="1449" w:val="left"/>
        </w:tabs>
        <w:numPr>
          <w:ilvl w:val="0"/>
          <w:numId w:val="470"/>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Easement</w:t>
      </w:r>
      <w:r>
        <w:rPr>
          <w:rFonts w:ascii="Arial" w:cs="Arial" w:eastAsia="Arial" w:hAnsi="Arial"/>
          <w:sz w:val="16"/>
          <w:szCs w:val="16"/>
          <w:color w:val="auto"/>
        </w:rPr>
        <w:t>. Declarant hereby establishes, grants and conveys to and for the benefit of the Owner of the Benefitted Parcel, its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and for the benefit of the Benefitted Parcel and all portions thereof, a non-exclusive, perpetual easement over and under and including the right to the use of all portions of the Burdened Parcel, for their intended purposes of ingress, egress, passage and delivery by vehicles and pedestrians, as well as for the installation, use, maintenance, repair and replacement of utilities serving the Benefitted Parcel and connecting to public utilities, to and from the Benefitted Parcel, in accordance with the terms hereof to and from the public right of way of West 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The foregoing easements within the Burdened Parcel are hereinafter collectively referred to as “</w:t>
      </w:r>
      <w:r>
        <w:rPr>
          <w:rFonts w:ascii="Arial" w:cs="Arial" w:eastAsia="Arial" w:hAnsi="Arial"/>
          <w:sz w:val="16"/>
          <w:szCs w:val="16"/>
          <w:u w:val="single" w:color="auto"/>
          <w:color w:val="auto"/>
        </w:rPr>
        <w:t>Easements</w:t>
      </w:r>
      <w:r>
        <w:rPr>
          <w:rFonts w:ascii="Arial" w:cs="Arial" w:eastAsia="Arial" w:hAnsi="Arial"/>
          <w:sz w:val="16"/>
          <w:szCs w:val="16"/>
          <w:color w:val="auto"/>
        </w:rPr>
        <w:t xml:space="preserve">”. The Easements granted herein shall be for the benefit of, but not restricted solely to the Owner of the Benefitted Parcel and its tenants, subtenants, customers, employees, agents, business invitees, successors and assigns;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the Easements are not intended nor shall they be construed as creating any rights in or for the benefit of the general public.</w:t>
      </w:r>
    </w:p>
    <w:p>
      <w:pPr>
        <w:spacing w:after="0" w:line="178" w:lineRule="exact"/>
        <w:rPr>
          <w:rFonts w:ascii="Arial" w:cs="Arial" w:eastAsia="Arial" w:hAnsi="Arial"/>
          <w:sz w:val="16"/>
          <w:szCs w:val="16"/>
          <w:color w:val="auto"/>
        </w:rPr>
      </w:pPr>
    </w:p>
    <w:p>
      <w:pPr>
        <w:jc w:val="both"/>
        <w:ind w:firstLine="656"/>
        <w:spacing w:after="0" w:line="289" w:lineRule="auto"/>
        <w:tabs>
          <w:tab w:leader="none" w:pos="1476" w:val="left"/>
        </w:tabs>
        <w:numPr>
          <w:ilvl w:val="0"/>
          <w:numId w:val="470"/>
        </w:numPr>
        <w:rPr>
          <w:rFonts w:ascii="Arial" w:cs="Arial" w:eastAsia="Arial" w:hAnsi="Arial"/>
          <w:sz w:val="17"/>
          <w:szCs w:val="17"/>
          <w:color w:val="auto"/>
        </w:rPr>
      </w:pPr>
      <w:r>
        <w:rPr>
          <w:rFonts w:ascii="Arial" w:cs="Arial" w:eastAsia="Arial" w:hAnsi="Arial"/>
          <w:sz w:val="17"/>
          <w:szCs w:val="17"/>
          <w:b w:val="1"/>
          <w:bCs w:val="1"/>
          <w:u w:val="single" w:color="auto"/>
          <w:color w:val="auto"/>
        </w:rPr>
        <w:t>No Relocation of Easement Areas</w:t>
      </w:r>
      <w:r>
        <w:rPr>
          <w:rFonts w:ascii="Arial" w:cs="Arial" w:eastAsia="Arial" w:hAnsi="Arial"/>
          <w:sz w:val="17"/>
          <w:szCs w:val="17"/>
          <w:color w:val="auto"/>
        </w:rPr>
        <w:t>. The Easements shall not be relocated or closed by Declarant, its successors, assigns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without the prior written approval (given in the reasonable discretion of the benefitted party) of the Owner of the Benefitted Parcel and/or its respective successors-in-title and any mortgagee having a lien on the fee simple interest to the Benefitted Parcel, or any portion thereof.</w:t>
      </w:r>
    </w:p>
    <w:p>
      <w:pPr>
        <w:spacing w:after="0" w:line="157" w:lineRule="exact"/>
        <w:rPr>
          <w:rFonts w:ascii="Arial" w:cs="Arial" w:eastAsia="Arial" w:hAnsi="Arial"/>
          <w:sz w:val="17"/>
          <w:szCs w:val="17"/>
          <w:color w:val="auto"/>
        </w:rPr>
      </w:pPr>
    </w:p>
    <w:p>
      <w:pPr>
        <w:jc w:val="both"/>
        <w:ind w:firstLine="656"/>
        <w:spacing w:after="0" w:line="294" w:lineRule="auto"/>
        <w:tabs>
          <w:tab w:leader="none" w:pos="1422" w:val="left"/>
        </w:tabs>
        <w:numPr>
          <w:ilvl w:val="0"/>
          <w:numId w:val="470"/>
        </w:numPr>
        <w:rPr>
          <w:rFonts w:ascii="Arial" w:cs="Arial" w:eastAsia="Arial" w:hAnsi="Arial"/>
          <w:sz w:val="16"/>
          <w:szCs w:val="16"/>
          <w:color w:val="auto"/>
        </w:rPr>
      </w:pPr>
      <w:r>
        <w:rPr>
          <w:rFonts w:ascii="Arial" w:cs="Arial" w:eastAsia="Arial" w:hAnsi="Arial"/>
          <w:sz w:val="16"/>
          <w:szCs w:val="16"/>
          <w:b w:val="1"/>
          <w:bCs w:val="1"/>
          <w:u w:val="single" w:color="auto"/>
          <w:color w:val="auto"/>
        </w:rPr>
        <w:t>No Obstructions</w:t>
      </w:r>
      <w:r>
        <w:rPr>
          <w:rFonts w:ascii="Arial" w:cs="Arial" w:eastAsia="Arial" w:hAnsi="Arial"/>
          <w:sz w:val="16"/>
          <w:szCs w:val="16"/>
          <w:color w:val="auto"/>
        </w:rPr>
        <w:t>. Declarant declares and agrees neither it, nor its successors or assigns will erect, or allow the erection of obstructions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the Burdened Parcel that interfere with the intended use of the Easements;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Declarant shall have the right to temporarily close portions of the Easements from time to time, as may be reasonably required for the purpose of repairing or replacing the pavement, utilities, or other improvements located thereon and to prevent the accrual of rights by the public in any portion of the Burdened Parcel. Except in emergency situations, such action shall be taken only after at least five (5) business days’ written notice to the Owner of the Benefitted Parcel. Any such repair or replacement shall be completed as soon as reasonably practicable under the circumstances in order to minimize disruption of the use of the Easements as provided hereunder.</w:t>
      </w:r>
    </w:p>
    <w:p>
      <w:pPr>
        <w:spacing w:after="0" w:line="159" w:lineRule="exact"/>
        <w:rPr>
          <w:rFonts w:ascii="Arial" w:cs="Arial" w:eastAsia="Arial" w:hAnsi="Arial"/>
          <w:sz w:val="16"/>
          <w:szCs w:val="16"/>
          <w:color w:val="auto"/>
        </w:rPr>
      </w:pPr>
    </w:p>
    <w:p>
      <w:pPr>
        <w:jc w:val="both"/>
        <w:ind w:firstLine="656"/>
        <w:spacing w:after="0" w:line="258" w:lineRule="auto"/>
        <w:tabs>
          <w:tab w:leader="none" w:pos="1395" w:val="left"/>
        </w:tabs>
        <w:numPr>
          <w:ilvl w:val="0"/>
          <w:numId w:val="470"/>
        </w:numPr>
        <w:rPr>
          <w:rFonts w:ascii="Arial" w:cs="Arial" w:eastAsia="Arial" w:hAnsi="Arial"/>
          <w:sz w:val="18"/>
          <w:szCs w:val="18"/>
          <w:color w:val="auto"/>
        </w:rPr>
      </w:pPr>
      <w:r>
        <w:rPr>
          <w:rFonts w:ascii="Arial" w:cs="Arial" w:eastAsia="Arial" w:hAnsi="Arial"/>
          <w:sz w:val="18"/>
          <w:szCs w:val="18"/>
          <w:b w:val="1"/>
          <w:bCs w:val="1"/>
          <w:u w:val="single" w:color="auto"/>
          <w:color w:val="auto"/>
        </w:rPr>
        <w:t>Maintenance and Repair</w:t>
      </w:r>
      <w:r>
        <w:rPr>
          <w:rFonts w:ascii="Arial" w:cs="Arial" w:eastAsia="Arial" w:hAnsi="Arial"/>
          <w:sz w:val="18"/>
          <w:szCs w:val="18"/>
          <w:color w:val="auto"/>
        </w:rPr>
        <w:t>. In consideration of the grant of the Easements herein, the Owner of the Benefitted Parcel,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assigns, shall be responsible, at its sole expense, for the repair, maintenance in good condition and replacement of the improvements on the Burdened Parcel in compliance with all laws, codes and ordinances to at least the existing standards as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Owner of the Burdened Parcel, its successors and assigns, shall be responsible for the repair of any damage to any of the improvements on the Burdened Parcel and the cost thereof caused by its negligence or its unreasonable use thereof.</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9" w:name="page460"/>
    <w:bookmarkEnd w:id="459"/>
    <w:p>
      <w:pPr>
        <w:jc w:val="both"/>
        <w:ind w:right="20" w:firstLine="1304"/>
        <w:spacing w:after="0" w:line="255" w:lineRule="auto"/>
        <w:tabs>
          <w:tab w:leader="none" w:pos="2126" w:val="left"/>
        </w:tabs>
        <w:numPr>
          <w:ilvl w:val="1"/>
          <w:numId w:val="471"/>
        </w:numPr>
        <w:rPr>
          <w:rFonts w:ascii="Arial" w:cs="Arial" w:eastAsia="Arial" w:hAnsi="Arial"/>
          <w:sz w:val="18"/>
          <w:szCs w:val="18"/>
          <w:color w:val="auto"/>
        </w:rPr>
      </w:pPr>
      <w:r>
        <w:rPr>
          <w:rFonts w:ascii="Arial" w:cs="Arial" w:eastAsia="Arial" w:hAnsi="Arial"/>
          <w:sz w:val="18"/>
          <w:szCs w:val="18"/>
          <w:color w:val="auto"/>
        </w:rPr>
        <w:t>Declarant, as owner of the Burdened Parcel, and the current or any future Owner of the Benefitted Parcel, each at its own expense, unless there is a written agreement to the contrary, reserves the right from time to time to relocate utilities located on the Burdened Parcel to, or install new utilities at, other locations on the Burdened Parcel to accommodate development on their respective properties, provided utility service and access shall be maintained in an uninterrupted and adequate condition as required by this Declaration during any such relocation, the Owner performing the work shall restore the surface to a condition substantially the same as its condition prior to such work, and further provided the Owner performing the work shall review with the other Owner the plans for such relocation.</w:t>
      </w:r>
    </w:p>
    <w:p>
      <w:pPr>
        <w:spacing w:after="0" w:line="188" w:lineRule="exact"/>
        <w:rPr>
          <w:rFonts w:ascii="Arial" w:cs="Arial" w:eastAsia="Arial" w:hAnsi="Arial"/>
          <w:sz w:val="18"/>
          <w:szCs w:val="18"/>
          <w:color w:val="auto"/>
        </w:rPr>
      </w:pPr>
    </w:p>
    <w:p>
      <w:pPr>
        <w:jc w:val="both"/>
        <w:ind w:firstLine="656"/>
        <w:spacing w:after="0" w:line="272" w:lineRule="auto"/>
        <w:tabs>
          <w:tab w:leader="none" w:pos="1381" w:val="left"/>
        </w:tabs>
        <w:numPr>
          <w:ilvl w:val="0"/>
          <w:numId w:val="472"/>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Indemnity</w:t>
      </w:r>
      <w:r>
        <w:rPr>
          <w:rFonts w:ascii="Arial" w:cs="Arial" w:eastAsia="Arial" w:hAnsi="Arial"/>
          <w:sz w:val="17"/>
          <w:szCs w:val="17"/>
          <w:color w:val="auto"/>
        </w:rPr>
        <w:t>. In consideration of the Easements granted herein, the Owner of the Benefitted Parcel and the Owner of the Burdened Parcel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shall indemnify, defend and hold the other Owner harmless against any and all claims, demands, liabilities, damages and losses and any incidental expenses (including, without limitation, reasonable attorneys’ fees) resulting from injury to or death of persons or damage to property arising out of the use of the Burdened Property by the indemnifying party, its employees and agents;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this indemnification shall not extend to any claims caused in whole or in part by any act or omission of the indemnified party, its tenants, or their respective employees, agents and contractors. Each Owner shall maintain commercial general liability insurance, covering its activities, including activities of its employees, agents and invitees on thee Burdened Parcel in an amount of not less than $2,000,000, which insurance shall include the other party as an additional insured, and shall provide evidence of such upon request by any other party hereto.</w:t>
      </w:r>
    </w:p>
    <w:p>
      <w:pPr>
        <w:spacing w:after="0" w:line="171" w:lineRule="exact"/>
        <w:rPr>
          <w:rFonts w:ascii="Arial" w:cs="Arial" w:eastAsia="Arial" w:hAnsi="Arial"/>
          <w:sz w:val="17"/>
          <w:szCs w:val="17"/>
          <w:color w:val="auto"/>
        </w:rPr>
      </w:pPr>
    </w:p>
    <w:p>
      <w:pPr>
        <w:jc w:val="both"/>
        <w:ind w:right="20" w:firstLine="656"/>
        <w:spacing w:after="0" w:line="261" w:lineRule="auto"/>
        <w:tabs>
          <w:tab w:leader="none" w:pos="1435" w:val="left"/>
        </w:tabs>
        <w:numPr>
          <w:ilvl w:val="0"/>
          <w:numId w:val="472"/>
        </w:numPr>
        <w:rPr>
          <w:rFonts w:ascii="Arial" w:cs="Arial" w:eastAsia="Arial" w:hAnsi="Arial"/>
          <w:sz w:val="18"/>
          <w:szCs w:val="18"/>
          <w:color w:val="auto"/>
        </w:rPr>
      </w:pPr>
      <w:r>
        <w:rPr>
          <w:rFonts w:ascii="Arial" w:cs="Arial" w:eastAsia="Arial" w:hAnsi="Arial"/>
          <w:sz w:val="18"/>
          <w:szCs w:val="18"/>
          <w:b w:val="1"/>
          <w:bCs w:val="1"/>
          <w:u w:val="single" w:color="auto"/>
          <w:color w:val="auto"/>
        </w:rPr>
        <w:t>No Dedication</w:t>
      </w:r>
      <w:r>
        <w:rPr>
          <w:rFonts w:ascii="Arial" w:cs="Arial" w:eastAsia="Arial" w:hAnsi="Arial"/>
          <w:sz w:val="18"/>
          <w:szCs w:val="18"/>
          <w:color w:val="auto"/>
        </w:rPr>
        <w:t>. Nothing contained herein shall be deemed to be a gift or dedication of any land to the general public or for any public</w:t>
      </w:r>
      <w:r>
        <w:rPr>
          <w:rFonts w:ascii="Arial" w:cs="Arial" w:eastAsia="Arial" w:hAnsi="Arial"/>
          <w:sz w:val="18"/>
          <w:szCs w:val="18"/>
          <w:b w:val="1"/>
          <w:bCs w:val="1"/>
          <w:color w:val="auto"/>
        </w:rPr>
        <w:t xml:space="preserve"> </w:t>
      </w:r>
      <w:r>
        <w:rPr>
          <w:rFonts w:ascii="Arial" w:cs="Arial" w:eastAsia="Arial" w:hAnsi="Arial"/>
          <w:sz w:val="18"/>
          <w:szCs w:val="18"/>
          <w:color w:val="auto"/>
        </w:rPr>
        <w:t>use or purpose whatsoever. Except as specifically set forth herein, no right, privilege or immunity of any party shall inure to the benefit of any third party nor shall any third party be deemed to be a beneficiary of this Declaration. It is specifically agreed that the only parties who may enforce this Declaration are the parties hereto and their respective successors and assigns.</w:t>
      </w:r>
    </w:p>
    <w:p>
      <w:pPr>
        <w:spacing w:after="0" w:line="179" w:lineRule="exact"/>
        <w:rPr>
          <w:rFonts w:ascii="Arial" w:cs="Arial" w:eastAsia="Arial" w:hAnsi="Arial"/>
          <w:sz w:val="18"/>
          <w:szCs w:val="18"/>
          <w:color w:val="auto"/>
        </w:rPr>
      </w:pPr>
    </w:p>
    <w:p>
      <w:pPr>
        <w:jc w:val="both"/>
        <w:ind w:right="20" w:firstLine="656"/>
        <w:spacing w:after="0" w:line="261" w:lineRule="auto"/>
        <w:tabs>
          <w:tab w:leader="none" w:pos="1381" w:val="left"/>
        </w:tabs>
        <w:numPr>
          <w:ilvl w:val="0"/>
          <w:numId w:val="47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elections or other communications authorized, required or permitted under this Declaration will be made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be deemed given when received (or the date when delivery is refused) by the party to whom such notice is sent. Notice may be given by: (i) overnight courier service (</w:t>
      </w:r>
      <w:r>
        <w:rPr>
          <w:rFonts w:ascii="Arial" w:cs="Arial" w:eastAsia="Arial" w:hAnsi="Arial"/>
          <w:sz w:val="18"/>
          <w:szCs w:val="18"/>
          <w:i w:val="1"/>
          <w:iCs w:val="1"/>
          <w:color w:val="auto"/>
        </w:rPr>
        <w:t>e.g.</w:t>
      </w:r>
      <w:r>
        <w:rPr>
          <w:rFonts w:ascii="Arial" w:cs="Arial" w:eastAsia="Arial" w:hAnsi="Arial"/>
          <w:sz w:val="18"/>
          <w:szCs w:val="18"/>
          <w:color w:val="auto"/>
        </w:rPr>
        <w:t>, FedEx), postage prepaid; or (ii) U.S. certified mail, return receipt requested, postage prepaid; or (iii) email correspondence with verification of receipt, as follows: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To Declarant (as Owner of the Burdened Parcel)</w:t>
      </w:r>
      <w:r>
        <w:rPr>
          <w:rFonts w:ascii="Arial" w:cs="Arial" w:eastAsia="Arial" w:hAnsi="Arial"/>
          <w:sz w:val="18"/>
          <w:szCs w:val="18"/>
          <w:color w:val="auto"/>
        </w:rPr>
        <w:t>:</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____________________</w:t>
      </w:r>
    </w:p>
    <w:p>
      <w:pPr>
        <w:spacing w:after="0" w:line="211"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With copy to:</w:t>
      </w:r>
      <w:r>
        <w:rPr>
          <w:sz w:val="20"/>
          <w:szCs w:val="20"/>
          <w:color w:val="auto"/>
        </w:rPr>
        <w:tab/>
      </w:r>
      <w:r>
        <w:rPr>
          <w:rFonts w:ascii="Arial" w:cs="Arial" w:eastAsia="Arial" w:hAnsi="Arial"/>
          <w:sz w:val="16"/>
          <w:szCs w:val="16"/>
          <w:color w:val="auto"/>
        </w:rPr>
        <w:t>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0" w:name="page461"/>
    <w:bookmarkEnd w:id="460"/>
    <w:p>
      <w:pPr>
        <w:ind w:left="1300"/>
        <w:spacing w:after="0"/>
        <w:rPr>
          <w:sz w:val="20"/>
          <w:szCs w:val="20"/>
          <w:color w:val="auto"/>
        </w:rPr>
      </w:pPr>
      <w:r>
        <w:rPr>
          <w:rFonts w:ascii="Arial" w:cs="Arial" w:eastAsia="Arial" w:hAnsi="Arial"/>
          <w:sz w:val="18"/>
          <w:szCs w:val="18"/>
          <w:b w:val="1"/>
          <w:bCs w:val="1"/>
          <w:u w:val="single" w:color="auto"/>
          <w:color w:val="auto"/>
        </w:rPr>
        <w:t>To Owner of the Benefitted Parcel)</w:t>
      </w:r>
      <w:r>
        <w:rPr>
          <w:rFonts w:ascii="Arial" w:cs="Arial" w:eastAsia="Arial" w:hAnsi="Arial"/>
          <w:sz w:val="18"/>
          <w:szCs w:val="18"/>
          <w:color w:val="auto"/>
        </w:rPr>
        <w:t>:</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____________________</w:t>
      </w:r>
    </w:p>
    <w:p>
      <w:pPr>
        <w:spacing w:after="0" w:line="211"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With copy to:</w:t>
      </w:r>
      <w:r>
        <w:rPr>
          <w:sz w:val="20"/>
          <w:szCs w:val="20"/>
          <w:color w:val="auto"/>
        </w:rPr>
        <w:tab/>
      </w:r>
      <w:r>
        <w:rPr>
          <w:rFonts w:ascii="Arial" w:cs="Arial" w:eastAsia="Arial" w:hAnsi="Arial"/>
          <w:sz w:val="16"/>
          <w:szCs w:val="16"/>
          <w:color w:val="auto"/>
        </w:rPr>
        <w:t>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w:t>
      </w:r>
    </w:p>
    <w:p>
      <w:pPr>
        <w:spacing w:after="0" w:line="207" w:lineRule="exact"/>
        <w:rPr>
          <w:sz w:val="20"/>
          <w:szCs w:val="20"/>
          <w:color w:val="auto"/>
        </w:rPr>
      </w:pPr>
    </w:p>
    <w:p>
      <w:pPr>
        <w:jc w:val="both"/>
        <w:ind w:firstLine="656"/>
        <w:spacing w:after="0" w:line="258" w:lineRule="auto"/>
        <w:tabs>
          <w:tab w:leader="none" w:pos="1449" w:val="left"/>
        </w:tabs>
        <w:numPr>
          <w:ilvl w:val="0"/>
          <w:numId w:val="473"/>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Running With Land</w:t>
      </w:r>
      <w:r>
        <w:rPr>
          <w:rFonts w:ascii="Arial" w:cs="Arial" w:eastAsia="Arial" w:hAnsi="Arial"/>
          <w:sz w:val="18"/>
          <w:szCs w:val="18"/>
          <w:color w:val="auto"/>
        </w:rPr>
        <w:t>. The obligations, easements and conditions contained in this Declaration are covenants running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land; and they are made for the benefit of Declarant, each future Owner of any Parcel, and the grantees, successors, assigns, lessees, agents, employees and invitees of each of the foregoing. The Owner of each Parcel shall have no liability under this Declaration except with respect to matters occurring during the period of its ownership of its parcel. All terms, covenants and easements in this Declaration shall be binding upon and inure to the benefit of Declarant and Grantee and their respective successors and assigns.</w:t>
      </w:r>
    </w:p>
    <w:p>
      <w:pPr>
        <w:spacing w:after="0" w:line="183" w:lineRule="exact"/>
        <w:rPr>
          <w:rFonts w:ascii="Arial" w:cs="Arial" w:eastAsia="Arial" w:hAnsi="Arial"/>
          <w:sz w:val="18"/>
          <w:szCs w:val="18"/>
          <w:color w:val="auto"/>
        </w:rPr>
      </w:pPr>
    </w:p>
    <w:p>
      <w:pPr>
        <w:ind w:right="20" w:firstLine="656"/>
        <w:spacing w:after="0" w:line="312" w:lineRule="auto"/>
        <w:tabs>
          <w:tab w:leader="none" w:pos="1381" w:val="left"/>
        </w:tabs>
        <w:numPr>
          <w:ilvl w:val="0"/>
          <w:numId w:val="473"/>
        </w:numPr>
        <w:rPr>
          <w:rFonts w:ascii="Arial" w:cs="Arial" w:eastAsia="Arial" w:hAnsi="Arial"/>
          <w:sz w:val="17"/>
          <w:szCs w:val="17"/>
          <w:color w:val="auto"/>
        </w:rPr>
      </w:pPr>
      <w:r>
        <w:rPr>
          <w:rFonts w:ascii="Arial" w:cs="Arial" w:eastAsia="Arial" w:hAnsi="Arial"/>
          <w:sz w:val="17"/>
          <w:szCs w:val="17"/>
          <w:b w:val="1"/>
          <w:bCs w:val="1"/>
          <w:u w:val="single" w:color="auto"/>
          <w:color w:val="auto"/>
        </w:rPr>
        <w:t>Estoppels</w:t>
      </w:r>
      <w:r>
        <w:rPr>
          <w:rFonts w:ascii="Arial" w:cs="Arial" w:eastAsia="Arial" w:hAnsi="Arial"/>
          <w:sz w:val="17"/>
          <w:szCs w:val="17"/>
          <w:color w:val="auto"/>
        </w:rPr>
        <w:t>. Within fifteen (15) days of a party’s request to the other party, the requested party shall execute and deliver to the requesting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party an estoppel certificate in a form reasonably acceptable to such certifying party as to the terms and status of this Declaration.</w:t>
      </w:r>
    </w:p>
    <w:p>
      <w:pPr>
        <w:spacing w:after="0" w:line="139" w:lineRule="exact"/>
        <w:rPr>
          <w:rFonts w:ascii="Arial" w:cs="Arial" w:eastAsia="Arial" w:hAnsi="Arial"/>
          <w:sz w:val="17"/>
          <w:szCs w:val="17"/>
          <w:color w:val="auto"/>
        </w:rPr>
      </w:pPr>
    </w:p>
    <w:p>
      <w:pPr>
        <w:ind w:firstLine="656"/>
        <w:spacing w:after="0" w:line="312" w:lineRule="auto"/>
        <w:tabs>
          <w:tab w:leader="none" w:pos="1449" w:val="left"/>
        </w:tabs>
        <w:numPr>
          <w:ilvl w:val="0"/>
          <w:numId w:val="473"/>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Amendments</w:t>
      </w:r>
      <w:r>
        <w:rPr>
          <w:rFonts w:ascii="Arial" w:cs="Arial" w:eastAsia="Arial" w:hAnsi="Arial"/>
          <w:sz w:val="17"/>
          <w:szCs w:val="17"/>
          <w:color w:val="auto"/>
        </w:rPr>
        <w:t>. This Declaration may be amended only by a written agreement executed by the Owner of the Burdened Parcel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Benefitted Parcel. Any such amendment shall be properly recorded in the Office of the Register for Hamilton County, Tennessee.</w:t>
      </w:r>
    </w:p>
    <w:p>
      <w:pPr>
        <w:spacing w:after="0" w:line="139" w:lineRule="exact"/>
        <w:rPr>
          <w:rFonts w:ascii="Arial" w:cs="Arial" w:eastAsia="Arial" w:hAnsi="Arial"/>
          <w:sz w:val="17"/>
          <w:szCs w:val="17"/>
          <w:color w:val="auto"/>
        </w:rPr>
      </w:pPr>
    </w:p>
    <w:p>
      <w:pPr>
        <w:jc w:val="both"/>
        <w:ind w:firstLine="656"/>
        <w:spacing w:after="0" w:line="266" w:lineRule="auto"/>
        <w:tabs>
          <w:tab w:leader="none" w:pos="1442" w:val="left"/>
        </w:tabs>
        <w:numPr>
          <w:ilvl w:val="0"/>
          <w:numId w:val="47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This Declaration has been entered into, and shall be construed in accordance with, the laws of the State of Tennessee,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its principles of conflicts of laws. This Declaration sets forth the entire agreement of the parties with respect to the matters set forth herein, and supersedes any prior written or oral understandings between the parties with respect to those matters.</w:t>
      </w:r>
    </w:p>
    <w:p>
      <w:pPr>
        <w:spacing w:after="0" w:line="175" w:lineRule="exact"/>
        <w:rPr>
          <w:rFonts w:ascii="Arial" w:cs="Arial" w:eastAsia="Arial" w:hAnsi="Arial"/>
          <w:sz w:val="18"/>
          <w:szCs w:val="18"/>
          <w:color w:val="auto"/>
        </w:rPr>
      </w:pPr>
    </w:p>
    <w:p>
      <w:pPr>
        <w:ind w:left="1380" w:hanging="724"/>
        <w:spacing w:after="0"/>
        <w:tabs>
          <w:tab w:leader="none" w:pos="1380" w:val="left"/>
        </w:tabs>
        <w:numPr>
          <w:ilvl w:val="0"/>
          <w:numId w:val="473"/>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color w:val="auto"/>
        </w:rPr>
        <w:t>. The Recitals set forth in this Declaration are a part of this Declaration for all purposes.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[signatures begin on following page]</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1" w:name="page462"/>
    <w:bookmarkEnd w:id="461"/>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Declarant has executed and delivered this Declaration as of the day and year first written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DECLARANT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8" w:lineRule="exact"/>
        <w:rPr>
          <w:sz w:val="20"/>
          <w:szCs w:val="20"/>
          <w:color w:val="auto"/>
        </w:rPr>
      </w:pPr>
    </w:p>
    <w:p>
      <w:pPr>
        <w:ind w:left="1012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22860</wp:posOffset>
            </wp:positionV>
            <wp:extent cx="27774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-121920</wp:posOffset>
            </wp:positionV>
            <wp:extent cx="27774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270891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49428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49428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ACKNOWLEDGMENT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 OF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HAMILTON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ME, the undersigned authority, on this day personally appeared ________________________________, known to me to be the person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whose name is subscribed to the foregoing instrument, and acknowledged to me that he/she, in his/her capacity as the ____________________________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_______________________________________, </w:t>
      </w:r>
      <w:r>
        <w:rPr>
          <w:rFonts w:ascii="Arial" w:cs="Arial" w:eastAsia="Arial" w:hAnsi="Arial"/>
          <w:sz w:val="16"/>
          <w:szCs w:val="16"/>
          <w:color w:val="auto"/>
        </w:rPr>
        <w:t>a ______________________________________, and as the duly authorized act of said entity, executed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same for the purposes and consideration therein expressed.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UNDER MY HAND AND SEAL OF OFFICE, this ___ day of ____________, 20___.</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Notary Public for the State of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My commission expires: ___________</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2" w:name="page463"/>
    <w:bookmarkEnd w:id="462"/>
    <w:p>
      <w:pPr>
        <w:spacing w:after="0"/>
        <w:tabs>
          <w:tab w:leader="none" w:pos="2080" w:val="left"/>
        </w:tabs>
        <w:rPr>
          <w:sz w:val="20"/>
          <w:szCs w:val="20"/>
          <w:color w:val="auto"/>
        </w:rPr>
      </w:pPr>
      <w:r>
        <w:rPr>
          <w:rFonts w:ascii="Arial" w:cs="Arial" w:eastAsia="Arial" w:hAnsi="Arial"/>
          <w:sz w:val="18"/>
          <w:szCs w:val="18"/>
          <w:color w:val="auto"/>
        </w:rPr>
        <w:t>STATE OF TENNESSEE</w:t>
        <w:tab/>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HAMILTON )</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hereby swear or affirm that the actual consideration for this transfer or value of the property transferred, whichever is greater, is $1.00, which amount is equal to or greater than the amount which the property transferred would command at a fair and voluntary sale.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AFFIANT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Subscribed and sworn to before me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______________ day of </w:t>
      </w:r>
      <w:r>
        <w:rPr>
          <w:rFonts w:ascii="Arial" w:cs="Arial" w:eastAsia="Arial" w:hAnsi="Arial"/>
          <w:sz w:val="19"/>
          <w:szCs w:val="19"/>
          <w:color w:val="auto"/>
        </w:rPr>
        <w:t>_______________________</w:t>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42303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07124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[Affix Notarial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3" w:name="page464"/>
    <w:bookmarkEnd w:id="463"/>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Description of Burdened Parcel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469265</wp:posOffset>
            </wp:positionV>
            <wp:extent cx="7132320"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64" w:name="page465"/>
    <w:bookmarkEnd w:id="464"/>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Description of Benefitted Parcel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Tract 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City of Chattanooga, Hamilton County, Tennessee, Lot One (1), as designated on the Final Plat of Lot 1, The Bend Big Blue Subdivision, recorded in Plat Book 121, Page 33 in the Register's Office of Hamilton County, Tennessee.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Being part of the property conveyed to West End Property II, LLC by Deed recorded in Book 11360, Page 381 in the Register’s Office of Hamilton County, Tennessee.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Tract 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tract of land situated in the City of Chattanooga, Hamilton County, Tennessee and being a portion of Tract C conveyed by The Alabama Great Southern Railway Company to West End Property II, LLC recorded in Book 12574, Page 857 in the Register’s Office of Hamilton County Tennessee. Said portion of Tract C being more particularly described as follows: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at a point in the southeast corner of Lot 1, The Bend Big Blue Subdivision, recorded in Plat Book 121, Page 33 in the Register’s Office of Hamilton County, Tennessee on the west right-of-way of property now or formerly owned by CSX Railway, said point having Tennessee State Plane Grid Coordinates of North 257,537.803 and East 2,170,745.613, said point being hereafter referred to as the POINT OF BEGINNING;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Thence, leaving said point, with and along the said CSX property South 24 degrees 10 minutes 02 seconds West, 1.44 feet to point;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with and along the new division line between The Alabama Great Southern Railway Company and West End Property II, LLC the following calls and distances, North 65 degrees 25 minutes 35 seconds West, 56.95 feet to point;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in a curve to the right having a radius of 463.53 feet a length of 453.71 feet and being subtended by a chord of North 37 degrees 23 minutes 08 seconds West, 435.81 feet to point;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Thence, leaving the new said division line in a curve to the right having a radius of 200.00 feet a length of 107.28 feet and being subtended by a chord of North 06 degrees 01 minutes 21 seconds East, 106.00 feet to point on the existing property line of said Lot 1, The Bend Big Blue Subdivision;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Thence, with and along the existing line of said Lot 1, The Bend Big Blue Subdivision the following call and distances,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 curve to the left having a radius of 455.56 feet a length of 99.13 feet and being subtended by a chord of South 04 degrees 31 minutes 39 seconds East, 98.94 feet to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5" w:name="page466"/>
    <w:bookmarkEnd w:id="465"/>
    <w:p>
      <w:pPr>
        <w:spacing w:after="0" w:line="277" w:lineRule="auto"/>
        <w:rPr>
          <w:sz w:val="20"/>
          <w:szCs w:val="20"/>
          <w:color w:val="auto"/>
        </w:rPr>
      </w:pPr>
      <w:r>
        <w:rPr>
          <w:rFonts w:ascii="Arial" w:cs="Arial" w:eastAsia="Arial" w:hAnsi="Arial"/>
          <w:sz w:val="18"/>
          <w:szCs w:val="18"/>
          <w:color w:val="auto"/>
        </w:rPr>
        <w:t>Thence, in a curve to the left, having a radius of 478.18 feet a length of 225.39 feet and being subtended by a chord of South 24 degrees 15 minutes 54 seconds East, 223.31 feet to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South 37 degrees 46 minutes 06 seconds East, 28.34 feet to point;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in a curve to the left, having a radius of 395.44 feet a length of 152.34 feet and being subtended by a chord of South 47 degrees 31 minutes 43 seconds East, 151.40 feet to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South 58 degrees 33 minutes 54 seconds East, 90.56 feet the POINT OF BEGINNING.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Said Portion of Tract C herein contains 10,053.207 Sq.Ft. or 0.231 Acres.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260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860"/>
          </w:cols>
          <w:pgMar w:left="320" w:top="368" w:right="719" w:bottom="1440" w:gutter="0" w:footer="0" w:header="0"/>
        </w:sectPr>
      </w:pPr>
    </w:p>
    <w:bookmarkStart w:id="466" w:name="page467"/>
    <w:bookmarkEnd w:id="46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32320" cy="42545"/>
                    </a:xfrm>
                    <a:prstGeom prst="rect">
                      <a:avLst/>
                    </a:prstGeom>
                    <a:noFill/>
                  </pic:spPr>
                </pic:pic>
              </a:graphicData>
            </a:graphic>
          </wp:anchor>
        </w:drawing>
        <w:t>Exhibit 4.9</w:t>
      </w:r>
    </w:p>
    <w:p>
      <w:pPr>
        <w:spacing w:after="0" w:line="260"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NOVONIX Limited</w:t>
      </w:r>
    </w:p>
    <w:p>
      <w:pPr>
        <w:spacing w:after="0" w:line="19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And</w:t>
      </w:r>
    </w:p>
    <w:p>
      <w:pPr>
        <w:spacing w:after="0" w:line="198"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Phillips 66 Company</w:t>
      </w:r>
    </w:p>
    <w:p>
      <w:pPr>
        <w:spacing w:after="0" w:line="19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Subscription Agreement</w:t>
      </w:r>
    </w:p>
    <w:p>
      <w:pPr>
        <w:spacing w:after="0" w:line="19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9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47" w:right="339" w:bottom="1440" w:gutter="0" w:footer="0" w:header="0"/>
        </w:sectPr>
      </w:pPr>
    </w:p>
    <w:bookmarkStart w:id="467" w:name="page468"/>
    <w:bookmarkEnd w:id="467"/>
    <w:tbl>
      <w:tblPr>
        <w:tblLayout w:type="fixed"/>
        <w:tblInd w:w="0" w:type="dxa"/>
        <w:tblCellMar>
          <w:top w:w="0" w:type="dxa"/>
          <w:left w:w="0" w:type="dxa"/>
          <w:bottom w:w="0" w:type="dxa"/>
          <w:right w:w="0" w:type="dxa"/>
        </w:tblCellMar>
      </w:tblPr>
      <w:tr>
        <w:trPr>
          <w:trHeight w:val="239"/>
        </w:trPr>
        <w:tc>
          <w:tcPr>
            <w:tcW w:w="850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0"/>
                <w:szCs w:val="20"/>
                <w:color w:val="auto"/>
              </w:rPr>
            </w:pPr>
          </w:p>
        </w:tc>
      </w:tr>
      <w:tr>
        <w:trPr>
          <w:trHeight w:val="423"/>
        </w:trPr>
        <w:tc>
          <w:tcPr>
            <w:tcW w:w="440" w:type="dxa"/>
            <w:vAlign w:val="bottom"/>
          </w:tcPr>
          <w:p>
            <w:pPr>
              <w:spacing w:after="0"/>
              <w:rPr>
                <w:sz w:val="20"/>
                <w:szCs w:val="20"/>
                <w:color w:val="auto"/>
              </w:rPr>
            </w:pPr>
            <w:r>
              <w:rPr>
                <w:rFonts w:ascii="Arial" w:cs="Arial" w:eastAsia="Arial" w:hAnsi="Arial"/>
                <w:sz w:val="18"/>
                <w:szCs w:val="18"/>
                <w:b w:val="1"/>
                <w:bCs w:val="1"/>
                <w:color w:val="auto"/>
              </w:rPr>
              <w:t>1</w:t>
            </w:r>
          </w:p>
        </w:tc>
        <w:tc>
          <w:tcPr>
            <w:tcW w:w="80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DEFINITIONS AND INTERPRETATION</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1.1</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Definitions</w:t>
            </w:r>
          </w:p>
        </w:tc>
        <w:tc>
          <w:tcPr>
            <w:tcW w:w="2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1.2</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Interpretation</w:t>
            </w:r>
          </w:p>
        </w:tc>
        <w:tc>
          <w:tcPr>
            <w:tcW w:w="2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1.3</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Statements on the basis of knowledge or belief</w:t>
            </w:r>
          </w:p>
        </w:tc>
        <w:tc>
          <w:tcPr>
            <w:tcW w:w="2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40" w:type="dxa"/>
            <w:vAlign w:val="bottom"/>
          </w:tcPr>
          <w:p>
            <w:pPr>
              <w:spacing w:after="0"/>
              <w:rPr>
                <w:sz w:val="20"/>
                <w:szCs w:val="20"/>
                <w:color w:val="auto"/>
              </w:rPr>
            </w:pPr>
            <w:r>
              <w:rPr>
                <w:rFonts w:ascii="Arial" w:cs="Arial" w:eastAsia="Arial" w:hAnsi="Arial"/>
                <w:sz w:val="18"/>
                <w:szCs w:val="18"/>
                <w:b w:val="1"/>
                <w:bCs w:val="1"/>
                <w:color w:val="auto"/>
              </w:rPr>
              <w:t>2</w:t>
            </w:r>
          </w:p>
        </w:tc>
        <w:tc>
          <w:tcPr>
            <w:tcW w:w="8060" w:type="dxa"/>
            <w:vAlign w:val="bottom"/>
            <w:gridSpan w:val="2"/>
          </w:tcPr>
          <w:p>
            <w:pPr>
              <w:ind w:left="240"/>
              <w:spacing w:after="0"/>
              <w:rPr>
                <w:sz w:val="20"/>
                <w:szCs w:val="20"/>
                <w:color w:val="auto"/>
              </w:rPr>
            </w:pPr>
            <w:r>
              <w:rPr>
                <w:rFonts w:ascii="Arial" w:cs="Arial" w:eastAsia="Arial" w:hAnsi="Arial"/>
                <w:sz w:val="18"/>
                <w:szCs w:val="18"/>
                <w:b w:val="1"/>
                <w:bCs w:val="1"/>
                <w:color w:val="auto"/>
              </w:rPr>
              <w:t>CONDITIONS TO COMPLETION</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2.1</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Condition Precedent</w:t>
            </w:r>
          </w:p>
        </w:tc>
        <w:tc>
          <w:tcPr>
            <w:tcW w:w="2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2.2</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Other conditions</w:t>
            </w:r>
          </w:p>
        </w:tc>
        <w:tc>
          <w:tcPr>
            <w:tcW w:w="2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2.3</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Parties must co-operate</w:t>
            </w:r>
          </w:p>
        </w:tc>
        <w:tc>
          <w:tcPr>
            <w:tcW w:w="2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2.4</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Shareholder approval</w:t>
            </w:r>
          </w:p>
        </w:tc>
        <w:tc>
          <w:tcPr>
            <w:tcW w:w="2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2.5</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Waiver</w:t>
            </w:r>
          </w:p>
        </w:tc>
        <w:tc>
          <w:tcPr>
            <w:tcW w:w="2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2.6</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Termination before Completion</w:t>
            </w:r>
          </w:p>
        </w:tc>
        <w:tc>
          <w:tcPr>
            <w:tcW w:w="2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40" w:type="dxa"/>
            <w:vAlign w:val="bottom"/>
          </w:tcPr>
          <w:p>
            <w:pPr>
              <w:spacing w:after="0"/>
              <w:rPr>
                <w:sz w:val="20"/>
                <w:szCs w:val="20"/>
                <w:color w:val="auto"/>
              </w:rPr>
            </w:pPr>
            <w:r>
              <w:rPr>
                <w:rFonts w:ascii="Arial" w:cs="Arial" w:eastAsia="Arial" w:hAnsi="Arial"/>
                <w:sz w:val="18"/>
                <w:szCs w:val="18"/>
                <w:b w:val="1"/>
                <w:bCs w:val="1"/>
                <w:color w:val="auto"/>
              </w:rPr>
              <w:t>3</w:t>
            </w:r>
          </w:p>
        </w:tc>
        <w:tc>
          <w:tcPr>
            <w:tcW w:w="8060" w:type="dxa"/>
            <w:vAlign w:val="bottom"/>
            <w:gridSpan w:val="2"/>
          </w:tcPr>
          <w:p>
            <w:pPr>
              <w:ind w:left="240"/>
              <w:spacing w:after="0"/>
              <w:rPr>
                <w:sz w:val="20"/>
                <w:szCs w:val="20"/>
                <w:color w:val="auto"/>
              </w:rPr>
            </w:pPr>
            <w:r>
              <w:rPr>
                <w:rFonts w:ascii="Arial" w:cs="Arial" w:eastAsia="Arial" w:hAnsi="Arial"/>
                <w:sz w:val="18"/>
                <w:szCs w:val="18"/>
                <w:b w:val="1"/>
                <w:bCs w:val="1"/>
                <w:color w:val="auto"/>
              </w:rPr>
              <w:t>AGREEMENT TO SUBSCRIBE AND COMPLETION</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3.1</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Subscription</w:t>
            </w:r>
          </w:p>
        </w:tc>
        <w:tc>
          <w:tcPr>
            <w:tcW w:w="2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3.2</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Agreement to serve as application</w:t>
            </w:r>
          </w:p>
        </w:tc>
        <w:tc>
          <w:tcPr>
            <w:tcW w:w="2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3.3</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Consent to become a member and Constitution</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3.4</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Rights Attaching to Subscription Shares</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3.5</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Time and place of Completion</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3.6</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Simultaneous obligations at Completion</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40" w:type="dxa"/>
            <w:vAlign w:val="bottom"/>
          </w:tcPr>
          <w:p>
            <w:pPr>
              <w:spacing w:after="0"/>
              <w:rPr>
                <w:sz w:val="20"/>
                <w:szCs w:val="20"/>
                <w:color w:val="auto"/>
              </w:rPr>
            </w:pPr>
            <w:r>
              <w:rPr>
                <w:rFonts w:ascii="Arial" w:cs="Arial" w:eastAsia="Arial" w:hAnsi="Arial"/>
                <w:sz w:val="18"/>
                <w:szCs w:val="18"/>
                <w:b w:val="1"/>
                <w:bCs w:val="1"/>
                <w:color w:val="auto"/>
              </w:rPr>
              <w:t>4</w:t>
            </w:r>
          </w:p>
        </w:tc>
        <w:tc>
          <w:tcPr>
            <w:tcW w:w="8060" w:type="dxa"/>
            <w:vAlign w:val="bottom"/>
            <w:gridSpan w:val="2"/>
          </w:tcPr>
          <w:p>
            <w:pPr>
              <w:ind w:left="240"/>
              <w:spacing w:after="0"/>
              <w:rPr>
                <w:sz w:val="20"/>
                <w:szCs w:val="20"/>
                <w:color w:val="auto"/>
              </w:rPr>
            </w:pPr>
            <w:r>
              <w:rPr>
                <w:rFonts w:ascii="Arial" w:cs="Arial" w:eastAsia="Arial" w:hAnsi="Arial"/>
                <w:sz w:val="18"/>
                <w:szCs w:val="18"/>
                <w:b w:val="1"/>
                <w:bCs w:val="1"/>
                <w:color w:val="auto"/>
              </w:rPr>
              <w:t>UNDERTAKINGS</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4.1</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The Issuer’s undertakings</w:t>
            </w:r>
          </w:p>
        </w:tc>
        <w:tc>
          <w:tcPr>
            <w:tcW w:w="2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4.2</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The Subscriber’s undertakings</w:t>
            </w:r>
          </w:p>
        </w:tc>
        <w:tc>
          <w:tcPr>
            <w:tcW w:w="27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40" w:type="dxa"/>
            <w:vAlign w:val="bottom"/>
          </w:tcPr>
          <w:p>
            <w:pPr>
              <w:spacing w:after="0"/>
              <w:rPr>
                <w:sz w:val="20"/>
                <w:szCs w:val="20"/>
                <w:color w:val="auto"/>
              </w:rPr>
            </w:pPr>
            <w:r>
              <w:rPr>
                <w:rFonts w:ascii="Arial" w:cs="Arial" w:eastAsia="Arial" w:hAnsi="Arial"/>
                <w:sz w:val="18"/>
                <w:szCs w:val="18"/>
                <w:b w:val="1"/>
                <w:bCs w:val="1"/>
                <w:color w:val="auto"/>
              </w:rPr>
              <w:t>5</w:t>
            </w:r>
          </w:p>
        </w:tc>
        <w:tc>
          <w:tcPr>
            <w:tcW w:w="8060" w:type="dxa"/>
            <w:vAlign w:val="bottom"/>
            <w:gridSpan w:val="2"/>
          </w:tcPr>
          <w:p>
            <w:pPr>
              <w:ind w:left="240"/>
              <w:spacing w:after="0"/>
              <w:rPr>
                <w:sz w:val="20"/>
                <w:szCs w:val="20"/>
                <w:color w:val="auto"/>
              </w:rPr>
            </w:pPr>
            <w:r>
              <w:rPr>
                <w:rFonts w:ascii="Arial" w:cs="Arial" w:eastAsia="Arial" w:hAnsi="Arial"/>
                <w:sz w:val="18"/>
                <w:szCs w:val="18"/>
                <w:b w:val="1"/>
                <w:bCs w:val="1"/>
                <w:color w:val="auto"/>
              </w:rPr>
              <w:t>APPOINTMENT OF DIRECTOR NOMINATED BY SUBSCRIBER</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30"/>
        </w:trPr>
        <w:tc>
          <w:tcPr>
            <w:tcW w:w="440" w:type="dxa"/>
            <w:vAlign w:val="bottom"/>
          </w:tcPr>
          <w:p>
            <w:pPr>
              <w:spacing w:after="0"/>
              <w:rPr>
                <w:sz w:val="20"/>
                <w:szCs w:val="20"/>
                <w:color w:val="auto"/>
              </w:rPr>
            </w:pPr>
            <w:r>
              <w:rPr>
                <w:rFonts w:ascii="Arial" w:cs="Arial" w:eastAsia="Arial" w:hAnsi="Arial"/>
                <w:sz w:val="18"/>
                <w:szCs w:val="18"/>
                <w:b w:val="1"/>
                <w:bCs w:val="1"/>
                <w:color w:val="auto"/>
              </w:rPr>
              <w:t>6</w:t>
            </w:r>
          </w:p>
        </w:tc>
        <w:tc>
          <w:tcPr>
            <w:tcW w:w="8060" w:type="dxa"/>
            <w:vAlign w:val="bottom"/>
            <w:gridSpan w:val="2"/>
          </w:tcPr>
          <w:p>
            <w:pPr>
              <w:ind w:left="240"/>
              <w:spacing w:after="0"/>
              <w:rPr>
                <w:sz w:val="20"/>
                <w:szCs w:val="20"/>
                <w:color w:val="auto"/>
              </w:rPr>
            </w:pPr>
            <w:r>
              <w:rPr>
                <w:rFonts w:ascii="Arial" w:cs="Arial" w:eastAsia="Arial" w:hAnsi="Arial"/>
                <w:sz w:val="18"/>
                <w:szCs w:val="18"/>
                <w:b w:val="1"/>
                <w:bCs w:val="1"/>
                <w:color w:val="auto"/>
              </w:rPr>
              <w:t>CONSULTATION RIGHT</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29"/>
        </w:trPr>
        <w:tc>
          <w:tcPr>
            <w:tcW w:w="440" w:type="dxa"/>
            <w:vAlign w:val="bottom"/>
          </w:tcPr>
          <w:p>
            <w:pPr>
              <w:spacing w:after="0"/>
              <w:rPr>
                <w:sz w:val="20"/>
                <w:szCs w:val="20"/>
                <w:color w:val="auto"/>
              </w:rPr>
            </w:pPr>
            <w:r>
              <w:rPr>
                <w:rFonts w:ascii="Arial" w:cs="Arial" w:eastAsia="Arial" w:hAnsi="Arial"/>
                <w:sz w:val="18"/>
                <w:szCs w:val="18"/>
                <w:b w:val="1"/>
                <w:bCs w:val="1"/>
                <w:color w:val="auto"/>
              </w:rPr>
              <w:t>7</w:t>
            </w:r>
          </w:p>
        </w:tc>
        <w:tc>
          <w:tcPr>
            <w:tcW w:w="8060" w:type="dxa"/>
            <w:vAlign w:val="bottom"/>
            <w:gridSpan w:val="2"/>
          </w:tcPr>
          <w:p>
            <w:pPr>
              <w:ind w:left="240"/>
              <w:spacing w:after="0"/>
              <w:rPr>
                <w:sz w:val="20"/>
                <w:szCs w:val="20"/>
                <w:color w:val="auto"/>
              </w:rPr>
            </w:pPr>
            <w:r>
              <w:rPr>
                <w:rFonts w:ascii="Arial" w:cs="Arial" w:eastAsia="Arial" w:hAnsi="Arial"/>
                <w:sz w:val="18"/>
                <w:szCs w:val="18"/>
                <w:b w:val="1"/>
                <w:bCs w:val="1"/>
                <w:color w:val="auto"/>
              </w:rPr>
              <w:t>REPRESENTATIONS AND WARRANTIES</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7.1</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Representations and Warranties by the Issuer</w:t>
            </w:r>
          </w:p>
        </w:tc>
        <w:tc>
          <w:tcPr>
            <w:tcW w:w="2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7.2</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Representations and Warranties by the Subscriber</w:t>
            </w:r>
          </w:p>
        </w:tc>
        <w:tc>
          <w:tcPr>
            <w:tcW w:w="2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40" w:type="dxa"/>
            <w:vAlign w:val="bottom"/>
          </w:tcPr>
          <w:p>
            <w:pPr>
              <w:spacing w:after="0"/>
              <w:rPr>
                <w:sz w:val="20"/>
                <w:szCs w:val="20"/>
                <w:color w:val="auto"/>
              </w:rPr>
            </w:pPr>
            <w:r>
              <w:rPr>
                <w:rFonts w:ascii="Arial" w:cs="Arial" w:eastAsia="Arial" w:hAnsi="Arial"/>
                <w:sz w:val="18"/>
                <w:szCs w:val="18"/>
                <w:b w:val="1"/>
                <w:bCs w:val="1"/>
                <w:color w:val="auto"/>
              </w:rPr>
              <w:t>8</w:t>
            </w:r>
          </w:p>
        </w:tc>
        <w:tc>
          <w:tcPr>
            <w:tcW w:w="8060" w:type="dxa"/>
            <w:vAlign w:val="bottom"/>
            <w:gridSpan w:val="2"/>
          </w:tcPr>
          <w:p>
            <w:pPr>
              <w:ind w:left="240"/>
              <w:spacing w:after="0"/>
              <w:rPr>
                <w:sz w:val="20"/>
                <w:szCs w:val="20"/>
                <w:color w:val="auto"/>
              </w:rPr>
            </w:pPr>
            <w:r>
              <w:rPr>
                <w:rFonts w:ascii="Arial" w:cs="Arial" w:eastAsia="Arial" w:hAnsi="Arial"/>
                <w:sz w:val="18"/>
                <w:szCs w:val="18"/>
                <w:b w:val="1"/>
                <w:bCs w:val="1"/>
                <w:color w:val="auto"/>
              </w:rPr>
              <w:t>CONFIDENTIALITY</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8.1</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Announcements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8.2</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Confidentiality agreement</w:t>
            </w:r>
          </w:p>
        </w:tc>
        <w:tc>
          <w:tcPr>
            <w:tcW w:w="2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40" w:type="dxa"/>
            <w:vAlign w:val="bottom"/>
          </w:tcPr>
          <w:p>
            <w:pPr>
              <w:spacing w:after="0"/>
              <w:rPr>
                <w:sz w:val="20"/>
                <w:szCs w:val="20"/>
                <w:color w:val="auto"/>
              </w:rPr>
            </w:pPr>
            <w:r>
              <w:rPr>
                <w:rFonts w:ascii="Arial" w:cs="Arial" w:eastAsia="Arial" w:hAnsi="Arial"/>
                <w:sz w:val="18"/>
                <w:szCs w:val="18"/>
                <w:b w:val="1"/>
                <w:bCs w:val="1"/>
                <w:color w:val="auto"/>
              </w:rPr>
              <w:t>9</w:t>
            </w:r>
          </w:p>
        </w:tc>
        <w:tc>
          <w:tcPr>
            <w:tcW w:w="8060" w:type="dxa"/>
            <w:vAlign w:val="bottom"/>
            <w:gridSpan w:val="2"/>
          </w:tcPr>
          <w:p>
            <w:pPr>
              <w:ind w:left="240"/>
              <w:spacing w:after="0"/>
              <w:rPr>
                <w:sz w:val="20"/>
                <w:szCs w:val="20"/>
                <w:color w:val="auto"/>
              </w:rPr>
            </w:pPr>
            <w:r>
              <w:rPr>
                <w:rFonts w:ascii="Arial" w:cs="Arial" w:eastAsia="Arial" w:hAnsi="Arial"/>
                <w:sz w:val="18"/>
                <w:szCs w:val="18"/>
                <w:b w:val="1"/>
                <w:bCs w:val="1"/>
                <w:color w:val="auto"/>
              </w:rPr>
              <w:t>INDEMNITY</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9.1</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Indemnity</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9.2</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Consequential loss</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060" w:type="dxa"/>
            <w:vAlign w:val="bottom"/>
            <w:gridSpan w:val="2"/>
          </w:tcPr>
          <w:p>
            <w:pPr>
              <w:ind w:left="240"/>
              <w:spacing w:after="0"/>
              <w:rPr>
                <w:sz w:val="20"/>
                <w:szCs w:val="20"/>
                <w:color w:val="auto"/>
              </w:rPr>
            </w:pPr>
            <w:r>
              <w:rPr>
                <w:rFonts w:ascii="Arial" w:cs="Arial" w:eastAsia="Arial" w:hAnsi="Arial"/>
                <w:sz w:val="18"/>
                <w:szCs w:val="18"/>
                <w:b w:val="1"/>
                <w:bCs w:val="1"/>
                <w:color w:val="auto"/>
              </w:rPr>
              <w:t>GENERAL</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10.1</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Governing Law and Jurisdiction</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10.2</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Notices</w:t>
            </w:r>
          </w:p>
        </w:tc>
        <w:tc>
          <w:tcPr>
            <w:tcW w:w="2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10.3</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Assignment</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10.4</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No waiver</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10.5</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Costs and duty</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10.6</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Severability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10.7</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Extent of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10.8</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Entire agreement</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10.9</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Amendment</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40" w:type="dxa"/>
            <w:vAlign w:val="bottom"/>
          </w:tcPr>
          <w:p>
            <w:pPr>
              <w:spacing w:after="0"/>
              <w:rPr>
                <w:sz w:val="19"/>
                <w:szCs w:val="19"/>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10.10</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Further assurances</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9"/>
        </w:trPr>
        <w:tc>
          <w:tcPr>
            <w:tcW w:w="440" w:type="dxa"/>
            <w:vAlign w:val="bottom"/>
          </w:tcPr>
          <w:p>
            <w:pPr>
              <w:spacing w:after="0"/>
              <w:rPr>
                <w:sz w:val="20"/>
                <w:szCs w:val="20"/>
                <w:color w:val="auto"/>
              </w:rPr>
            </w:pP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10.11</w:t>
            </w:r>
          </w:p>
        </w:tc>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Counterparts</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66"/>
        </w:trPr>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9" w:right="339" w:bottom="1440" w:gutter="0" w:footer="0" w:header="0"/>
        </w:sectPr>
      </w:pPr>
    </w:p>
    <w:bookmarkStart w:id="468" w:name="page469"/>
    <w:bookmarkEnd w:id="468"/>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9 August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198" w:lineRule="exact"/>
        <w:rPr>
          <w:sz w:val="20"/>
          <w:szCs w:val="20"/>
          <w:color w:val="auto"/>
        </w:rPr>
      </w:pPr>
    </w:p>
    <w:p>
      <w:pPr>
        <w:ind w:left="660" w:hanging="652"/>
        <w:spacing w:after="0"/>
        <w:tabs>
          <w:tab w:leader="none" w:pos="660" w:val="left"/>
        </w:tabs>
        <w:numPr>
          <w:ilvl w:val="0"/>
          <w:numId w:val="474"/>
        </w:numPr>
        <w:rPr>
          <w:rFonts w:ascii="Arial" w:cs="Arial" w:eastAsia="Arial" w:hAnsi="Arial"/>
          <w:sz w:val="18"/>
          <w:szCs w:val="18"/>
          <w:color w:val="auto"/>
        </w:rPr>
      </w:pPr>
      <w:r>
        <w:rPr>
          <w:rFonts w:ascii="Arial" w:cs="Arial" w:eastAsia="Arial" w:hAnsi="Arial"/>
          <w:sz w:val="18"/>
          <w:szCs w:val="18"/>
          <w:b w:val="1"/>
          <w:bCs w:val="1"/>
          <w:color w:val="auto"/>
        </w:rPr>
        <w:t xml:space="preserve">NOVONIX Limited </w:t>
      </w:r>
      <w:r>
        <w:rPr>
          <w:rFonts w:ascii="Arial" w:cs="Arial" w:eastAsia="Arial" w:hAnsi="Arial"/>
          <w:sz w:val="18"/>
          <w:szCs w:val="18"/>
          <w:color w:val="auto"/>
        </w:rPr>
        <w:t>ACN 157 690 830 of Level 8, 46 Edward Street, Brisbane QLD 4000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p>
      <w:pPr>
        <w:spacing w:after="0" w:line="198" w:lineRule="exact"/>
        <w:rPr>
          <w:sz w:val="20"/>
          <w:szCs w:val="20"/>
          <w:color w:val="auto"/>
        </w:rPr>
      </w:pPr>
    </w:p>
    <w:p>
      <w:pPr>
        <w:ind w:left="660" w:hanging="652"/>
        <w:spacing w:after="0"/>
        <w:tabs>
          <w:tab w:leader="none" w:pos="660" w:val="left"/>
        </w:tabs>
        <w:numPr>
          <w:ilvl w:val="0"/>
          <w:numId w:val="475"/>
        </w:numPr>
        <w:rPr>
          <w:rFonts w:ascii="Arial" w:cs="Arial" w:eastAsia="Arial" w:hAnsi="Arial"/>
          <w:sz w:val="18"/>
          <w:szCs w:val="18"/>
          <w:color w:val="auto"/>
        </w:rPr>
      </w:pPr>
      <w:r>
        <w:rPr>
          <w:rFonts w:ascii="Arial" w:cs="Arial" w:eastAsia="Arial" w:hAnsi="Arial"/>
          <w:sz w:val="18"/>
          <w:szCs w:val="18"/>
          <w:b w:val="1"/>
          <w:bCs w:val="1"/>
          <w:color w:val="auto"/>
        </w:rPr>
        <w:t>Phillips 66 Company</w:t>
      </w:r>
      <w:r>
        <w:rPr>
          <w:rFonts w:ascii="Arial" w:cs="Arial" w:eastAsia="Arial" w:hAnsi="Arial"/>
          <w:sz w:val="18"/>
          <w:szCs w:val="18"/>
          <w:color w:val="auto"/>
        </w:rPr>
        <w:t>, a Delaware corporation, of 2331 CityWest Blvd., Houston, Texas 77042, United States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Subscriber</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w:t>
      </w:r>
    </w:p>
    <w:p>
      <w:pPr>
        <w:spacing w:after="0" w:line="220" w:lineRule="exact"/>
        <w:rPr>
          <w:sz w:val="20"/>
          <w:szCs w:val="20"/>
          <w:color w:val="auto"/>
        </w:rPr>
      </w:pPr>
    </w:p>
    <w:p>
      <w:pPr>
        <w:ind w:right="800" w:hanging="1"/>
        <w:spacing w:after="0" w:line="246" w:lineRule="auto"/>
        <w:rPr>
          <w:sz w:val="20"/>
          <w:szCs w:val="20"/>
          <w:color w:val="auto"/>
        </w:rPr>
      </w:pPr>
      <w:r>
        <w:rPr>
          <w:rFonts w:ascii="Arial" w:cs="Arial" w:eastAsia="Arial" w:hAnsi="Arial"/>
          <w:sz w:val="18"/>
          <w:szCs w:val="18"/>
          <w:color w:val="auto"/>
        </w:rPr>
        <w:t>The Subscriber wishes to Subscribe for, and the Issuer wishes to issue, the Subscription Shares on the terms and conditions of this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98" w:lineRule="exact"/>
        <w:rPr>
          <w:sz w:val="20"/>
          <w:szCs w:val="20"/>
          <w:color w:val="auto"/>
        </w:rPr>
      </w:pPr>
    </w:p>
    <w:p>
      <w:pPr>
        <w:ind w:right="7400" w:firstLine="8"/>
        <w:spacing w:after="0" w:line="482" w:lineRule="auto"/>
        <w:tabs>
          <w:tab w:leader="none" w:pos="648"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jc w:val="both"/>
        <w:ind w:left="660" w:right="5120"/>
        <w:spacing w:after="0" w:line="4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definitions apply unless the context requires otherwise. </w:t>
      </w:r>
      <w:r>
        <w:rPr>
          <w:rFonts w:ascii="Arial" w:cs="Arial" w:eastAsia="Arial" w:hAnsi="Arial"/>
          <w:sz w:val="18"/>
          <w:szCs w:val="18"/>
          <w:b w:val="1"/>
          <w:bCs w:val="1"/>
          <w:i w:val="1"/>
          <w:iCs w:val="1"/>
          <w:color w:val="auto"/>
        </w:rPr>
        <w:t xml:space="preserve">ASIC </w:t>
      </w:r>
      <w:r>
        <w:rPr>
          <w:rFonts w:ascii="Arial" w:cs="Arial" w:eastAsia="Arial" w:hAnsi="Arial"/>
          <w:sz w:val="18"/>
          <w:szCs w:val="18"/>
          <w:color w:val="auto"/>
        </w:rPr>
        <w:t>means the Australian Securities and Investments Commission.</w:t>
      </w:r>
      <w:r>
        <w:rPr>
          <w:rFonts w:ascii="Arial" w:cs="Arial" w:eastAsia="Arial" w:hAnsi="Arial"/>
          <w:sz w:val="18"/>
          <w:szCs w:val="18"/>
          <w:b w:val="1"/>
          <w:bCs w:val="1"/>
          <w:i w:val="1"/>
          <w:iCs w:val="1"/>
          <w:color w:val="auto"/>
        </w:rPr>
        <w:t xml:space="preserve"> ASX </w:t>
      </w:r>
      <w:r>
        <w:rPr>
          <w:rFonts w:ascii="Arial" w:cs="Arial" w:eastAsia="Arial" w:hAnsi="Arial"/>
          <w:sz w:val="18"/>
          <w:szCs w:val="18"/>
          <w:color w:val="auto"/>
        </w:rPr>
        <w:t>means ASX Limited (ACN 008 624 691).</w:t>
      </w: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ASX Listing Rules </w:t>
      </w:r>
      <w:r>
        <w:rPr>
          <w:rFonts w:ascii="Arial" w:cs="Arial" w:eastAsia="Arial" w:hAnsi="Arial"/>
          <w:sz w:val="18"/>
          <w:szCs w:val="18"/>
          <w:color w:val="auto"/>
        </w:rPr>
        <w:t>means the listing rules of ASX as waived or modified in respect of the Issuer.</w:t>
      </w:r>
    </w:p>
    <w:p>
      <w:pPr>
        <w:spacing w:after="0" w:line="198" w:lineRule="exact"/>
        <w:rPr>
          <w:sz w:val="20"/>
          <w:szCs w:val="20"/>
          <w:color w:val="auto"/>
        </w:rPr>
      </w:pPr>
    </w:p>
    <w:p>
      <w:pPr>
        <w:ind w:left="660" w:right="320"/>
        <w:spacing w:after="0" w:line="271" w:lineRule="auto"/>
        <w:rPr>
          <w:sz w:val="20"/>
          <w:szCs w:val="20"/>
          <w:color w:val="auto"/>
        </w:rPr>
      </w:pPr>
      <w:r>
        <w:rPr>
          <w:rFonts w:ascii="Arial" w:cs="Arial" w:eastAsia="Arial" w:hAnsi="Arial"/>
          <w:sz w:val="18"/>
          <w:szCs w:val="18"/>
          <w:b w:val="1"/>
          <w:bCs w:val="1"/>
          <w:i w:val="1"/>
          <w:iCs w:val="1"/>
          <w:color w:val="auto"/>
        </w:rPr>
        <w:t xml:space="preserve">Authorisation </w:t>
      </w:r>
      <w:r>
        <w:rPr>
          <w:rFonts w:ascii="Arial" w:cs="Arial" w:eastAsia="Arial" w:hAnsi="Arial"/>
          <w:sz w:val="18"/>
          <w:szCs w:val="18"/>
          <w:color w:val="auto"/>
        </w:rPr>
        <w:t>includes any authorisation, approval, consent, licence, permit, franchise, permission, filing, registration, resolution,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declaration, or exemption.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Issuer.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 day which is not a Saturday, Sunday or a public holiday in Brisbane, Queensland.</w:t>
      </w:r>
    </w:p>
    <w:p>
      <w:pPr>
        <w:spacing w:after="0" w:line="198" w:lineRule="exact"/>
        <w:rPr>
          <w:sz w:val="20"/>
          <w:szCs w:val="20"/>
          <w:color w:val="auto"/>
        </w:rPr>
      </w:pPr>
    </w:p>
    <w:p>
      <w:pPr>
        <w:ind w:left="660" w:right="780"/>
        <w:spacing w:after="0" w:line="271" w:lineRule="auto"/>
        <w:rPr>
          <w:sz w:val="20"/>
          <w:szCs w:val="20"/>
          <w:color w:val="auto"/>
        </w:rPr>
      </w:pPr>
      <w:r>
        <w:rPr>
          <w:rFonts w:ascii="Arial" w:cs="Arial" w:eastAsia="Arial" w:hAnsi="Arial"/>
          <w:sz w:val="18"/>
          <w:szCs w:val="18"/>
          <w:b w:val="1"/>
          <w:bCs w:val="1"/>
          <w:i w:val="1"/>
          <w:iCs w:val="1"/>
          <w:color w:val="auto"/>
        </w:rPr>
        <w:t xml:space="preserve">Completion </w:t>
      </w:r>
      <w:r>
        <w:rPr>
          <w:rFonts w:ascii="Arial" w:cs="Arial" w:eastAsia="Arial" w:hAnsi="Arial"/>
          <w:sz w:val="18"/>
          <w:szCs w:val="18"/>
          <w:color w:val="auto"/>
        </w:rPr>
        <w:t>means the completion of the subscription for, and the issue of, the Subscription Shares in accordance with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Agreement on the Completion Date and </w:t>
      </w:r>
      <w:r>
        <w:rPr>
          <w:rFonts w:ascii="Arial" w:cs="Arial" w:eastAsia="Arial" w:hAnsi="Arial"/>
          <w:sz w:val="18"/>
          <w:szCs w:val="18"/>
          <w:b w:val="1"/>
          <w:bCs w:val="1"/>
          <w:i w:val="1"/>
          <w:iCs w:val="1"/>
          <w:color w:val="auto"/>
        </w:rPr>
        <w:t>Complete</w:t>
      </w:r>
      <w:r>
        <w:rPr>
          <w:rFonts w:ascii="Arial" w:cs="Arial" w:eastAsia="Arial" w:hAnsi="Arial"/>
          <w:sz w:val="18"/>
          <w:szCs w:val="18"/>
          <w:color w:val="auto"/>
        </w:rPr>
        <w:t xml:space="preserve"> has a corresponding meaning.</w:t>
      </w:r>
    </w:p>
    <w:p>
      <w:pPr>
        <w:spacing w:after="0" w:line="140"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b w:val="1"/>
          <w:bCs w:val="1"/>
          <w:i w:val="1"/>
          <w:iCs w:val="1"/>
          <w:color w:val="auto"/>
        </w:rPr>
        <w:t xml:space="preserve">Completion Date </w:t>
      </w:r>
      <w:r>
        <w:rPr>
          <w:rFonts w:ascii="Arial" w:cs="Arial" w:eastAsia="Arial" w:hAnsi="Arial"/>
          <w:sz w:val="18"/>
          <w:szCs w:val="18"/>
          <w:color w:val="auto"/>
        </w:rPr>
        <w:t>means the date that is five (5) Business Days after the date on which the last of the Conditions Precedent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satisfied or waived in accordance with clause 2.5.</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Condition Precedent </w:t>
      </w:r>
      <w:r>
        <w:rPr>
          <w:rFonts w:ascii="Arial" w:cs="Arial" w:eastAsia="Arial" w:hAnsi="Arial"/>
          <w:sz w:val="18"/>
          <w:szCs w:val="18"/>
          <w:color w:val="auto"/>
        </w:rPr>
        <w:t>means the condition precedent to Completion specified in clause 2.1.</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Condition Precedent End Date </w:t>
      </w:r>
      <w:r>
        <w:rPr>
          <w:rFonts w:ascii="Arial" w:cs="Arial" w:eastAsia="Arial" w:hAnsi="Arial"/>
          <w:sz w:val="18"/>
          <w:szCs w:val="18"/>
          <w:color w:val="auto"/>
        </w:rPr>
        <w:t>means November 1, 2021 or such other date as is agreed by the parties in writing.</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Constitution </w:t>
      </w:r>
      <w:r>
        <w:rPr>
          <w:rFonts w:ascii="Arial" w:cs="Arial" w:eastAsia="Arial" w:hAnsi="Arial"/>
          <w:sz w:val="18"/>
          <w:szCs w:val="18"/>
          <w:color w:val="auto"/>
        </w:rPr>
        <w:t>means the constitution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71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69" w:name="page470"/>
    <w:bookmarkEnd w:id="469"/>
    <w:p>
      <w:pPr>
        <w:ind w:left="660"/>
        <w:spacing w:after="0"/>
        <w:rPr>
          <w:sz w:val="20"/>
          <w:szCs w:val="20"/>
          <w:color w:val="auto"/>
        </w:rPr>
      </w:pPr>
      <w:r>
        <w:rPr>
          <w:rFonts w:ascii="Arial" w:cs="Arial" w:eastAsia="Arial" w:hAnsi="Arial"/>
          <w:sz w:val="18"/>
          <w:szCs w:val="18"/>
          <w:b w:val="1"/>
          <w:bCs w:val="1"/>
          <w:i w:val="1"/>
          <w:iCs w:val="1"/>
          <w:color w:val="auto"/>
        </w:rPr>
        <w:t xml:space="preserve">Consultation Right </w:t>
      </w:r>
      <w:r>
        <w:rPr>
          <w:rFonts w:ascii="Arial" w:cs="Arial" w:eastAsia="Arial" w:hAnsi="Arial"/>
          <w:sz w:val="18"/>
          <w:szCs w:val="18"/>
          <w:color w:val="auto"/>
        </w:rPr>
        <w:t>has the meaning given in clause 6(a).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Corporations Act </w:t>
      </w:r>
      <w:r>
        <w:rPr>
          <w:rFonts w:ascii="Arial" w:cs="Arial" w:eastAsia="Arial" w:hAnsi="Arial"/>
          <w:sz w:val="18"/>
          <w:szCs w:val="18"/>
          <w:color w:val="auto"/>
        </w:rPr>
        <w:t>means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Corporations Act 2001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(Cth).</w:t>
      </w:r>
    </w:p>
    <w:p>
      <w:pPr>
        <w:spacing w:after="0" w:line="198" w:lineRule="exact"/>
        <w:rPr>
          <w:sz w:val="20"/>
          <w:szCs w:val="20"/>
          <w:color w:val="auto"/>
        </w:rPr>
      </w:pPr>
    </w:p>
    <w:p>
      <w:pPr>
        <w:ind w:left="660" w:right="200"/>
        <w:spacing w:after="0" w:line="271" w:lineRule="auto"/>
        <w:rPr>
          <w:sz w:val="20"/>
          <w:szCs w:val="20"/>
          <w:color w:val="auto"/>
        </w:rPr>
      </w:pPr>
      <w:r>
        <w:rPr>
          <w:rFonts w:ascii="Arial" w:cs="Arial" w:eastAsia="Arial" w:hAnsi="Arial"/>
          <w:sz w:val="18"/>
          <w:szCs w:val="18"/>
          <w:b w:val="1"/>
          <w:bCs w:val="1"/>
          <w:i w:val="1"/>
          <w:iCs w:val="1"/>
          <w:color w:val="auto"/>
        </w:rPr>
        <w:t xml:space="preserve">FATA </w:t>
      </w:r>
      <w:r>
        <w:rPr>
          <w:rFonts w:ascii="Arial" w:cs="Arial" w:eastAsia="Arial" w:hAnsi="Arial"/>
          <w:sz w:val="18"/>
          <w:szCs w:val="18"/>
          <w:color w:val="auto"/>
        </w:rPr>
        <w:t>means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Foreign Acquisitions and Takeovers Act 1975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(Cth) and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Foreign Acquisitions and Takeovers Regulation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(Cth).</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Governmental Agency </w:t>
      </w:r>
      <w:r>
        <w:rPr>
          <w:rFonts w:ascii="Arial" w:cs="Arial" w:eastAsia="Arial" w:hAnsi="Arial"/>
          <w:sz w:val="18"/>
          <w:szCs w:val="18"/>
          <w:color w:val="auto"/>
        </w:rPr>
        <w:t>means any:</w:t>
      </w:r>
    </w:p>
    <w:p>
      <w:pPr>
        <w:spacing w:after="0" w:line="220" w:lineRule="exact"/>
        <w:rPr>
          <w:sz w:val="20"/>
          <w:szCs w:val="20"/>
          <w:color w:val="auto"/>
        </w:rPr>
      </w:pPr>
    </w:p>
    <w:p>
      <w:pPr>
        <w:ind w:left="1300" w:hanging="644"/>
        <w:spacing w:after="0"/>
        <w:tabs>
          <w:tab w:leader="none" w:pos="130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government or governmental, semi-governmental or judicial entity or authority; or</w:t>
      </w:r>
    </w:p>
    <w:p>
      <w:pPr>
        <w:spacing w:after="0" w:line="198" w:lineRule="exact"/>
        <w:rPr>
          <w:rFonts w:ascii="Arial" w:cs="Arial" w:eastAsia="Arial" w:hAnsi="Arial"/>
          <w:sz w:val="18"/>
          <w:szCs w:val="18"/>
          <w:color w:val="auto"/>
        </w:rPr>
      </w:pPr>
    </w:p>
    <w:p>
      <w:pPr>
        <w:ind w:left="1300" w:right="860" w:hanging="644"/>
        <w:spacing w:after="0" w:line="246" w:lineRule="auto"/>
        <w:tabs>
          <w:tab w:leader="none" w:pos="130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minister, department, office, commission, delegate, instrumentality, agency, board, authority or organisation of any government.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also includes any regulatory organisation established under statute or any stock exchange.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Group </w:t>
      </w:r>
      <w:r>
        <w:rPr>
          <w:rFonts w:ascii="Arial" w:cs="Arial" w:eastAsia="Arial" w:hAnsi="Arial"/>
          <w:sz w:val="18"/>
          <w:szCs w:val="18"/>
          <w:color w:val="auto"/>
        </w:rPr>
        <w:t>means the Issuer and each of its subsidiaries.</w:t>
      </w:r>
    </w:p>
    <w:p>
      <w:pPr>
        <w:spacing w:after="0" w:line="198" w:lineRule="exact"/>
        <w:rPr>
          <w:sz w:val="20"/>
          <w:szCs w:val="20"/>
          <w:color w:val="auto"/>
        </w:rPr>
      </w:pPr>
    </w:p>
    <w:p>
      <w:pPr>
        <w:ind w:left="660" w:right="220"/>
        <w:spacing w:after="0" w:line="271" w:lineRule="auto"/>
        <w:rPr>
          <w:sz w:val="20"/>
          <w:szCs w:val="20"/>
          <w:color w:val="auto"/>
        </w:rPr>
      </w:pPr>
      <w:r>
        <w:rPr>
          <w:rFonts w:ascii="Arial" w:cs="Arial" w:eastAsia="Arial" w:hAnsi="Arial"/>
          <w:sz w:val="18"/>
          <w:szCs w:val="18"/>
          <w:b w:val="1"/>
          <w:bCs w:val="1"/>
          <w:i w:val="1"/>
          <w:iCs w:val="1"/>
          <w:color w:val="auto"/>
        </w:rPr>
        <w:t xml:space="preserve">Notice of Meeting </w:t>
      </w:r>
      <w:r>
        <w:rPr>
          <w:rFonts w:ascii="Arial" w:cs="Arial" w:eastAsia="Arial" w:hAnsi="Arial"/>
          <w:sz w:val="18"/>
          <w:szCs w:val="18"/>
          <w:color w:val="auto"/>
        </w:rPr>
        <w:t>means the notice of general meeting of members of the Issuer to consider, and if thought fit, approve the issue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allotment of the Subscription Shares as contemplated by clause 2.4.</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Offer </w:t>
      </w:r>
      <w:r>
        <w:rPr>
          <w:rFonts w:ascii="Arial" w:cs="Arial" w:eastAsia="Arial" w:hAnsi="Arial"/>
          <w:sz w:val="18"/>
          <w:szCs w:val="18"/>
          <w:color w:val="auto"/>
        </w:rPr>
        <w:t>has the meaning given in clause 6(a).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means fully paid ordinary shares in the capital of the Issuer.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Signing Date </w:t>
      </w:r>
      <w:r>
        <w:rPr>
          <w:rFonts w:ascii="Arial" w:cs="Arial" w:eastAsia="Arial" w:hAnsi="Arial"/>
          <w:sz w:val="18"/>
          <w:szCs w:val="18"/>
          <w:color w:val="auto"/>
        </w:rPr>
        <w:t>means the date on which this Agreement is executed by both parties.</w:t>
      </w:r>
    </w:p>
    <w:p>
      <w:pPr>
        <w:spacing w:after="0" w:line="198" w:lineRule="exact"/>
        <w:rPr>
          <w:sz w:val="20"/>
          <w:szCs w:val="20"/>
          <w:color w:val="auto"/>
        </w:rPr>
      </w:pPr>
    </w:p>
    <w:p>
      <w:pPr>
        <w:ind w:left="660" w:right="40"/>
        <w:spacing w:after="0" w:line="271" w:lineRule="auto"/>
        <w:rPr>
          <w:sz w:val="20"/>
          <w:szCs w:val="20"/>
          <w:color w:val="auto"/>
        </w:rPr>
      </w:pPr>
      <w:r>
        <w:rPr>
          <w:rFonts w:ascii="Arial" w:cs="Arial" w:eastAsia="Arial" w:hAnsi="Arial"/>
          <w:sz w:val="18"/>
          <w:szCs w:val="18"/>
          <w:b w:val="1"/>
          <w:bCs w:val="1"/>
          <w:i w:val="1"/>
          <w:iCs w:val="1"/>
          <w:color w:val="auto"/>
        </w:rPr>
        <w:t xml:space="preserve">Sophisticated or Professional investors </w:t>
      </w:r>
      <w:r>
        <w:rPr>
          <w:rFonts w:ascii="Arial" w:cs="Arial" w:eastAsia="Arial" w:hAnsi="Arial"/>
          <w:sz w:val="18"/>
          <w:szCs w:val="18"/>
          <w:color w:val="auto"/>
        </w:rPr>
        <w:t>means any of the categories of investors to whom offers of securities can be made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708 of the Corporations Act.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Specified Clauses </w:t>
      </w:r>
      <w:r>
        <w:rPr>
          <w:rFonts w:ascii="Arial" w:cs="Arial" w:eastAsia="Arial" w:hAnsi="Arial"/>
          <w:sz w:val="18"/>
          <w:szCs w:val="18"/>
          <w:color w:val="auto"/>
        </w:rPr>
        <w:t>means clauses 1, 7, 8, 9 and 10.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Subscriber Nominee </w:t>
      </w:r>
      <w:r>
        <w:rPr>
          <w:rFonts w:ascii="Arial" w:cs="Arial" w:eastAsia="Arial" w:hAnsi="Arial"/>
          <w:sz w:val="18"/>
          <w:szCs w:val="18"/>
          <w:color w:val="auto"/>
        </w:rPr>
        <w:t>has the meaning given in clause 5(a).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Subscription Price </w:t>
      </w:r>
      <w:r>
        <w:rPr>
          <w:rFonts w:ascii="Arial" w:cs="Arial" w:eastAsia="Arial" w:hAnsi="Arial"/>
          <w:sz w:val="18"/>
          <w:szCs w:val="18"/>
          <w:color w:val="auto"/>
        </w:rPr>
        <w:t>means one hundred and fifty million U.S. dollars (USD 150,000,000.00)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Subscription Shares </w:t>
      </w:r>
      <w:r>
        <w:rPr>
          <w:rFonts w:ascii="Arial" w:cs="Arial" w:eastAsia="Arial" w:hAnsi="Arial"/>
          <w:sz w:val="18"/>
          <w:szCs w:val="18"/>
          <w:color w:val="auto"/>
        </w:rPr>
        <w:t>means 77,962,578 Shares.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Subscriber Holding Requirement </w:t>
      </w:r>
      <w:r>
        <w:rPr>
          <w:rFonts w:ascii="Arial" w:cs="Arial" w:eastAsia="Arial" w:hAnsi="Arial"/>
          <w:sz w:val="18"/>
          <w:szCs w:val="18"/>
          <w:color w:val="auto"/>
        </w:rPr>
        <w:t>means 10% or more of the Shares on issue at the time.</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220" w:lineRule="exact"/>
        <w:rPr>
          <w:sz w:val="20"/>
          <w:szCs w:val="20"/>
          <w:color w:val="auto"/>
        </w:rPr>
      </w:pPr>
    </w:p>
    <w:p>
      <w:pPr>
        <w:ind w:left="1300" w:hanging="644"/>
        <w:spacing w:after="0"/>
        <w:tabs>
          <w:tab w:leader="none" w:pos="13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Headings are for convenience only and do not affect interpretation.</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 xml:space="preserve">Mentioning anything after </w:t>
      </w:r>
      <w:r>
        <w:rPr>
          <w:rFonts w:ascii="Arial" w:cs="Arial" w:eastAsia="Arial" w:hAnsi="Arial"/>
          <w:sz w:val="17"/>
          <w:szCs w:val="17"/>
          <w:i w:val="1"/>
          <w:iCs w:val="1"/>
          <w:color w:val="auto"/>
        </w:rPr>
        <w:t>includes, including, for example,</w:t>
      </w:r>
      <w:r>
        <w:rPr>
          <w:rFonts w:ascii="Arial" w:cs="Arial" w:eastAsia="Arial" w:hAnsi="Arial"/>
          <w:sz w:val="17"/>
          <w:szCs w:val="17"/>
          <w:color w:val="auto"/>
        </w:rPr>
        <w:t xml:space="preserve"> or similar expressions, does not limit what else might be included.</w:t>
      </w:r>
    </w:p>
    <w:p>
      <w:pPr>
        <w:spacing w:after="0" w:line="227" w:lineRule="exact"/>
        <w:rPr>
          <w:rFonts w:ascii="Arial" w:cs="Arial" w:eastAsia="Arial" w:hAnsi="Arial"/>
          <w:sz w:val="17"/>
          <w:szCs w:val="17"/>
          <w:color w:val="auto"/>
        </w:rPr>
      </w:pPr>
    </w:p>
    <w:p>
      <w:pPr>
        <w:ind w:left="1300" w:hanging="644"/>
        <w:spacing w:after="0"/>
        <w:tabs>
          <w:tab w:leader="none" w:pos="13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following rules apply unless the context requires otherwise.</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singular includes the plural, and the converse also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470" w:name="page471"/>
    <w:bookmarkEnd w:id="470"/>
    <w:p>
      <w:pPr>
        <w:ind w:left="840" w:hanging="656"/>
        <w:spacing w:after="0"/>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 gender includes all genders.</w:t>
      </w:r>
    </w:p>
    <w:p>
      <w:pPr>
        <w:spacing w:after="0" w:line="198" w:lineRule="exact"/>
        <w:rPr>
          <w:rFonts w:ascii="Arial" w:cs="Arial" w:eastAsia="Arial" w:hAnsi="Arial"/>
          <w:sz w:val="18"/>
          <w:szCs w:val="18"/>
          <w:color w:val="auto"/>
        </w:rPr>
      </w:pPr>
    </w:p>
    <w:p>
      <w:pPr>
        <w:ind w:left="840" w:hanging="656"/>
        <w:spacing w:after="0"/>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180" w:lineRule="exact"/>
        <w:rPr>
          <w:rFonts w:ascii="Arial" w:cs="Arial" w:eastAsia="Arial" w:hAnsi="Arial"/>
          <w:sz w:val="18"/>
          <w:szCs w:val="18"/>
          <w:color w:val="auto"/>
        </w:rPr>
      </w:pPr>
    </w:p>
    <w:p>
      <w:pPr>
        <w:ind w:left="840" w:hanging="656"/>
        <w:spacing w:after="0" w:line="267" w:lineRule="auto"/>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A reference to a </w:t>
      </w:r>
      <w:r>
        <w:rPr>
          <w:rFonts w:ascii="Arial" w:cs="Arial" w:eastAsia="Arial" w:hAnsi="Arial"/>
          <w:sz w:val="18"/>
          <w:szCs w:val="18"/>
          <w:i w:val="1"/>
          <w:iCs w:val="1"/>
          <w:color w:val="auto"/>
        </w:rPr>
        <w:t>person</w:t>
      </w:r>
      <w:r>
        <w:rPr>
          <w:rFonts w:ascii="Arial" w:cs="Arial" w:eastAsia="Arial" w:hAnsi="Arial"/>
          <w:sz w:val="18"/>
          <w:szCs w:val="18"/>
          <w:color w:val="auto"/>
        </w:rPr>
        <w:t xml:space="preserve"> includes a corporation, trust, partnership, unincorporated body or other entity, whether or not it comprises a separate legal entity.</w:t>
      </w:r>
    </w:p>
    <w:p>
      <w:pPr>
        <w:spacing w:after="0" w:line="164" w:lineRule="exact"/>
        <w:rPr>
          <w:rFonts w:ascii="Arial" w:cs="Arial" w:eastAsia="Arial" w:hAnsi="Arial"/>
          <w:sz w:val="18"/>
          <w:szCs w:val="18"/>
          <w:color w:val="auto"/>
        </w:rPr>
      </w:pPr>
    </w:p>
    <w:p>
      <w:pPr>
        <w:ind w:left="840" w:right="620" w:hanging="656"/>
        <w:spacing w:after="0" w:line="246" w:lineRule="auto"/>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A reference to </w:t>
      </w:r>
      <w:r>
        <w:rPr>
          <w:rFonts w:ascii="Arial" w:cs="Arial" w:eastAsia="Arial" w:hAnsi="Arial"/>
          <w:sz w:val="18"/>
          <w:szCs w:val="18"/>
          <w:color w:val="0C0C0C"/>
        </w:rPr>
        <w:t>a</w:t>
      </w:r>
      <w:r>
        <w:rPr>
          <w:rFonts w:ascii="Arial" w:cs="Arial" w:eastAsia="Arial" w:hAnsi="Arial"/>
          <w:sz w:val="18"/>
          <w:szCs w:val="18"/>
          <w:color w:val="auto"/>
        </w:rPr>
        <w:t xml:space="preserve"> clause, Schedule or Annexure is </w:t>
      </w:r>
      <w:r>
        <w:rPr>
          <w:rFonts w:ascii="Arial" w:cs="Arial" w:eastAsia="Arial" w:hAnsi="Arial"/>
          <w:sz w:val="18"/>
          <w:szCs w:val="18"/>
          <w:color w:val="0F0F0F"/>
        </w:rPr>
        <w:t>a</w:t>
      </w:r>
      <w:r>
        <w:rPr>
          <w:rFonts w:ascii="Arial" w:cs="Arial" w:eastAsia="Arial" w:hAnsi="Arial"/>
          <w:sz w:val="18"/>
          <w:szCs w:val="18"/>
          <w:color w:val="auto"/>
        </w:rPr>
        <w:t xml:space="preserve"> reference to </w:t>
      </w:r>
      <w:r>
        <w:rPr>
          <w:rFonts w:ascii="Arial" w:cs="Arial" w:eastAsia="Arial" w:hAnsi="Arial"/>
          <w:sz w:val="18"/>
          <w:szCs w:val="18"/>
          <w:color w:val="0F0F0F"/>
        </w:rPr>
        <w:t>a</w:t>
      </w:r>
      <w:r>
        <w:rPr>
          <w:rFonts w:ascii="Arial" w:cs="Arial" w:eastAsia="Arial" w:hAnsi="Arial"/>
          <w:sz w:val="18"/>
          <w:szCs w:val="18"/>
          <w:color w:val="auto"/>
        </w:rPr>
        <w:t xml:space="preserve"> clause of, or Schedule or Annexure to, this Agreement.</w:t>
      </w:r>
    </w:p>
    <w:p>
      <w:pPr>
        <w:spacing w:after="0" w:line="183" w:lineRule="exact"/>
        <w:rPr>
          <w:rFonts w:ascii="Arial" w:cs="Arial" w:eastAsia="Arial" w:hAnsi="Arial"/>
          <w:sz w:val="18"/>
          <w:szCs w:val="18"/>
          <w:color w:val="auto"/>
        </w:rPr>
      </w:pPr>
    </w:p>
    <w:p>
      <w:pPr>
        <w:ind w:left="840" w:hanging="656"/>
        <w:spacing w:after="0"/>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A reference to an agreement </w:t>
      </w:r>
      <w:r>
        <w:rPr>
          <w:rFonts w:ascii="Arial" w:cs="Arial" w:eastAsia="Arial" w:hAnsi="Arial"/>
          <w:sz w:val="18"/>
          <w:szCs w:val="18"/>
          <w:color w:val="0C0C0C"/>
        </w:rPr>
        <w:t>or</w:t>
      </w:r>
      <w:r>
        <w:rPr>
          <w:rFonts w:ascii="Arial" w:cs="Arial" w:eastAsia="Arial" w:hAnsi="Arial"/>
          <w:sz w:val="18"/>
          <w:szCs w:val="18"/>
          <w:color w:val="auto"/>
        </w:rPr>
        <w:t xml:space="preserve"> document (including a reference to this Agreement) is to the agreement or document as amended, supplemented, novated or replaced, except to the extent prohibited by this Agreement or that other agreement or document.</w:t>
      </w:r>
    </w:p>
    <w:p>
      <w:pPr>
        <w:spacing w:after="0" w:line="189" w:lineRule="exact"/>
        <w:rPr>
          <w:rFonts w:ascii="Arial" w:cs="Arial" w:eastAsia="Arial" w:hAnsi="Arial"/>
          <w:sz w:val="18"/>
          <w:szCs w:val="18"/>
          <w:color w:val="auto"/>
        </w:rPr>
      </w:pPr>
    </w:p>
    <w:p>
      <w:pPr>
        <w:ind w:left="840" w:right="180" w:hanging="656"/>
        <w:spacing w:after="0" w:line="246" w:lineRule="auto"/>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A reference to writing includes any method of representing or reproducing words, figures, drawings </w:t>
      </w:r>
      <w:r>
        <w:rPr>
          <w:rFonts w:ascii="Arial" w:cs="Arial" w:eastAsia="Arial" w:hAnsi="Arial"/>
          <w:sz w:val="18"/>
          <w:szCs w:val="18"/>
          <w:color w:val="0C0C0C"/>
        </w:rPr>
        <w:t>or</w:t>
      </w:r>
      <w:r>
        <w:rPr>
          <w:rFonts w:ascii="Arial" w:cs="Arial" w:eastAsia="Arial" w:hAnsi="Arial"/>
          <w:sz w:val="18"/>
          <w:szCs w:val="18"/>
          <w:color w:val="auto"/>
        </w:rPr>
        <w:t xml:space="preserve"> symbols in a visible and tangible form.</w:t>
      </w:r>
    </w:p>
    <w:p>
      <w:pPr>
        <w:spacing w:after="0" w:line="183" w:lineRule="exact"/>
        <w:rPr>
          <w:rFonts w:ascii="Arial" w:cs="Arial" w:eastAsia="Arial" w:hAnsi="Arial"/>
          <w:sz w:val="18"/>
          <w:szCs w:val="18"/>
          <w:color w:val="auto"/>
        </w:rPr>
      </w:pPr>
    </w:p>
    <w:p>
      <w:pPr>
        <w:ind w:left="840" w:hanging="656"/>
        <w:spacing w:after="0" w:line="246" w:lineRule="auto"/>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 reference to a party to this Agreement or another agreement or document includes the party’s successors, permitted substitutes and permitted assigns (and, where applicable, the party’s legal personal representatives)</w:t>
      </w:r>
    </w:p>
    <w:p>
      <w:pPr>
        <w:spacing w:after="0" w:line="183" w:lineRule="exact"/>
        <w:rPr>
          <w:rFonts w:ascii="Arial" w:cs="Arial" w:eastAsia="Arial" w:hAnsi="Arial"/>
          <w:sz w:val="18"/>
          <w:szCs w:val="18"/>
          <w:color w:val="auto"/>
        </w:rPr>
      </w:pPr>
    </w:p>
    <w:p>
      <w:pPr>
        <w:ind w:left="840" w:right="360" w:hanging="656"/>
        <w:spacing w:after="0" w:line="246" w:lineRule="auto"/>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A reference to legislation or to a provision of legislation includes </w:t>
      </w:r>
      <w:r>
        <w:rPr>
          <w:rFonts w:ascii="Arial" w:cs="Arial" w:eastAsia="Arial" w:hAnsi="Arial"/>
          <w:sz w:val="18"/>
          <w:szCs w:val="18"/>
          <w:color w:val="111111"/>
        </w:rPr>
        <w:t>a</w:t>
      </w:r>
      <w:r>
        <w:rPr>
          <w:rFonts w:ascii="Arial" w:cs="Arial" w:eastAsia="Arial" w:hAnsi="Arial"/>
          <w:sz w:val="18"/>
          <w:szCs w:val="18"/>
          <w:color w:val="auto"/>
        </w:rPr>
        <w:t xml:space="preserve"> modification or re-enactment of it, a legislative provision substituted for it and a regulation or statutory instrument issued under it.</w:t>
      </w:r>
    </w:p>
    <w:p>
      <w:pPr>
        <w:spacing w:after="0" w:line="183" w:lineRule="exact"/>
        <w:rPr>
          <w:rFonts w:ascii="Arial" w:cs="Arial" w:eastAsia="Arial" w:hAnsi="Arial"/>
          <w:sz w:val="18"/>
          <w:szCs w:val="18"/>
          <w:color w:val="auto"/>
        </w:rPr>
      </w:pPr>
    </w:p>
    <w:p>
      <w:pPr>
        <w:ind w:left="840" w:hanging="656"/>
        <w:spacing w:after="0"/>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 reference to conduct includes an omission, statement or undertaking, whether or not in writing.</w:t>
      </w:r>
    </w:p>
    <w:p>
      <w:pPr>
        <w:spacing w:after="0" w:line="180" w:lineRule="exact"/>
        <w:rPr>
          <w:rFonts w:ascii="Arial" w:cs="Arial" w:eastAsia="Arial" w:hAnsi="Arial"/>
          <w:sz w:val="18"/>
          <w:szCs w:val="18"/>
          <w:color w:val="auto"/>
        </w:rPr>
      </w:pPr>
    </w:p>
    <w:p>
      <w:pPr>
        <w:ind w:left="840" w:right="40" w:hanging="656"/>
        <w:spacing w:after="0" w:line="245" w:lineRule="auto"/>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A reference to </w:t>
      </w:r>
      <w:r>
        <w:rPr>
          <w:rFonts w:ascii="Arial" w:cs="Arial" w:eastAsia="Arial" w:hAnsi="Arial"/>
          <w:sz w:val="18"/>
          <w:szCs w:val="18"/>
          <w:i w:val="1"/>
          <w:iCs w:val="1"/>
          <w:color w:val="0F0F0F"/>
        </w:rPr>
        <w:t>a</w:t>
      </w:r>
      <w:r>
        <w:rPr>
          <w:rFonts w:ascii="Arial" w:cs="Arial" w:eastAsia="Arial" w:hAnsi="Arial"/>
          <w:sz w:val="18"/>
          <w:szCs w:val="18"/>
          <w:color w:val="auto"/>
        </w:rPr>
        <w:t xml:space="preserve"> </w:t>
      </w:r>
      <w:r>
        <w:rPr>
          <w:rFonts w:ascii="Arial" w:cs="Arial" w:eastAsia="Arial" w:hAnsi="Arial"/>
          <w:sz w:val="18"/>
          <w:szCs w:val="18"/>
          <w:i w:val="1"/>
          <w:iCs w:val="1"/>
          <w:color w:val="auto"/>
        </w:rPr>
        <w:t>right</w:t>
      </w:r>
      <w:r>
        <w:rPr>
          <w:rFonts w:ascii="Arial" w:cs="Arial" w:eastAsia="Arial" w:hAnsi="Arial"/>
          <w:sz w:val="18"/>
          <w:szCs w:val="18"/>
          <w:color w:val="auto"/>
        </w:rPr>
        <w:t xml:space="preserve"> or </w:t>
      </w:r>
      <w:r>
        <w:rPr>
          <w:rFonts w:ascii="Arial" w:cs="Arial" w:eastAsia="Arial" w:hAnsi="Arial"/>
          <w:sz w:val="18"/>
          <w:szCs w:val="18"/>
          <w:i w:val="1"/>
          <w:iCs w:val="1"/>
          <w:color w:val="auto"/>
        </w:rPr>
        <w:t>obligation</w:t>
      </w:r>
      <w:r>
        <w:rPr>
          <w:rFonts w:ascii="Arial" w:cs="Arial" w:eastAsia="Arial" w:hAnsi="Arial"/>
          <w:sz w:val="18"/>
          <w:szCs w:val="18"/>
          <w:color w:val="auto"/>
        </w:rPr>
        <w:t xml:space="preserve"> of any two or more people comprising </w:t>
      </w:r>
      <w:r>
        <w:rPr>
          <w:rFonts w:ascii="Arial" w:cs="Arial" w:eastAsia="Arial" w:hAnsi="Arial"/>
          <w:sz w:val="18"/>
          <w:szCs w:val="18"/>
          <w:color w:val="0E0E0E"/>
        </w:rPr>
        <w:t>a</w:t>
      </w:r>
      <w:r>
        <w:rPr>
          <w:rFonts w:ascii="Arial" w:cs="Arial" w:eastAsia="Arial" w:hAnsi="Arial"/>
          <w:sz w:val="18"/>
          <w:szCs w:val="18"/>
          <w:color w:val="auto"/>
        </w:rPr>
        <w:t xml:space="preserve"> single party confers that right, or imposes that obligation, as the case may be, on each of them severally and each two or more of them jointly. A reference to that party is a reference to each of those people separately (so that, for example, a representation or warranty by that party </w:t>
      </w:r>
      <w:r>
        <w:rPr>
          <w:rFonts w:ascii="Arial" w:cs="Arial" w:eastAsia="Arial" w:hAnsi="Arial"/>
          <w:sz w:val="18"/>
          <w:szCs w:val="18"/>
          <w:color w:val="0E0E0E"/>
        </w:rPr>
        <w:t>is</w:t>
      </w:r>
      <w:r>
        <w:rPr>
          <w:rFonts w:ascii="Arial" w:cs="Arial" w:eastAsia="Arial" w:hAnsi="Arial"/>
          <w:sz w:val="18"/>
          <w:szCs w:val="18"/>
          <w:color w:val="auto"/>
        </w:rPr>
        <w:t xml:space="preserve"> given by each of them separately).</w:t>
      </w:r>
    </w:p>
    <w:p>
      <w:pPr>
        <w:spacing w:after="0" w:line="185" w:lineRule="exact"/>
        <w:rPr>
          <w:rFonts w:ascii="Arial" w:cs="Arial" w:eastAsia="Arial" w:hAnsi="Arial"/>
          <w:sz w:val="18"/>
          <w:szCs w:val="18"/>
          <w:color w:val="auto"/>
        </w:rPr>
      </w:pPr>
    </w:p>
    <w:p>
      <w:pPr>
        <w:ind w:left="840" w:hanging="656"/>
        <w:spacing w:after="0"/>
        <w:tabs>
          <w:tab w:leader="none" w:pos="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 reference to a day means a day in the jurisdiction where the relevant obligation is to be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171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471" w:name="page472"/>
    <w:bookmarkEnd w:id="471"/>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Statements on the basis of knowledge or belief</w:t>
      </w:r>
    </w:p>
    <w:p>
      <w:pPr>
        <w:spacing w:after="0" w:line="220" w:lineRule="exact"/>
        <w:rPr>
          <w:sz w:val="20"/>
          <w:szCs w:val="20"/>
          <w:color w:val="auto"/>
        </w:rPr>
      </w:pPr>
    </w:p>
    <w:p>
      <w:pPr>
        <w:ind w:left="660" w:right="400"/>
        <w:spacing w:after="0" w:line="246" w:lineRule="auto"/>
        <w:rPr>
          <w:sz w:val="20"/>
          <w:szCs w:val="20"/>
          <w:color w:val="auto"/>
        </w:rPr>
      </w:pPr>
      <w:r>
        <w:rPr>
          <w:rFonts w:ascii="Arial" w:cs="Arial" w:eastAsia="Arial" w:hAnsi="Arial"/>
          <w:sz w:val="18"/>
          <w:szCs w:val="18"/>
          <w:color w:val="auto"/>
        </w:rPr>
        <w:t>Any statement made by a party on the basis of its knowledge and belief or awareness is made on the basis that the party has, in order to establish that the statement is true and not misleading in any respect:</w:t>
      </w:r>
    </w:p>
    <w:p>
      <w:pPr>
        <w:spacing w:after="0" w:line="183" w:lineRule="exact"/>
        <w:rPr>
          <w:sz w:val="20"/>
          <w:szCs w:val="20"/>
          <w:color w:val="auto"/>
        </w:rPr>
      </w:pPr>
    </w:p>
    <w:p>
      <w:pPr>
        <w:ind w:left="1300" w:right="220" w:hanging="644"/>
        <w:spacing w:after="0" w:line="246" w:lineRule="auto"/>
        <w:tabs>
          <w:tab w:leader="none" w:pos="13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made all reasonable inquiries of the officers, managers, employees and other persons with responsibility for the matters to which the statement relates;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if those inquiries would have prompted </w:t>
      </w:r>
      <w:r>
        <w:rPr>
          <w:rFonts w:ascii="Arial" w:cs="Arial" w:eastAsia="Arial" w:hAnsi="Arial"/>
          <w:sz w:val="18"/>
          <w:szCs w:val="18"/>
          <w:color w:val="0E0E0E"/>
        </w:rPr>
        <w:t>a</w:t>
      </w:r>
      <w:r>
        <w:rPr>
          <w:rFonts w:ascii="Arial" w:cs="Arial" w:eastAsia="Arial" w:hAnsi="Arial"/>
          <w:sz w:val="18"/>
          <w:szCs w:val="18"/>
          <w:color w:val="auto"/>
        </w:rPr>
        <w:t xml:space="preserve"> reasonable person to make further inquiries, made those further inquiries,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that, as a result of those inquiries, the party has no reason to doubt that the statement is true and not misleading in any respect.</w:t>
      </w:r>
    </w:p>
    <w:p>
      <w:pPr>
        <w:spacing w:after="0" w:line="176" w:lineRule="exact"/>
        <w:rPr>
          <w:sz w:val="20"/>
          <w:szCs w:val="20"/>
          <w:color w:val="auto"/>
        </w:rPr>
      </w:pPr>
    </w:p>
    <w:p>
      <w:pPr>
        <w:ind w:right="7900" w:firstLine="8"/>
        <w:spacing w:after="0" w:line="482" w:lineRule="auto"/>
        <w:tabs>
          <w:tab w:leader="none" w:pos="648" w:val="left"/>
        </w:tabs>
        <w:numPr>
          <w:ilvl w:val="0"/>
          <w:numId w:val="481"/>
        </w:numPr>
        <w:rPr>
          <w:rFonts w:ascii="Arial" w:cs="Arial" w:eastAsia="Arial" w:hAnsi="Arial"/>
          <w:sz w:val="18"/>
          <w:szCs w:val="18"/>
          <w:b w:val="1"/>
          <w:bCs w:val="1"/>
          <w:color w:val="131313"/>
        </w:rPr>
      </w:pPr>
      <w:r>
        <w:rPr>
          <w:rFonts w:ascii="Arial" w:cs="Arial" w:eastAsia="Arial" w:hAnsi="Arial"/>
          <w:sz w:val="18"/>
          <w:szCs w:val="18"/>
          <w:b w:val="1"/>
          <w:bCs w:val="1"/>
          <w:color w:val="auto"/>
        </w:rPr>
        <w:t>CONDITIONS TO COMPLETION 2.1 Condition Precedent</w:t>
      </w:r>
    </w:p>
    <w:p>
      <w:pPr>
        <w:spacing w:after="0" w:line="1"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The respective obligations of each party to consummate the transactions contemplated by this Agreement are subject to the shareholders of the Issuer approving the issue and allotment of the Subscription Shares contemplated by this Agreement by the requisite majorities under Listing Rule 7.1 and otherwise in accordance with the Corporations Act and the ASX Listing Rules at a duly convened general meeting of the Issuer.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Other conditions</w:t>
      </w:r>
    </w:p>
    <w:p>
      <w:pPr>
        <w:spacing w:after="0" w:line="220" w:lineRule="exact"/>
        <w:rPr>
          <w:sz w:val="20"/>
          <w:szCs w:val="20"/>
          <w:color w:val="auto"/>
        </w:rPr>
      </w:pPr>
    </w:p>
    <w:p>
      <w:pPr>
        <w:ind w:left="1300" w:right="160" w:hanging="644"/>
        <w:spacing w:after="0" w:line="238" w:lineRule="auto"/>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The obligation of the Subscriber to consummate its purchase of the Subscription Shares under this Agreement shall be subject to the Issuer delivering to the Subscriber on the Completion Date </w:t>
      </w:r>
      <w:r>
        <w:rPr>
          <w:rFonts w:ascii="Arial" w:cs="Arial" w:eastAsia="Arial" w:hAnsi="Arial"/>
          <w:sz w:val="18"/>
          <w:szCs w:val="18"/>
          <w:color w:val="131313"/>
        </w:rPr>
        <w:t>a</w:t>
      </w:r>
      <w:r>
        <w:rPr>
          <w:rFonts w:ascii="Arial" w:cs="Arial" w:eastAsia="Arial" w:hAnsi="Arial"/>
          <w:sz w:val="18"/>
          <w:szCs w:val="18"/>
          <w:color w:val="auto"/>
        </w:rPr>
        <w:t xml:space="preserve"> certificate of the Chief Executive Officer and the Chief Financial Officer of the Issuer, on behalf of the Issuer, dated the Completion Date, certifying, in their applicable capacities, to the effect that:</w:t>
      </w:r>
    </w:p>
    <w:p>
      <w:pPr>
        <w:spacing w:after="0" w:line="191" w:lineRule="exact"/>
        <w:rPr>
          <w:rFonts w:ascii="Arial" w:cs="Arial" w:eastAsia="Arial" w:hAnsi="Arial"/>
          <w:sz w:val="18"/>
          <w:szCs w:val="18"/>
          <w:color w:val="auto"/>
        </w:rPr>
      </w:pPr>
    </w:p>
    <w:p>
      <w:pPr>
        <w:ind w:left="1960" w:right="160" w:hanging="656"/>
        <w:spacing w:after="0" w:line="238" w:lineRule="auto"/>
        <w:tabs>
          <w:tab w:leader="none" w:pos="196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representations and warranties of the Issuer contained in this Agreement are true and correct in all material respects (other than those representations and warranties that are qualified by materiality, which shall be true and correct in all respects) as of the Signing Date and the Completion Date (except that representations and warranties made as of a specific date shall be required to be true and correct as of such date only); and</w:t>
      </w:r>
    </w:p>
    <w:p>
      <w:pPr>
        <w:spacing w:after="0" w:line="191" w:lineRule="exact"/>
        <w:rPr>
          <w:rFonts w:ascii="Arial" w:cs="Arial" w:eastAsia="Arial" w:hAnsi="Arial"/>
          <w:sz w:val="18"/>
          <w:szCs w:val="18"/>
          <w:color w:val="auto"/>
        </w:rPr>
      </w:pPr>
    </w:p>
    <w:p>
      <w:pPr>
        <w:ind w:left="1960" w:hanging="656"/>
        <w:spacing w:after="0" w:line="246" w:lineRule="auto"/>
        <w:tabs>
          <w:tab w:leader="none" w:pos="196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there is not any pending suit, action or proceeding by any Governmental Agency seeking to restrain, preclude, enjoin or prohibit the transactions contemplated by this Agreement.</w:t>
      </w:r>
    </w:p>
    <w:p>
      <w:pPr>
        <w:spacing w:after="0" w:line="183" w:lineRule="exact"/>
        <w:rPr>
          <w:rFonts w:ascii="Arial" w:cs="Arial" w:eastAsia="Arial" w:hAnsi="Arial"/>
          <w:sz w:val="18"/>
          <w:szCs w:val="18"/>
          <w:color w:val="auto"/>
        </w:rPr>
      </w:pPr>
    </w:p>
    <w:p>
      <w:pPr>
        <w:ind w:left="1300" w:right="20" w:hanging="644"/>
        <w:spacing w:after="0" w:line="237" w:lineRule="auto"/>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The obligation of the Issuer to consummate the issue and allotment of the Subscription Shares under this Agreement shall be subject to the Subscriber delivering to the Issuer on the Completion Date a certificate of an authorized officer, on behalf of the Subscriber, dated the Completion Date, certifying, in his or her capacity, to the effect that the representations and warranties of the Subscriber contained in this Agreement are true and correct in all material respects (other than those representations and warranties that are qualified by materiality, which shall be </w:t>
      </w:r>
      <w:r>
        <w:rPr>
          <w:rFonts w:ascii="Arial" w:cs="Arial" w:eastAsia="Arial" w:hAnsi="Arial"/>
          <w:sz w:val="18"/>
          <w:szCs w:val="18"/>
          <w:color w:val="0C0C0C"/>
        </w:rPr>
        <w:t>true</w:t>
      </w:r>
      <w:r>
        <w:rPr>
          <w:rFonts w:ascii="Arial" w:cs="Arial" w:eastAsia="Arial" w:hAnsi="Arial"/>
          <w:sz w:val="18"/>
          <w:szCs w:val="18"/>
          <w:color w:val="auto"/>
        </w:rPr>
        <w:t xml:space="preserve"> and correct in all respects) as </w:t>
      </w:r>
      <w:r>
        <w:rPr>
          <w:rFonts w:ascii="Arial" w:cs="Arial" w:eastAsia="Arial" w:hAnsi="Arial"/>
          <w:sz w:val="18"/>
          <w:szCs w:val="18"/>
          <w:color w:val="0F0F0F"/>
        </w:rPr>
        <w:t>of</w:t>
      </w:r>
      <w:r>
        <w:rPr>
          <w:rFonts w:ascii="Arial" w:cs="Arial" w:eastAsia="Arial" w:hAnsi="Arial"/>
          <w:sz w:val="18"/>
          <w:szCs w:val="18"/>
          <w:color w:val="auto"/>
        </w:rPr>
        <w:t xml:space="preserve"> the Signing Date and the Completion Date (except that representations and warranties made as of a specific date shall be required to be true and correct as of such date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2" w:name="page473"/>
    <w:bookmarkEnd w:id="472"/>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Parties must co-operate</w:t>
      </w:r>
    </w:p>
    <w:p>
      <w:pPr>
        <w:spacing w:after="0" w:line="220" w:lineRule="exact"/>
        <w:rPr>
          <w:sz w:val="20"/>
          <w:szCs w:val="20"/>
          <w:color w:val="auto"/>
        </w:rPr>
      </w:pPr>
    </w:p>
    <w:p>
      <w:pPr>
        <w:ind w:left="660" w:right="20"/>
        <w:spacing w:after="0"/>
        <w:rPr>
          <w:sz w:val="20"/>
          <w:szCs w:val="20"/>
          <w:color w:val="auto"/>
        </w:rPr>
      </w:pPr>
      <w:r>
        <w:rPr>
          <w:rFonts w:ascii="Arial" w:cs="Arial" w:eastAsia="Arial" w:hAnsi="Arial"/>
          <w:sz w:val="18"/>
          <w:szCs w:val="18"/>
          <w:color w:val="auto"/>
        </w:rPr>
        <w:t>Each party must co-operate with the other and use their respective reasonable best efforts to take or cause to be taken all actions necessary or advisable on their respective parts under this Agreement and applicable laws and regulations to consummate the transactions contemplated by this Agreement as promptly as practicable after the date of this Agreement.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Shareholder approval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the generality of clause 2.3, the Issuer must:</w:t>
      </w:r>
    </w:p>
    <w:p>
      <w:pPr>
        <w:spacing w:after="0" w:line="198" w:lineRule="exact"/>
        <w:rPr>
          <w:sz w:val="20"/>
          <w:szCs w:val="20"/>
          <w:color w:val="auto"/>
        </w:rPr>
      </w:pPr>
    </w:p>
    <w:p>
      <w:pPr>
        <w:ind w:left="1300" w:hanging="644"/>
        <w:spacing w:after="0"/>
        <w:tabs>
          <w:tab w:leader="none" w:pos="13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promptly prepare a Notice of Meeting;</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provide the Subscriber with a draft of the Notice of Meeting and consider the Subscriber’s comments prior to providing the draft Notice of Meeting to ASX for its review; and</w:t>
      </w:r>
    </w:p>
    <w:p>
      <w:pPr>
        <w:spacing w:after="0" w:line="183" w:lineRule="exact"/>
        <w:rPr>
          <w:rFonts w:ascii="Arial" w:cs="Arial" w:eastAsia="Arial" w:hAnsi="Arial"/>
          <w:sz w:val="18"/>
          <w:szCs w:val="18"/>
          <w:color w:val="auto"/>
        </w:rPr>
      </w:pPr>
    </w:p>
    <w:p>
      <w:pPr>
        <w:ind w:left="1300" w:right="140" w:hanging="644"/>
        <w:spacing w:after="0" w:line="246" w:lineRule="auto"/>
        <w:tabs>
          <w:tab w:leader="none" w:pos="13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 xml:space="preserve">as soon </w:t>
      </w:r>
      <w:r>
        <w:rPr>
          <w:rFonts w:ascii="Arial" w:cs="Arial" w:eastAsia="Arial" w:hAnsi="Arial"/>
          <w:sz w:val="18"/>
          <w:szCs w:val="18"/>
          <w:color w:val="0E0E0E"/>
        </w:rPr>
        <w:t>as</w:t>
      </w:r>
      <w:r>
        <w:rPr>
          <w:rFonts w:ascii="Arial" w:cs="Arial" w:eastAsia="Arial" w:hAnsi="Arial"/>
          <w:sz w:val="18"/>
          <w:szCs w:val="18"/>
          <w:color w:val="auto"/>
        </w:rPr>
        <w:t xml:space="preserve"> reasonably practicable after the Signing Date, convene a general meeting of Shareholders and despatch the Notice of Meeting to Shareholders.</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Waiver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Condition Precedent in clause 2.1 can only be waived by written agreement of the parties.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Termination before Completion</w:t>
      </w:r>
    </w:p>
    <w:p>
      <w:pPr>
        <w:spacing w:after="0" w:line="220" w:lineRule="exact"/>
        <w:rPr>
          <w:sz w:val="20"/>
          <w:szCs w:val="20"/>
          <w:color w:val="auto"/>
        </w:rPr>
      </w:pPr>
    </w:p>
    <w:p>
      <w:pPr>
        <w:ind w:left="660" w:right="80"/>
        <w:spacing w:after="0" w:line="274" w:lineRule="auto"/>
        <w:rPr>
          <w:sz w:val="20"/>
          <w:szCs w:val="20"/>
          <w:color w:val="auto"/>
        </w:rPr>
      </w:pPr>
      <w:r>
        <w:rPr>
          <w:rFonts w:ascii="Arial" w:cs="Arial" w:eastAsia="Arial" w:hAnsi="Arial"/>
          <w:sz w:val="17"/>
          <w:szCs w:val="17"/>
          <w:color w:val="auto"/>
        </w:rPr>
        <w:t xml:space="preserve">If the Condition Precedent in clause 2.1 is not satisfied, </w:t>
      </w:r>
      <w:r>
        <w:rPr>
          <w:rFonts w:ascii="Arial" w:cs="Arial" w:eastAsia="Arial" w:hAnsi="Arial"/>
          <w:sz w:val="17"/>
          <w:szCs w:val="17"/>
          <w:color w:val="0E0E0E"/>
        </w:rPr>
        <w:t>or</w:t>
      </w:r>
      <w:r>
        <w:rPr>
          <w:rFonts w:ascii="Arial" w:cs="Arial" w:eastAsia="Arial" w:hAnsi="Arial"/>
          <w:sz w:val="17"/>
          <w:szCs w:val="17"/>
          <w:color w:val="auto"/>
        </w:rPr>
        <w:t xml:space="preserve"> waived in accordance with clause 2.5, by the Condition Precedent End Date, this Agreement will automatically terminate and (other than the Specified Clauses) will be null and void and of no effect.</w:t>
      </w:r>
    </w:p>
    <w:p>
      <w:pPr>
        <w:spacing w:after="0" w:line="139" w:lineRule="exact"/>
        <w:rPr>
          <w:sz w:val="20"/>
          <w:szCs w:val="20"/>
          <w:color w:val="auto"/>
        </w:rPr>
      </w:pPr>
    </w:p>
    <w:p>
      <w:pPr>
        <w:ind w:right="6080" w:firstLine="8"/>
        <w:spacing w:after="0" w:line="482" w:lineRule="auto"/>
        <w:tabs>
          <w:tab w:leader="none" w:pos="648"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SUBSCRIBE AND COMPLETION 3.1 Subscription</w:t>
      </w:r>
    </w:p>
    <w:p>
      <w:pPr>
        <w:spacing w:after="0" w:line="1"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Subscriber will subscribe, and the Issuer will issue to the Subscriber, the Subscription Shares on the Completion Date for the Subscription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19" w:right="599" w:bottom="1440" w:gutter="0" w:footer="0" w:header="0"/>
        </w:sectPr>
      </w:pPr>
    </w:p>
    <w:bookmarkStart w:id="473" w:name="page474"/>
    <w:bookmarkEnd w:id="473"/>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Agreement to serve as application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serves as an application by the Subscriber for the allotment of the Subscription Shares on the Completion Date and accordingly it will not be necessary for the Subscriber to provide a separate (additional) application on or prior to the Completion Date.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 xml:space="preserve">Consent to become </w:t>
      </w:r>
      <w:r>
        <w:rPr>
          <w:rFonts w:ascii="Arial" w:cs="Arial" w:eastAsia="Arial" w:hAnsi="Arial"/>
          <w:sz w:val="17"/>
          <w:szCs w:val="17"/>
          <w:b w:val="1"/>
          <w:bCs w:val="1"/>
          <w:color w:val="131313"/>
        </w:rPr>
        <w:t>a</w:t>
      </w:r>
      <w:r>
        <w:rPr>
          <w:rFonts w:ascii="Arial" w:cs="Arial" w:eastAsia="Arial" w:hAnsi="Arial"/>
          <w:sz w:val="17"/>
          <w:szCs w:val="17"/>
          <w:b w:val="1"/>
          <w:bCs w:val="1"/>
          <w:color w:val="auto"/>
        </w:rPr>
        <w:t xml:space="preserve"> member and Constitution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issuance of the Subscription Shares, the Subscriber agrees to:</w:t>
      </w:r>
    </w:p>
    <w:p>
      <w:pPr>
        <w:spacing w:after="0" w:line="198" w:lineRule="exact"/>
        <w:rPr>
          <w:sz w:val="20"/>
          <w:szCs w:val="20"/>
          <w:color w:val="auto"/>
        </w:rPr>
      </w:pPr>
    </w:p>
    <w:p>
      <w:pPr>
        <w:ind w:left="1300" w:hanging="644"/>
        <w:spacing w:after="0"/>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become a member of the Issuer;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be bound by the Constitution.</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Rights Attaching to Subscription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Subscription Shares will rank equally in all respects with all other Shares on issue when the Subscription Shares are issued.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 xml:space="preserve">Time </w:t>
      </w:r>
      <w:r>
        <w:rPr>
          <w:rFonts w:ascii="Arial" w:cs="Arial" w:eastAsia="Arial" w:hAnsi="Arial"/>
          <w:sz w:val="17"/>
          <w:szCs w:val="17"/>
          <w:b w:val="1"/>
          <w:bCs w:val="1"/>
          <w:color w:val="0C0C0C"/>
        </w:rPr>
        <w:t>and</w:t>
      </w:r>
      <w:r>
        <w:rPr>
          <w:rFonts w:ascii="Arial" w:cs="Arial" w:eastAsia="Arial" w:hAnsi="Arial"/>
          <w:sz w:val="17"/>
          <w:szCs w:val="17"/>
          <w:b w:val="1"/>
          <w:bCs w:val="1"/>
          <w:color w:val="auto"/>
        </w:rPr>
        <w:t xml:space="preserve"> place of Completion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Completion will take place at 9am on the Completion Date or any other time agreed by the Issuer and Subscriber.</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Simultaneous obligations at Completion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respect of Completion:</w:t>
      </w:r>
    </w:p>
    <w:p>
      <w:pPr>
        <w:spacing w:after="0" w:line="198" w:lineRule="exact"/>
        <w:rPr>
          <w:sz w:val="20"/>
          <w:szCs w:val="20"/>
          <w:color w:val="auto"/>
        </w:rPr>
      </w:pPr>
    </w:p>
    <w:p>
      <w:pPr>
        <w:ind w:left="1300" w:right="200" w:hanging="644"/>
        <w:spacing w:after="0" w:line="246" w:lineRule="auto"/>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obligations of the parties under this Agreement are interdependent and Completion will only occur once all obligations required at Completion are satisfied; and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all actions required to be performed will be taken to have occurred simultaneously on the Completion Date.</w:t>
      </w:r>
    </w:p>
    <w:p>
      <w:pPr>
        <w:spacing w:after="0" w:line="176" w:lineRule="exact"/>
        <w:rPr>
          <w:sz w:val="20"/>
          <w:szCs w:val="20"/>
          <w:color w:val="auto"/>
        </w:rPr>
      </w:pPr>
    </w:p>
    <w:p>
      <w:pPr>
        <w:ind w:left="660" w:hanging="652"/>
        <w:spacing w:after="0"/>
        <w:tabs>
          <w:tab w:leader="none" w:pos="66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The Issuer’s undertakings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must:</w:t>
      </w:r>
    </w:p>
    <w:p>
      <w:pPr>
        <w:spacing w:after="0" w:line="198" w:lineRule="exact"/>
        <w:rPr>
          <w:sz w:val="20"/>
          <w:szCs w:val="20"/>
          <w:color w:val="auto"/>
        </w:rPr>
      </w:pPr>
    </w:p>
    <w:p>
      <w:pPr>
        <w:ind w:left="1300" w:right="360" w:hanging="644"/>
        <w:spacing w:after="0" w:line="246" w:lineRule="auto"/>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on the Completion Date, issue the Subscription Shares to the Subscriber and register, or procure the registration </w:t>
      </w:r>
      <w:r>
        <w:rPr>
          <w:rFonts w:ascii="Arial" w:cs="Arial" w:eastAsia="Arial" w:hAnsi="Arial"/>
          <w:sz w:val="18"/>
          <w:szCs w:val="18"/>
          <w:color w:val="0F0F0F"/>
        </w:rPr>
        <w:t>of,</w:t>
      </w:r>
      <w:r>
        <w:rPr>
          <w:rFonts w:ascii="Arial" w:cs="Arial" w:eastAsia="Arial" w:hAnsi="Arial"/>
          <w:sz w:val="18"/>
          <w:szCs w:val="18"/>
          <w:color w:val="auto"/>
        </w:rPr>
        <w:t xml:space="preserve"> the Subscriber as the holder of the Subscription Shares;</w:t>
      </w:r>
    </w:p>
    <w:p>
      <w:pPr>
        <w:spacing w:after="0" w:line="183" w:lineRule="exact"/>
        <w:rPr>
          <w:rFonts w:ascii="Arial" w:cs="Arial" w:eastAsia="Arial" w:hAnsi="Arial"/>
          <w:sz w:val="18"/>
          <w:szCs w:val="18"/>
          <w:color w:val="auto"/>
        </w:rPr>
      </w:pPr>
    </w:p>
    <w:p>
      <w:pPr>
        <w:ind w:left="1300" w:right="200" w:hanging="644"/>
        <w:spacing w:after="0" w:line="246" w:lineRule="auto"/>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as soon as practicable after Completion, deliver, or procure the delivery by its share registrar to the Subscriber, of holding statements evidencing the Subscription Shares subscribed for by the Subscriber;</w:t>
      </w:r>
    </w:p>
    <w:p>
      <w:pPr>
        <w:spacing w:after="0" w:line="183" w:lineRule="exact"/>
        <w:rPr>
          <w:rFonts w:ascii="Arial" w:cs="Arial" w:eastAsia="Arial" w:hAnsi="Arial"/>
          <w:sz w:val="18"/>
          <w:szCs w:val="18"/>
          <w:color w:val="auto"/>
        </w:rPr>
      </w:pPr>
    </w:p>
    <w:p>
      <w:pPr>
        <w:jc w:val="both"/>
        <w:ind w:left="1300" w:right="40" w:hanging="644"/>
        <w:spacing w:after="0"/>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within one Business Day after the Subscriber pays the Subscription Price in accordance with clause 4.2, apply for quotation of the Subscription Shares in accordance with the ASX Listing Rules at its own cost and use its best endeavours at its own cost to obtain quotation of the Subscription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19" w:right="439" w:bottom="1440" w:gutter="0" w:footer="0" w:header="0"/>
        </w:sectPr>
      </w:pPr>
    </w:p>
    <w:bookmarkStart w:id="474" w:name="page475"/>
    <w:bookmarkEnd w:id="474"/>
    <w:p>
      <w:pPr>
        <w:ind w:left="1300" w:right="60" w:hanging="644"/>
        <w:spacing w:after="0" w:line="245" w:lineRule="auto"/>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as soon as practicable after the Completion Date, and in any event within five Business Days of the Completion Date, lodge with the ASX a statement meeting the requirements of sections 708A(5)(e) and 708A(6) of the Corporations Act; and</w:t>
      </w:r>
    </w:p>
    <w:p>
      <w:pPr>
        <w:spacing w:after="0" w:line="183" w:lineRule="exact"/>
        <w:rPr>
          <w:rFonts w:ascii="Arial" w:cs="Arial" w:eastAsia="Arial" w:hAnsi="Arial"/>
          <w:sz w:val="18"/>
          <w:szCs w:val="18"/>
          <w:color w:val="auto"/>
        </w:rPr>
      </w:pPr>
    </w:p>
    <w:p>
      <w:pPr>
        <w:ind w:left="1300" w:right="4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immediately notify the Subscriber if at any time before the Completion Date the lssuer becomes aware of any third party objecting to, challenging, interfering with or obstructing (or proposing to object to, challenge interfere with or obstruct) any of the transactions contemplated by this Agreement.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The Subscriber’s undertakings</w:t>
      </w:r>
    </w:p>
    <w:p>
      <w:pPr>
        <w:spacing w:after="0" w:line="220"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Subscriber must pay, or cause to be paid, the Subscription Price to the lssuer in immediately available funds on the Completion Date to the account notified by the Issuer to the Subscriber no less than six (6) days prior to the Completion Date.</w:t>
      </w:r>
    </w:p>
    <w:p>
      <w:pPr>
        <w:spacing w:after="0" w:line="161" w:lineRule="exact"/>
        <w:rPr>
          <w:sz w:val="20"/>
          <w:szCs w:val="20"/>
          <w:color w:val="auto"/>
        </w:rPr>
      </w:pPr>
    </w:p>
    <w:p>
      <w:pPr>
        <w:ind w:left="660" w:hanging="652"/>
        <w:spacing w:after="0"/>
        <w:tabs>
          <w:tab w:leader="none" w:pos="66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DIRECTOR NOMINATED BY SUBSCRIBER</w:t>
      </w:r>
    </w:p>
    <w:p>
      <w:pPr>
        <w:spacing w:after="0" w:line="220" w:lineRule="exact"/>
        <w:rPr>
          <w:rFonts w:ascii="Arial" w:cs="Arial" w:eastAsia="Arial" w:hAnsi="Arial"/>
          <w:sz w:val="18"/>
          <w:szCs w:val="18"/>
          <w:b w:val="1"/>
          <w:bCs w:val="1"/>
          <w:color w:val="auto"/>
        </w:rPr>
      </w:pPr>
    </w:p>
    <w:p>
      <w:pPr>
        <w:ind w:left="1300" w:hanging="644"/>
        <w:spacing w:after="0" w:line="237" w:lineRule="auto"/>
        <w:tabs>
          <w:tab w:leader="none" w:pos="130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 xml:space="preserve">As soon as practicable after the Completion Date, and provided that the Subscriber has delivered to the Issuer a consent to act, completed by its nominee, to be appointed as a non-executive director on the Board, the Issuer shall procure that the current directors of the Issuer appoint a representative of the Subscriber (nominated in writing by the Subscriber after consultation with the Issuer and otherwise in accordance with clause 5(b)) to the Board as a non-executive director of the Issuer (the </w:t>
      </w:r>
      <w:r>
        <w:rPr>
          <w:rFonts w:ascii="Arial" w:cs="Arial" w:eastAsia="Arial" w:hAnsi="Arial"/>
          <w:sz w:val="18"/>
          <w:szCs w:val="18"/>
          <w:b w:val="1"/>
          <w:bCs w:val="1"/>
          <w:i w:val="1"/>
          <w:iCs w:val="1"/>
          <w:color w:val="auto"/>
        </w:rPr>
        <w:t>Subscriber Nominee</w:t>
      </w:r>
      <w:r>
        <w:rPr>
          <w:rFonts w:ascii="Arial" w:cs="Arial" w:eastAsia="Arial" w:hAnsi="Arial"/>
          <w:sz w:val="18"/>
          <w:szCs w:val="18"/>
          <w:color w:val="auto"/>
        </w:rPr>
        <w:t>), and the Issuer must then seek his or her election to the Board at the Issuer’s next annual general meeting of shareholders, provided that any such Subscriber Nominee must satisfy the eligibility requirements under the Constitution, Corporations Act and ASX Listing Rules for appointment or election as a director of the Issuer.</w:t>
      </w:r>
    </w:p>
    <w:p>
      <w:pPr>
        <w:spacing w:after="0" w:line="189" w:lineRule="exact"/>
        <w:rPr>
          <w:rFonts w:ascii="Arial" w:cs="Arial" w:eastAsia="Arial" w:hAnsi="Arial"/>
          <w:sz w:val="18"/>
          <w:szCs w:val="18"/>
          <w:color w:val="auto"/>
        </w:rPr>
      </w:pPr>
    </w:p>
    <w:p>
      <w:pPr>
        <w:ind w:left="1300" w:right="140" w:hanging="644"/>
        <w:spacing w:after="0" w:line="246" w:lineRule="auto"/>
        <w:tabs>
          <w:tab w:leader="none" w:pos="130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The Subscriber agrees that the Subscriber Nominee shall have the appropriate commercial and professional experience to fulfil the role of a director of the Issuer.</w:t>
      </w:r>
    </w:p>
    <w:p>
      <w:pPr>
        <w:spacing w:after="0" w:line="183" w:lineRule="exact"/>
        <w:rPr>
          <w:rFonts w:ascii="Arial" w:cs="Arial" w:eastAsia="Arial" w:hAnsi="Arial"/>
          <w:sz w:val="18"/>
          <w:szCs w:val="18"/>
          <w:color w:val="auto"/>
        </w:rPr>
      </w:pPr>
    </w:p>
    <w:p>
      <w:pPr>
        <w:ind w:left="1300" w:right="200" w:hanging="644"/>
        <w:spacing w:after="0" w:line="246" w:lineRule="auto"/>
        <w:tabs>
          <w:tab w:leader="none" w:pos="130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Any Subscriber Nominee who is appointed as a director to the Board of the Issuer will be taken to have been appointed to represent the interests of the Subscriber and section 203D(1) of the Corporations Act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75" w:name="page476"/>
    <w:bookmarkEnd w:id="475"/>
    <w:p>
      <w:pPr>
        <w:ind w:left="1292" w:right="260" w:hanging="644"/>
        <w:spacing w:after="0" w:line="246" w:lineRule="auto"/>
        <w:tabs>
          <w:tab w:leader="none" w:pos="1292" w:val="left"/>
        </w:tabs>
        <w:numPr>
          <w:ilvl w:val="0"/>
          <w:numId w:val="491"/>
        </w:numPr>
        <w:rPr>
          <w:rFonts w:ascii="Arial" w:cs="Arial" w:eastAsia="Arial" w:hAnsi="Arial"/>
          <w:sz w:val="18"/>
          <w:szCs w:val="18"/>
          <w:color w:val="auto"/>
        </w:rPr>
      </w:pPr>
      <w:r>
        <w:rPr>
          <w:rFonts w:ascii="Arial" w:cs="Arial" w:eastAsia="Arial" w:hAnsi="Arial"/>
          <w:sz w:val="18"/>
          <w:szCs w:val="18"/>
          <w:color w:val="auto"/>
        </w:rPr>
        <w:t>Subject to clause 5(f), if the Subscriber Nominee appointed under clause 5(a) ceases to be a director of the Issuer for any reason, the Issuer must ensure that:</w:t>
      </w:r>
    </w:p>
    <w:p>
      <w:pPr>
        <w:spacing w:after="0" w:line="223" w:lineRule="exact"/>
        <w:rPr>
          <w:rFonts w:ascii="Arial" w:cs="Arial" w:eastAsia="Arial" w:hAnsi="Arial"/>
          <w:sz w:val="18"/>
          <w:szCs w:val="18"/>
          <w:color w:val="auto"/>
        </w:rPr>
      </w:pPr>
    </w:p>
    <w:p>
      <w:pPr>
        <w:ind w:left="1952" w:right="460" w:hanging="656"/>
        <w:spacing w:after="0" w:line="246" w:lineRule="auto"/>
        <w:tabs>
          <w:tab w:leader="none" w:pos="1952" w:val="left"/>
        </w:tabs>
        <w:numPr>
          <w:ilvl w:val="1"/>
          <w:numId w:val="491"/>
        </w:numPr>
        <w:rPr>
          <w:rFonts w:ascii="Arial" w:cs="Arial" w:eastAsia="Arial" w:hAnsi="Arial"/>
          <w:sz w:val="18"/>
          <w:szCs w:val="18"/>
          <w:color w:val="auto"/>
        </w:rPr>
      </w:pPr>
      <w:r>
        <w:rPr>
          <w:rFonts w:ascii="Arial" w:cs="Arial" w:eastAsia="Arial" w:hAnsi="Arial"/>
          <w:sz w:val="18"/>
          <w:szCs w:val="18"/>
          <w:color w:val="auto"/>
        </w:rPr>
        <w:t xml:space="preserve">the Board appoints another individual nominated by the Subscriber as a Subscriber Nominee to the Board as </w:t>
      </w:r>
      <w:r>
        <w:rPr>
          <w:rFonts w:ascii="Arial" w:cs="Arial" w:eastAsia="Arial" w:hAnsi="Arial"/>
          <w:sz w:val="18"/>
          <w:szCs w:val="18"/>
          <w:color w:val="0E0E0E"/>
        </w:rPr>
        <w:t>a</w:t>
      </w:r>
      <w:r>
        <w:rPr>
          <w:rFonts w:ascii="Arial" w:cs="Arial" w:eastAsia="Arial" w:hAnsi="Arial"/>
          <w:sz w:val="18"/>
          <w:szCs w:val="18"/>
          <w:color w:val="auto"/>
        </w:rPr>
        <w:t xml:space="preserve"> director; and</w:t>
      </w:r>
    </w:p>
    <w:p>
      <w:pPr>
        <w:spacing w:after="0" w:line="183" w:lineRule="exact"/>
        <w:rPr>
          <w:rFonts w:ascii="Arial" w:cs="Arial" w:eastAsia="Arial" w:hAnsi="Arial"/>
          <w:sz w:val="18"/>
          <w:szCs w:val="18"/>
          <w:color w:val="auto"/>
        </w:rPr>
      </w:pPr>
    </w:p>
    <w:p>
      <w:pPr>
        <w:ind w:left="1952" w:right="40" w:hanging="656"/>
        <w:spacing w:after="0" w:line="238" w:lineRule="auto"/>
        <w:tabs>
          <w:tab w:leader="none" w:pos="1952" w:val="left"/>
        </w:tabs>
        <w:numPr>
          <w:ilvl w:val="1"/>
          <w:numId w:val="491"/>
        </w:numPr>
        <w:rPr>
          <w:rFonts w:ascii="Arial" w:cs="Arial" w:eastAsia="Arial" w:hAnsi="Arial"/>
          <w:sz w:val="18"/>
          <w:szCs w:val="18"/>
          <w:color w:val="auto"/>
        </w:rPr>
      </w:pPr>
      <w:r>
        <w:rPr>
          <w:rFonts w:ascii="Arial" w:cs="Arial" w:eastAsia="Arial" w:hAnsi="Arial"/>
          <w:sz w:val="18"/>
          <w:szCs w:val="18"/>
          <w:color w:val="auto"/>
        </w:rPr>
        <w:t xml:space="preserve">the Board (other than the Subscriber Nominee) takes all reasonable steps to recommend unanimously the election or the re-election of the Subscriber Nominee to the Board as a director at any general meeting of the Issuer at which Subscriber Nominee is standing for re-election, except </w:t>
      </w:r>
      <w:r>
        <w:rPr>
          <w:rFonts w:ascii="Arial" w:cs="Arial" w:eastAsia="Arial" w:hAnsi="Arial"/>
          <w:sz w:val="18"/>
          <w:szCs w:val="18"/>
          <w:color w:val="0E0E0E"/>
        </w:rPr>
        <w:t>to</w:t>
      </w:r>
      <w:r>
        <w:rPr>
          <w:rFonts w:ascii="Arial" w:cs="Arial" w:eastAsia="Arial" w:hAnsi="Arial"/>
          <w:sz w:val="18"/>
          <w:szCs w:val="18"/>
          <w:color w:val="auto"/>
        </w:rPr>
        <w:t xml:space="preserve"> the extent any director of the Issuer acting in good faith, determines that such recommendation would, or would be likely to, involve a breach of the director’s fiduciary duties or breach of a regulatory requirement,</w:t>
      </w:r>
    </w:p>
    <w:p>
      <w:pPr>
        <w:spacing w:after="0" w:line="189" w:lineRule="exact"/>
        <w:rPr>
          <w:sz w:val="20"/>
          <w:szCs w:val="20"/>
          <w:color w:val="auto"/>
        </w:rPr>
      </w:pPr>
    </w:p>
    <w:p>
      <w:pPr>
        <w:ind w:left="1292" w:right="220"/>
        <w:spacing w:after="0" w:line="246" w:lineRule="auto"/>
        <w:rPr>
          <w:sz w:val="20"/>
          <w:szCs w:val="20"/>
          <w:color w:val="auto"/>
        </w:rPr>
      </w:pPr>
      <w:r>
        <w:rPr>
          <w:rFonts w:ascii="Arial" w:cs="Arial" w:eastAsia="Arial" w:hAnsi="Arial"/>
          <w:sz w:val="18"/>
          <w:szCs w:val="18"/>
          <w:color w:val="auto"/>
        </w:rPr>
        <w:t>subject to the Subscriber Nominee satisfying the eligibility requirements under the Constitution, Corporations Act and ASX Listing Rules for appointment or election as a director of the Issuer (including the provision of a written consent to act).</w:t>
      </w:r>
    </w:p>
    <w:p>
      <w:pPr>
        <w:spacing w:after="0" w:line="183" w:lineRule="exact"/>
        <w:rPr>
          <w:sz w:val="20"/>
          <w:szCs w:val="20"/>
          <w:color w:val="auto"/>
        </w:rPr>
      </w:pPr>
    </w:p>
    <w:p>
      <w:pPr>
        <w:ind w:left="1292" w:right="100" w:hanging="644"/>
        <w:spacing w:after="0" w:line="274" w:lineRule="auto"/>
        <w:tabs>
          <w:tab w:leader="none" w:pos="1292" w:val="left"/>
        </w:tabs>
        <w:numPr>
          <w:ilvl w:val="0"/>
          <w:numId w:val="492"/>
        </w:numPr>
        <w:rPr>
          <w:rFonts w:ascii="Arial" w:cs="Arial" w:eastAsia="Arial" w:hAnsi="Arial"/>
          <w:sz w:val="17"/>
          <w:szCs w:val="17"/>
          <w:color w:val="auto"/>
        </w:rPr>
      </w:pPr>
      <w:r>
        <w:rPr>
          <w:rFonts w:ascii="Arial" w:cs="Arial" w:eastAsia="Arial" w:hAnsi="Arial"/>
          <w:sz w:val="17"/>
          <w:szCs w:val="17"/>
          <w:color w:val="auto"/>
        </w:rPr>
        <w:t xml:space="preserve">Subject to clause 5(f) the Subscriber may, at any time and in its absolute discretion, remove </w:t>
      </w:r>
      <w:r>
        <w:rPr>
          <w:rFonts w:ascii="Arial" w:cs="Arial" w:eastAsia="Arial" w:hAnsi="Arial"/>
          <w:sz w:val="17"/>
          <w:szCs w:val="17"/>
          <w:color w:val="0C0C0C"/>
        </w:rPr>
        <w:t>a</w:t>
      </w:r>
      <w:r>
        <w:rPr>
          <w:rFonts w:ascii="Arial" w:cs="Arial" w:eastAsia="Arial" w:hAnsi="Arial"/>
          <w:sz w:val="17"/>
          <w:szCs w:val="17"/>
          <w:color w:val="auto"/>
        </w:rPr>
        <w:t xml:space="preserve"> Subscriber Nominee and nominate a replacement Subscriber Nominee, in respect of whom the Issuer’s obligations pursuant to clause 5(d) will apply.</w:t>
      </w:r>
    </w:p>
    <w:p>
      <w:pPr>
        <w:spacing w:after="0" w:line="161" w:lineRule="exact"/>
        <w:rPr>
          <w:rFonts w:ascii="Arial" w:cs="Arial" w:eastAsia="Arial" w:hAnsi="Arial"/>
          <w:sz w:val="17"/>
          <w:szCs w:val="17"/>
          <w:color w:val="auto"/>
        </w:rPr>
      </w:pPr>
    </w:p>
    <w:p>
      <w:pPr>
        <w:ind w:left="1292" w:hanging="644"/>
        <w:spacing w:after="0"/>
        <w:tabs>
          <w:tab w:leader="none" w:pos="129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If the Subscriber fails to satisfy the Subscriber Holding Requirement, and that failure continues for three consecutive months:</w:t>
      </w:r>
    </w:p>
    <w:p>
      <w:pPr>
        <w:spacing w:after="0" w:line="198" w:lineRule="exact"/>
        <w:rPr>
          <w:rFonts w:ascii="Arial" w:cs="Arial" w:eastAsia="Arial" w:hAnsi="Arial"/>
          <w:sz w:val="18"/>
          <w:szCs w:val="18"/>
          <w:color w:val="auto"/>
        </w:rPr>
      </w:pPr>
    </w:p>
    <w:p>
      <w:pPr>
        <w:ind w:left="1952" w:hanging="656"/>
        <w:spacing w:after="0"/>
        <w:tabs>
          <w:tab w:leader="none" w:pos="1952"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the operation of clauses 5(a) to 5(e) will cease; and</w:t>
      </w:r>
    </w:p>
    <w:p>
      <w:pPr>
        <w:spacing w:after="0" w:line="198" w:lineRule="exact"/>
        <w:rPr>
          <w:rFonts w:ascii="Arial" w:cs="Arial" w:eastAsia="Arial" w:hAnsi="Arial"/>
          <w:sz w:val="18"/>
          <w:szCs w:val="18"/>
          <w:color w:val="auto"/>
        </w:rPr>
      </w:pPr>
    </w:p>
    <w:p>
      <w:pPr>
        <w:ind w:left="1952" w:right="60" w:hanging="656"/>
        <w:spacing w:after="0" w:line="246" w:lineRule="auto"/>
        <w:tabs>
          <w:tab w:leader="none" w:pos="1952"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the Subscriber will immediately procure that the Subscriber Nominee tender to the Issuer his or her resignation from the Board with immediate effect.</w:t>
      </w:r>
    </w:p>
    <w:p>
      <w:pPr>
        <w:spacing w:after="0" w:line="183" w:lineRule="exact"/>
        <w:rPr>
          <w:rFonts w:ascii="Arial" w:cs="Arial" w:eastAsia="Arial" w:hAnsi="Arial"/>
          <w:sz w:val="18"/>
          <w:szCs w:val="18"/>
          <w:color w:val="auto"/>
        </w:rPr>
      </w:pPr>
    </w:p>
    <w:p>
      <w:pPr>
        <w:ind w:left="1292" w:hanging="644"/>
        <w:spacing w:after="0"/>
        <w:tabs>
          <w:tab w:leader="none" w:pos="129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Nothing in this clause 5 shall require the Subscriber to nominate a Subscriber Nominee.</w:t>
      </w:r>
    </w:p>
    <w:p>
      <w:pPr>
        <w:spacing w:after="0" w:line="176" w:lineRule="exact"/>
        <w:rPr>
          <w:sz w:val="20"/>
          <w:szCs w:val="20"/>
          <w:color w:val="auto"/>
        </w:rPr>
      </w:pPr>
    </w:p>
    <w:p>
      <w:pPr>
        <w:ind w:left="652" w:hanging="652"/>
        <w:spacing w:after="0"/>
        <w:tabs>
          <w:tab w:leader="none" w:pos="652" w:val="left"/>
        </w:tabs>
        <w:numPr>
          <w:ilvl w:val="0"/>
          <w:numId w:val="493"/>
        </w:numPr>
        <w:rPr>
          <w:rFonts w:ascii="Arial" w:cs="Arial" w:eastAsia="Arial" w:hAnsi="Arial"/>
          <w:sz w:val="18"/>
          <w:szCs w:val="18"/>
          <w:b w:val="1"/>
          <w:bCs w:val="1"/>
          <w:color w:val="111111"/>
        </w:rPr>
      </w:pPr>
      <w:r>
        <w:rPr>
          <w:rFonts w:ascii="Arial" w:cs="Arial" w:eastAsia="Arial" w:hAnsi="Arial"/>
          <w:sz w:val="18"/>
          <w:szCs w:val="18"/>
          <w:b w:val="1"/>
          <w:bCs w:val="1"/>
          <w:color w:val="auto"/>
        </w:rPr>
        <w:t>CONSULTATION RIGHT</w:t>
      </w:r>
    </w:p>
    <w:p>
      <w:pPr>
        <w:spacing w:after="0" w:line="198" w:lineRule="exact"/>
        <w:rPr>
          <w:rFonts w:ascii="Arial" w:cs="Arial" w:eastAsia="Arial" w:hAnsi="Arial"/>
          <w:sz w:val="18"/>
          <w:szCs w:val="18"/>
          <w:b w:val="1"/>
          <w:bCs w:val="1"/>
          <w:color w:val="111111"/>
        </w:rPr>
      </w:pPr>
    </w:p>
    <w:p>
      <w:pPr>
        <w:ind w:left="1292" w:right="160" w:hanging="644"/>
        <w:spacing w:after="0" w:line="253" w:lineRule="auto"/>
        <w:tabs>
          <w:tab w:leader="none" w:pos="1292" w:val="left"/>
        </w:tabs>
        <w:numPr>
          <w:ilvl w:val="1"/>
          <w:numId w:val="493"/>
        </w:numPr>
        <w:rPr>
          <w:rFonts w:ascii="Arial" w:cs="Arial" w:eastAsia="Arial" w:hAnsi="Arial"/>
          <w:sz w:val="18"/>
          <w:szCs w:val="18"/>
          <w:color w:val="auto"/>
        </w:rPr>
      </w:pPr>
      <w:r>
        <w:rPr>
          <w:rFonts w:ascii="Arial" w:cs="Arial" w:eastAsia="Arial" w:hAnsi="Arial"/>
          <w:sz w:val="18"/>
          <w:szCs w:val="18"/>
          <w:color w:val="auto"/>
        </w:rPr>
        <w:t xml:space="preserve">Subject </w:t>
      </w:r>
      <w:r>
        <w:rPr>
          <w:rFonts w:ascii="Arial" w:cs="Arial" w:eastAsia="Arial" w:hAnsi="Arial"/>
          <w:sz w:val="18"/>
          <w:szCs w:val="18"/>
          <w:color w:val="0E0E0E"/>
        </w:rPr>
        <w:t>to</w:t>
      </w:r>
      <w:r>
        <w:rPr>
          <w:rFonts w:ascii="Arial" w:cs="Arial" w:eastAsia="Arial" w:hAnsi="Arial"/>
          <w:sz w:val="18"/>
          <w:szCs w:val="18"/>
          <w:color w:val="auto"/>
        </w:rPr>
        <w:t xml:space="preserve"> clauses (b) through (d) below, the Issuer agrees that before making a non-pro rata issue of Shares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 xml:space="preserve">), it will notify the Subscriber of the Offer and consult with the Subscriber in good faith to provide the Subscriber a reasonable opportunity to participate in the Offer on equivalent terms to other investors (the </w:t>
      </w:r>
      <w:r>
        <w:rPr>
          <w:rFonts w:ascii="Arial" w:cs="Arial" w:eastAsia="Arial" w:hAnsi="Arial"/>
          <w:sz w:val="18"/>
          <w:szCs w:val="18"/>
          <w:b w:val="1"/>
          <w:bCs w:val="1"/>
          <w:i w:val="1"/>
          <w:iCs w:val="1"/>
          <w:color w:val="auto"/>
        </w:rPr>
        <w:t>Consultation Right</w:t>
      </w:r>
      <w:r>
        <w:rPr>
          <w:rFonts w:ascii="Arial" w:cs="Arial" w:eastAsia="Arial" w:hAnsi="Arial"/>
          <w:sz w:val="18"/>
          <w:szCs w:val="18"/>
          <w:i w:val="1"/>
          <w:iCs w:val="1"/>
          <w:color w:val="auto"/>
        </w:rPr>
        <w:t>).</w:t>
      </w:r>
    </w:p>
    <w:p>
      <w:pPr>
        <w:spacing w:after="0" w:line="177" w:lineRule="exact"/>
        <w:rPr>
          <w:rFonts w:ascii="Arial" w:cs="Arial" w:eastAsia="Arial" w:hAnsi="Arial"/>
          <w:sz w:val="18"/>
          <w:szCs w:val="18"/>
          <w:color w:val="auto"/>
        </w:rPr>
      </w:pPr>
    </w:p>
    <w:p>
      <w:pPr>
        <w:ind w:left="1292" w:hanging="644"/>
        <w:spacing w:after="0"/>
        <w:tabs>
          <w:tab w:leader="none" w:pos="1292" w:val="left"/>
        </w:tabs>
        <w:numPr>
          <w:ilvl w:val="1"/>
          <w:numId w:val="493"/>
        </w:numPr>
        <w:rPr>
          <w:rFonts w:ascii="Arial" w:cs="Arial" w:eastAsia="Arial" w:hAnsi="Arial"/>
          <w:sz w:val="18"/>
          <w:szCs w:val="18"/>
          <w:color w:val="auto"/>
        </w:rPr>
      </w:pPr>
      <w:r>
        <w:rPr>
          <w:rFonts w:ascii="Arial" w:cs="Arial" w:eastAsia="Arial" w:hAnsi="Arial"/>
          <w:sz w:val="18"/>
          <w:szCs w:val="18"/>
          <w:color w:val="auto"/>
        </w:rPr>
        <w:t>The Subscriber will have the benefit of the Consultation Right for so long as the Subscriber Holding Requirement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7132320" cy="171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81" w:right="359" w:bottom="1440" w:gutter="0" w:footer="0" w:header="0"/>
        </w:sectPr>
      </w:pPr>
    </w:p>
    <w:bookmarkStart w:id="476" w:name="page477"/>
    <w:bookmarkEnd w:id="476"/>
    <w:p>
      <w:pPr>
        <w:ind w:left="1300" w:right="20" w:hanging="644"/>
        <w:spacing w:after="0" w:line="246" w:lineRule="auto"/>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This clause does not apply to any potential Offer disclosed to the Subscriber, in writing and referencing this Agreement, prior to the date of this Agreement or to any Offer:</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to employees of the Issuer under any employee incentive plan approved by shareholders;</w:t>
      </w:r>
    </w:p>
    <w:p>
      <w:pPr>
        <w:spacing w:after="0" w:line="198" w:lineRule="exact"/>
        <w:rPr>
          <w:rFonts w:ascii="Arial" w:cs="Arial" w:eastAsia="Arial" w:hAnsi="Arial"/>
          <w:sz w:val="18"/>
          <w:szCs w:val="18"/>
          <w:color w:val="auto"/>
        </w:rPr>
      </w:pPr>
    </w:p>
    <w:p>
      <w:pPr>
        <w:ind w:left="1960" w:right="40" w:hanging="656"/>
        <w:spacing w:after="0" w:line="246" w:lineRule="auto"/>
        <w:tabs>
          <w:tab w:leader="none" w:pos="196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arising from the exercise, exchange or conversion of any convertible securities issued by the Issuer prior to the date of this Agreement; or</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494"/>
        </w:numPr>
        <w:rPr>
          <w:rFonts w:ascii="Arial" w:cs="Arial" w:eastAsia="Arial" w:hAnsi="Arial"/>
          <w:sz w:val="18"/>
          <w:szCs w:val="18"/>
          <w:color w:val="auto"/>
        </w:rPr>
      </w:pPr>
      <w:r>
        <w:rPr>
          <w:rFonts w:ascii="Arial" w:cs="Arial" w:eastAsia="Arial" w:hAnsi="Arial"/>
          <w:sz w:val="18"/>
          <w:szCs w:val="18"/>
          <w:color w:val="auto"/>
        </w:rPr>
        <w:t>under a takeover bid or under a merger by way of a scheme of arrangement under Part 5.1 of the Corporations Act.</w:t>
      </w:r>
    </w:p>
    <w:p>
      <w:pPr>
        <w:spacing w:after="0" w:line="198" w:lineRule="exact"/>
        <w:rPr>
          <w:rFonts w:ascii="Arial" w:cs="Arial" w:eastAsia="Arial" w:hAnsi="Arial"/>
          <w:sz w:val="18"/>
          <w:szCs w:val="18"/>
          <w:color w:val="auto"/>
        </w:rPr>
      </w:pPr>
    </w:p>
    <w:p>
      <w:pPr>
        <w:ind w:left="1300" w:right="220" w:hanging="644"/>
        <w:spacing w:after="0"/>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Issuer shall be under no obligation to comply with the Consultation Right if the Board determines, acting in good faith, after receiving written legal advice from counsel, that compliance with the Consultation Right would be determined to be unenforceable or unlawful by a court or regulatory body or prohibited by the ASX Listing Rules.</w:t>
      </w:r>
    </w:p>
    <w:p>
      <w:pPr>
        <w:spacing w:after="0" w:line="167" w:lineRule="exact"/>
        <w:rPr>
          <w:sz w:val="20"/>
          <w:szCs w:val="20"/>
          <w:color w:val="auto"/>
        </w:rPr>
      </w:pPr>
    </w:p>
    <w:p>
      <w:pPr>
        <w:ind w:left="660" w:hanging="652"/>
        <w:spacing w:after="0"/>
        <w:tabs>
          <w:tab w:leader="none" w:pos="66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Representations and Warranties by the Issuer</w:t>
      </w:r>
    </w:p>
    <w:p>
      <w:pPr>
        <w:spacing w:after="0" w:line="220"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Issuer represents and warrants to the Subscriber that each of the following statements is true, accurate and not misleading as at each of the Signing Date and the Completion Date:</w:t>
      </w:r>
    </w:p>
    <w:p>
      <w:pPr>
        <w:spacing w:after="0" w:line="161" w:lineRule="exact"/>
        <w:rPr>
          <w:sz w:val="20"/>
          <w:szCs w:val="20"/>
          <w:color w:val="auto"/>
        </w:rPr>
      </w:pPr>
    </w:p>
    <w:p>
      <w:pPr>
        <w:ind w:left="1300" w:hanging="644"/>
        <w:spacing w:after="0"/>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status</w:t>
      </w:r>
      <w:r>
        <w:rPr>
          <w:rFonts w:ascii="Arial" w:cs="Arial" w:eastAsia="Arial" w:hAnsi="Arial"/>
          <w:sz w:val="18"/>
          <w:szCs w:val="18"/>
          <w:color w:val="auto"/>
        </w:rPr>
        <w:t>) It is a body corporate validly existing under the laws of its place of incorporation or establishment.</w:t>
      </w:r>
    </w:p>
    <w:p>
      <w:pPr>
        <w:spacing w:after="0" w:line="198"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power</w:t>
      </w:r>
      <w:r>
        <w:rPr>
          <w:rFonts w:ascii="Arial" w:cs="Arial" w:eastAsia="Arial" w:hAnsi="Arial"/>
          <w:sz w:val="18"/>
          <w:szCs w:val="18"/>
          <w:color w:val="auto"/>
        </w:rPr>
        <w:t>) It has the corporate power to enter into and perform its obligations under this Agreement and to carry out the transactions contemplated by this Agreement.</w:t>
      </w:r>
    </w:p>
    <w:p>
      <w:pPr>
        <w:spacing w:after="0" w:line="140" w:lineRule="exact"/>
        <w:rPr>
          <w:rFonts w:ascii="Arial" w:cs="Arial" w:eastAsia="Arial" w:hAnsi="Arial"/>
          <w:sz w:val="18"/>
          <w:szCs w:val="18"/>
          <w:color w:val="auto"/>
        </w:rPr>
      </w:pPr>
    </w:p>
    <w:p>
      <w:pPr>
        <w:ind w:left="1300" w:hanging="644"/>
        <w:spacing w:after="0" w:line="253" w:lineRule="auto"/>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action</w:t>
      </w:r>
      <w:r>
        <w:rPr>
          <w:rFonts w:ascii="Arial" w:cs="Arial" w:eastAsia="Arial" w:hAnsi="Arial"/>
          <w:sz w:val="18"/>
          <w:szCs w:val="18"/>
          <w:color w:val="auto"/>
        </w:rPr>
        <w:t>) It has taken all necessary corporate action to authorise the entry into and performance of this Agreement and to carry out the transactions contemplated by this Agreement. On the Completion Date, full beneficial title in the Subscription Shares will vest in the Subscriber.</w:t>
      </w:r>
    </w:p>
    <w:p>
      <w:pPr>
        <w:spacing w:after="0" w:line="155" w:lineRule="exact"/>
        <w:rPr>
          <w:rFonts w:ascii="Arial" w:cs="Arial" w:eastAsia="Arial" w:hAnsi="Arial"/>
          <w:sz w:val="18"/>
          <w:szCs w:val="18"/>
          <w:color w:val="auto"/>
        </w:rPr>
      </w:pPr>
    </w:p>
    <w:p>
      <w:pPr>
        <w:ind w:left="1300" w:right="20" w:hanging="644"/>
        <w:spacing w:after="0" w:line="242" w:lineRule="auto"/>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accuracy and completeness</w:t>
      </w:r>
      <w:r>
        <w:rPr>
          <w:rFonts w:ascii="Arial" w:cs="Arial" w:eastAsia="Arial" w:hAnsi="Arial"/>
          <w:sz w:val="18"/>
          <w:szCs w:val="18"/>
          <w:color w:val="auto"/>
        </w:rPr>
        <w:t xml:space="preserve">) All information relating to the Issuer and the Group and the Issuer and/or the Group’s operations provided </w:t>
      </w:r>
      <w:r>
        <w:rPr>
          <w:rFonts w:ascii="Arial" w:cs="Arial" w:eastAsia="Arial" w:hAnsi="Arial"/>
          <w:sz w:val="18"/>
          <w:szCs w:val="18"/>
          <w:color w:val="0C0C0C"/>
        </w:rPr>
        <w:t>to</w:t>
      </w:r>
      <w:r>
        <w:rPr>
          <w:rFonts w:ascii="Arial" w:cs="Arial" w:eastAsia="Arial" w:hAnsi="Arial"/>
          <w:sz w:val="18"/>
          <w:szCs w:val="18"/>
          <w:color w:val="auto"/>
        </w:rPr>
        <w:t xml:space="preserve"> the Subscriber or its advisers in connection with the proposed investment by the Subscriber in the Issuer as contemplated by this Agreement, and all information publicly disclosed by the Issuer, is true in all material respects and is not by omission or otherwise misleading in any material respect. Nothing has occurred which renders any of the material which has been disclosed to the Subscriber or its advisers, or which has been publicly disclosed by the Issuer, inaccurate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77" w:name="page478"/>
    <w:bookmarkEnd w:id="477"/>
    <w:p>
      <w:pPr>
        <w:ind w:left="1300" w:right="360" w:hanging="644"/>
        <w:spacing w:after="0" w:line="253" w:lineRule="auto"/>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compliance</w:t>
      </w:r>
      <w:r>
        <w:rPr>
          <w:rFonts w:ascii="Arial" w:cs="Arial" w:eastAsia="Arial" w:hAnsi="Arial"/>
          <w:sz w:val="18"/>
          <w:szCs w:val="18"/>
          <w:color w:val="auto"/>
        </w:rPr>
        <w:t>) It has complied with all its disclosure requirements under the Corporations Act and the ASX Listing Rules and there is no material information or circumstance which the Issuer is not obliged to disclose, pursuant to Listing Rule 3.1.</w:t>
      </w:r>
    </w:p>
    <w:p>
      <w:pPr>
        <w:spacing w:after="0" w:line="155"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 material adverse change</w:t>
      </w:r>
      <w:r>
        <w:rPr>
          <w:rFonts w:ascii="Arial" w:cs="Arial" w:eastAsia="Arial" w:hAnsi="Arial"/>
          <w:sz w:val="18"/>
          <w:szCs w:val="18"/>
          <w:color w:val="auto"/>
        </w:rPr>
        <w:t>) Since 31 December 2020, there has been no material adverse change in the financial condition or prospects of the Group.</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binding obligation</w:t>
      </w:r>
      <w:r>
        <w:rPr>
          <w:rFonts w:ascii="Arial" w:cs="Arial" w:eastAsia="Arial" w:hAnsi="Arial"/>
          <w:sz w:val="18"/>
          <w:szCs w:val="18"/>
          <w:color w:val="auto"/>
        </w:rPr>
        <w:t>) This Agreement is its valid and binding obligation.</w:t>
      </w:r>
    </w:p>
    <w:p>
      <w:pPr>
        <w:spacing w:after="0" w:line="198" w:lineRule="exact"/>
        <w:rPr>
          <w:rFonts w:ascii="Arial" w:cs="Arial" w:eastAsia="Arial" w:hAnsi="Arial"/>
          <w:sz w:val="18"/>
          <w:szCs w:val="18"/>
          <w:color w:val="auto"/>
        </w:rPr>
      </w:pPr>
    </w:p>
    <w:p>
      <w:pPr>
        <w:jc w:val="both"/>
        <w:ind w:left="1300" w:right="200" w:hanging="644"/>
        <w:spacing w:after="0" w:line="253" w:lineRule="auto"/>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 contravention</w:t>
      </w:r>
      <w:r>
        <w:rPr>
          <w:rFonts w:ascii="Arial" w:cs="Arial" w:eastAsia="Arial" w:hAnsi="Arial"/>
          <w:sz w:val="18"/>
          <w:szCs w:val="18"/>
          <w:color w:val="auto"/>
        </w:rPr>
        <w:t>) Neither the entry into nor performance by it of this Agreement nor any transaction contemplated under this Agreement violates in any material respect any provision of any judgment binding on it, its constituent documents, any law or any document, agreement or other arrangement binding on it or its assets.</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consents/approvals</w:t>
      </w:r>
      <w:r>
        <w:rPr>
          <w:rFonts w:ascii="Arial" w:cs="Arial" w:eastAsia="Arial" w:hAnsi="Arial"/>
          <w:sz w:val="18"/>
          <w:szCs w:val="18"/>
          <w:color w:val="auto"/>
        </w:rPr>
        <w:t>) Except for:</w:t>
      </w:r>
    </w:p>
    <w:p>
      <w:pPr>
        <w:spacing w:after="0" w:line="220" w:lineRule="exact"/>
        <w:rPr>
          <w:rFonts w:ascii="Arial" w:cs="Arial" w:eastAsia="Arial" w:hAnsi="Arial"/>
          <w:sz w:val="18"/>
          <w:szCs w:val="18"/>
          <w:color w:val="auto"/>
        </w:rPr>
      </w:pPr>
    </w:p>
    <w:p>
      <w:pPr>
        <w:ind w:left="1960" w:hanging="656"/>
        <w:spacing w:after="0"/>
        <w:tabs>
          <w:tab w:leader="none" w:pos="196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approval of shareholders to issue the Subscription Shares as contemplated in clause 2; and</w:t>
      </w:r>
    </w:p>
    <w:p>
      <w:pPr>
        <w:spacing w:after="0" w:line="198" w:lineRule="exact"/>
        <w:rPr>
          <w:rFonts w:ascii="Arial" w:cs="Arial" w:eastAsia="Arial" w:hAnsi="Arial"/>
          <w:sz w:val="18"/>
          <w:szCs w:val="18"/>
          <w:color w:val="auto"/>
        </w:rPr>
      </w:pPr>
    </w:p>
    <w:p>
      <w:pPr>
        <w:ind w:left="1960" w:hanging="656"/>
        <w:spacing w:after="0"/>
        <w:tabs>
          <w:tab w:leader="none" w:pos="196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approval of ASX for quotation of the Subscription Shares to the Official List of ASX,</w:t>
      </w:r>
    </w:p>
    <w:p>
      <w:pPr>
        <w:spacing w:after="0" w:line="198" w:lineRule="exact"/>
        <w:rPr>
          <w:sz w:val="20"/>
          <w:szCs w:val="20"/>
          <w:color w:val="auto"/>
        </w:rPr>
      </w:pPr>
    </w:p>
    <w:p>
      <w:pPr>
        <w:ind w:left="1300" w:right="440"/>
        <w:spacing w:after="0" w:line="246" w:lineRule="auto"/>
        <w:rPr>
          <w:sz w:val="20"/>
          <w:szCs w:val="20"/>
          <w:color w:val="auto"/>
        </w:rPr>
      </w:pPr>
      <w:r>
        <w:rPr>
          <w:rFonts w:ascii="Arial" w:cs="Arial" w:eastAsia="Arial" w:hAnsi="Arial"/>
          <w:sz w:val="18"/>
          <w:szCs w:val="18"/>
          <w:color w:val="auto"/>
        </w:rPr>
        <w:t>no consent, approval, Authorisation, order, registration or qualification of or with any Governmental Agency or any other person is required for the Issuer to perform its obligations under this Agreement.</w:t>
      </w:r>
    </w:p>
    <w:p>
      <w:pPr>
        <w:spacing w:after="0" w:line="161" w:lineRule="exact"/>
        <w:rPr>
          <w:sz w:val="20"/>
          <w:szCs w:val="20"/>
          <w:color w:val="auto"/>
        </w:rPr>
      </w:pPr>
    </w:p>
    <w:p>
      <w:pPr>
        <w:ind w:left="1300" w:right="240" w:hanging="644"/>
        <w:spacing w:after="0" w:line="271" w:lineRule="auto"/>
        <w:tabs>
          <w:tab w:leader="none" w:pos="13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 finder</w:t>
      </w:r>
      <w:r>
        <w:rPr>
          <w:rFonts w:ascii="Arial" w:cs="Arial" w:eastAsia="Arial" w:hAnsi="Arial"/>
          <w:sz w:val="18"/>
          <w:szCs w:val="18"/>
          <w:color w:val="auto"/>
        </w:rPr>
        <w:t>) Neither the Issuer nor any party acting on its behalf has paid or become liable to pay any fee or commission to any broker, finder or intermediary for or on account of transactions contemplated by this Agreement.</w:t>
      </w:r>
    </w:p>
    <w:p>
      <w:pPr>
        <w:spacing w:after="0" w:line="162" w:lineRule="exact"/>
        <w:rPr>
          <w:sz w:val="20"/>
          <w:szCs w:val="20"/>
          <w:color w:val="auto"/>
        </w:rPr>
      </w:pPr>
    </w:p>
    <w:p>
      <w:pPr>
        <w:ind w:left="660" w:right="220"/>
        <w:spacing w:after="0" w:line="246" w:lineRule="auto"/>
        <w:rPr>
          <w:sz w:val="20"/>
          <w:szCs w:val="20"/>
          <w:color w:val="auto"/>
        </w:rPr>
      </w:pPr>
      <w:r>
        <w:rPr>
          <w:rFonts w:ascii="Arial" w:cs="Arial" w:eastAsia="Arial" w:hAnsi="Arial"/>
          <w:sz w:val="18"/>
          <w:szCs w:val="18"/>
          <w:color w:val="auto"/>
        </w:rPr>
        <w:t>The representations and warranties by the Issuer in this clause 7.1 are continuing obligations of the Issuer and survive the issue of the Subscription Shares and do not merge on the Completion Date.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Representations and Warranties by the Subscriber</w:t>
      </w:r>
    </w:p>
    <w:p>
      <w:pPr>
        <w:spacing w:after="0" w:line="220" w:lineRule="exact"/>
        <w:rPr>
          <w:sz w:val="20"/>
          <w:szCs w:val="20"/>
          <w:color w:val="auto"/>
        </w:rPr>
      </w:pPr>
    </w:p>
    <w:p>
      <w:pPr>
        <w:ind w:left="660" w:right="40"/>
        <w:spacing w:after="0" w:line="246" w:lineRule="auto"/>
        <w:rPr>
          <w:sz w:val="20"/>
          <w:szCs w:val="20"/>
          <w:color w:val="auto"/>
        </w:rPr>
      </w:pPr>
      <w:r>
        <w:rPr>
          <w:rFonts w:ascii="Arial" w:cs="Arial" w:eastAsia="Arial" w:hAnsi="Arial"/>
          <w:sz w:val="18"/>
          <w:szCs w:val="18"/>
          <w:color w:val="auto"/>
        </w:rPr>
        <w:t>The Subscriber represents and warrants to the Issuer that each of the following statements is true, accurate and not misleading as at each of the Signing Date and the Completion Date:</w:t>
      </w:r>
    </w:p>
    <w:p>
      <w:pPr>
        <w:spacing w:after="0" w:line="161" w:lineRule="exact"/>
        <w:rPr>
          <w:sz w:val="20"/>
          <w:szCs w:val="20"/>
          <w:color w:val="auto"/>
        </w:rPr>
      </w:pPr>
    </w:p>
    <w:p>
      <w:pPr>
        <w:ind w:left="1300" w:hanging="644"/>
        <w:spacing w:after="0"/>
        <w:tabs>
          <w:tab w:leader="none" w:pos="130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status</w:t>
      </w:r>
      <w:r>
        <w:rPr>
          <w:rFonts w:ascii="Arial" w:cs="Arial" w:eastAsia="Arial" w:hAnsi="Arial"/>
          <w:sz w:val="18"/>
          <w:szCs w:val="18"/>
          <w:color w:val="auto"/>
        </w:rPr>
        <w:t>) It is a body corporate validly existing under the laws of its place of incorporation or establishment.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71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8" w:name="page479"/>
    <w:bookmarkEnd w:id="478"/>
    <w:p>
      <w:pPr>
        <w:ind w:left="1300" w:hanging="644"/>
        <w:spacing w:after="0" w:line="271" w:lineRule="auto"/>
        <w:tabs>
          <w:tab w:leader="none" w:pos="1300" w:val="left"/>
        </w:tabs>
        <w:numPr>
          <w:ilvl w:val="0"/>
          <w:numId w:val="500"/>
        </w:numPr>
        <w:rPr>
          <w:rFonts w:ascii="Arial" w:cs="Arial" w:eastAsia="Arial" w:hAnsi="Arial"/>
          <w:sz w:val="18"/>
          <w:szCs w:val="18"/>
          <w:color w:val="auto"/>
        </w:rPr>
      </w:pPr>
      <w:r>
        <w:rPr>
          <w:rFonts w:ascii="Arial" w:cs="Arial" w:eastAsia="Arial" w:hAnsi="Arial"/>
          <w:sz w:val="18"/>
          <w:szCs w:val="18"/>
          <w:b w:val="1"/>
          <w:bCs w:val="1"/>
          <w:color w:val="auto"/>
        </w:rPr>
        <w:t xml:space="preserve">(corporate power) </w:t>
      </w:r>
      <w:r>
        <w:rPr>
          <w:rFonts w:ascii="Arial" w:cs="Arial" w:eastAsia="Arial" w:hAnsi="Arial"/>
          <w:sz w:val="18"/>
          <w:szCs w:val="18"/>
          <w:color w:val="auto"/>
        </w:rPr>
        <w:t>It has the corporate power to enter into and perform its obligations under this Agreement and to carry out</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w:t>
      </w:r>
    </w:p>
    <w:p>
      <w:pPr>
        <w:spacing w:after="0" w:line="140"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500"/>
        </w:numPr>
        <w:rPr>
          <w:rFonts w:ascii="Arial" w:cs="Arial" w:eastAsia="Arial" w:hAnsi="Arial"/>
          <w:sz w:val="18"/>
          <w:szCs w:val="18"/>
          <w:color w:val="auto"/>
        </w:rPr>
      </w:pPr>
      <w:r>
        <w:rPr>
          <w:rFonts w:ascii="Arial" w:cs="Arial" w:eastAsia="Arial" w:hAnsi="Arial"/>
          <w:sz w:val="18"/>
          <w:szCs w:val="18"/>
          <w:b w:val="1"/>
          <w:bCs w:val="1"/>
          <w:color w:val="auto"/>
        </w:rPr>
        <w:t xml:space="preserve">(corporate action) </w:t>
      </w:r>
      <w:r>
        <w:rPr>
          <w:rFonts w:ascii="Arial" w:cs="Arial" w:eastAsia="Arial" w:hAnsi="Arial"/>
          <w:sz w:val="18"/>
          <w:szCs w:val="18"/>
          <w:color w:val="auto"/>
        </w:rPr>
        <w:t>It has taken all necessary corporate action to authorise the entry into and performance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to carry out the transactions contemplated by this Agreement.</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0"/>
          <w:numId w:val="500"/>
        </w:numPr>
        <w:rPr>
          <w:rFonts w:ascii="Arial" w:cs="Arial" w:eastAsia="Arial" w:hAnsi="Arial"/>
          <w:sz w:val="18"/>
          <w:szCs w:val="18"/>
          <w:color w:val="1A1A1A"/>
        </w:rPr>
      </w:pPr>
      <w:r>
        <w:rPr>
          <w:rFonts w:ascii="Arial" w:cs="Arial" w:eastAsia="Arial" w:hAnsi="Arial"/>
          <w:sz w:val="18"/>
          <w:szCs w:val="18"/>
          <w:b w:val="1"/>
          <w:bCs w:val="1"/>
          <w:color w:val="1A1A1A"/>
        </w:rPr>
        <w:t xml:space="preserve">(binding obligation) </w:t>
      </w:r>
      <w:r>
        <w:rPr>
          <w:rFonts w:ascii="Arial" w:cs="Arial" w:eastAsia="Arial" w:hAnsi="Arial"/>
          <w:sz w:val="18"/>
          <w:szCs w:val="18"/>
          <w:color w:val="1A1A1A"/>
        </w:rPr>
        <w:t>This Agreement is its valid and binding obl</w:t>
      </w:r>
      <w:r>
        <w:rPr>
          <w:rFonts w:ascii="Arial" w:cs="Arial" w:eastAsia="Arial" w:hAnsi="Arial"/>
          <w:sz w:val="18"/>
          <w:szCs w:val="18"/>
          <w:color w:val="3F3F3F"/>
        </w:rPr>
        <w:t>i</w:t>
      </w:r>
      <w:r>
        <w:rPr>
          <w:rFonts w:ascii="Arial" w:cs="Arial" w:eastAsia="Arial" w:hAnsi="Arial"/>
          <w:sz w:val="18"/>
          <w:szCs w:val="18"/>
          <w:color w:val="1A1A1A"/>
        </w:rPr>
        <w:t>gation</w:t>
      </w:r>
      <w:r>
        <w:rPr>
          <w:rFonts w:ascii="Arial" w:cs="Arial" w:eastAsia="Arial" w:hAnsi="Arial"/>
          <w:sz w:val="18"/>
          <w:szCs w:val="18"/>
          <w:color w:val="505050"/>
        </w:rPr>
        <w:t>.</w:t>
      </w:r>
    </w:p>
    <w:p>
      <w:pPr>
        <w:spacing w:after="0" w:line="198" w:lineRule="exact"/>
        <w:rPr>
          <w:rFonts w:ascii="Arial" w:cs="Arial" w:eastAsia="Arial" w:hAnsi="Arial"/>
          <w:sz w:val="18"/>
          <w:szCs w:val="18"/>
          <w:color w:val="1A1A1A"/>
        </w:rPr>
      </w:pPr>
    </w:p>
    <w:p>
      <w:pPr>
        <w:jc w:val="both"/>
        <w:ind w:left="1300" w:right="160" w:hanging="644"/>
        <w:spacing w:after="0" w:line="253" w:lineRule="auto"/>
        <w:tabs>
          <w:tab w:leader="none" w:pos="1300" w:val="left"/>
        </w:tabs>
        <w:numPr>
          <w:ilvl w:val="0"/>
          <w:numId w:val="500"/>
        </w:numPr>
        <w:rPr>
          <w:rFonts w:ascii="Arial" w:cs="Arial" w:eastAsia="Arial" w:hAnsi="Arial"/>
          <w:sz w:val="18"/>
          <w:szCs w:val="18"/>
          <w:color w:val="1A1A1A"/>
        </w:rPr>
      </w:pPr>
      <w:r>
        <w:rPr>
          <w:rFonts w:ascii="Arial" w:cs="Arial" w:eastAsia="Arial" w:hAnsi="Arial"/>
          <w:sz w:val="18"/>
          <w:szCs w:val="18"/>
          <w:b w:val="1"/>
          <w:bCs w:val="1"/>
          <w:color w:val="1A1A1A"/>
        </w:rPr>
        <w:t xml:space="preserve">(no contravention) </w:t>
      </w:r>
      <w:r>
        <w:rPr>
          <w:rFonts w:ascii="Arial" w:cs="Arial" w:eastAsia="Arial" w:hAnsi="Arial"/>
          <w:sz w:val="18"/>
          <w:szCs w:val="18"/>
          <w:color w:val="1A1A1A"/>
        </w:rPr>
        <w:t>Neither the entry into nor performance by it of this Agreement nor any transaction</w:t>
      </w:r>
      <w:r>
        <w:rPr>
          <w:rFonts w:ascii="Arial" w:cs="Arial" w:eastAsia="Arial" w:hAnsi="Arial"/>
          <w:sz w:val="18"/>
          <w:szCs w:val="18"/>
          <w:b w:val="1"/>
          <w:bCs w:val="1"/>
          <w:color w:val="1A1A1A"/>
        </w:rPr>
        <w:t xml:space="preserve"> </w:t>
      </w:r>
      <w:r>
        <w:rPr>
          <w:rFonts w:ascii="Arial" w:cs="Arial" w:eastAsia="Arial" w:hAnsi="Arial"/>
          <w:sz w:val="18"/>
          <w:szCs w:val="18"/>
          <w:color w:val="2F2F2F"/>
        </w:rPr>
        <w:t>contemp</w:t>
      </w:r>
      <w:r>
        <w:rPr>
          <w:rFonts w:ascii="Arial" w:cs="Arial" w:eastAsia="Arial" w:hAnsi="Arial"/>
          <w:sz w:val="18"/>
          <w:szCs w:val="18"/>
          <w:color w:val="050505"/>
        </w:rPr>
        <w:t>lated</w:t>
      </w:r>
      <w:r>
        <w:rPr>
          <w:rFonts w:ascii="Arial" w:cs="Arial" w:eastAsia="Arial" w:hAnsi="Arial"/>
          <w:sz w:val="18"/>
          <w:szCs w:val="18"/>
          <w:b w:val="1"/>
          <w:bCs w:val="1"/>
          <w:color w:val="1A1A1A"/>
        </w:rPr>
        <w:t xml:space="preserve"> </w:t>
      </w:r>
      <w:r>
        <w:rPr>
          <w:rFonts w:ascii="Arial" w:cs="Arial" w:eastAsia="Arial" w:hAnsi="Arial"/>
          <w:sz w:val="18"/>
          <w:szCs w:val="18"/>
          <w:color w:val="1A1A1A"/>
        </w:rPr>
        <w:t>under</w:t>
      </w:r>
      <w:r>
        <w:rPr>
          <w:rFonts w:ascii="Arial" w:cs="Arial" w:eastAsia="Arial" w:hAnsi="Arial"/>
          <w:sz w:val="18"/>
          <w:szCs w:val="18"/>
          <w:b w:val="1"/>
          <w:bCs w:val="1"/>
          <w:color w:val="1A1A1A"/>
        </w:rPr>
        <w:t xml:space="preserve"> </w:t>
      </w:r>
      <w:r>
        <w:rPr>
          <w:rFonts w:ascii="Arial" w:cs="Arial" w:eastAsia="Arial" w:hAnsi="Arial"/>
          <w:sz w:val="18"/>
          <w:szCs w:val="18"/>
          <w:color w:val="1A1A1A"/>
        </w:rPr>
        <w:t>this Agreement violates in any material respect any provision of any judgment binding on it</w:t>
      </w:r>
      <w:r>
        <w:rPr>
          <w:rFonts w:ascii="Arial" w:cs="Arial" w:eastAsia="Arial" w:hAnsi="Arial"/>
          <w:sz w:val="18"/>
          <w:szCs w:val="18"/>
          <w:color w:val="505050"/>
        </w:rPr>
        <w:t>,</w:t>
      </w:r>
      <w:r>
        <w:rPr>
          <w:rFonts w:ascii="Arial" w:cs="Arial" w:eastAsia="Arial" w:hAnsi="Arial"/>
          <w:sz w:val="18"/>
          <w:szCs w:val="18"/>
          <w:color w:val="1A1A1A"/>
        </w:rPr>
        <w:t xml:space="preserve"> its </w:t>
      </w:r>
      <w:r>
        <w:rPr>
          <w:rFonts w:ascii="Arial" w:cs="Arial" w:eastAsia="Arial" w:hAnsi="Arial"/>
          <w:sz w:val="18"/>
          <w:szCs w:val="18"/>
          <w:color w:val="2F2F2F"/>
        </w:rPr>
        <w:t>constituent</w:t>
      </w:r>
      <w:r>
        <w:rPr>
          <w:rFonts w:ascii="Arial" w:cs="Arial" w:eastAsia="Arial" w:hAnsi="Arial"/>
          <w:sz w:val="18"/>
          <w:szCs w:val="18"/>
          <w:color w:val="1A1A1A"/>
        </w:rPr>
        <w:t xml:space="preserve"> documents</w:t>
      </w:r>
      <w:r>
        <w:rPr>
          <w:rFonts w:ascii="Arial" w:cs="Arial" w:eastAsia="Arial" w:hAnsi="Arial"/>
          <w:sz w:val="18"/>
          <w:szCs w:val="18"/>
          <w:color w:val="505050"/>
        </w:rPr>
        <w:t>,</w:t>
      </w:r>
      <w:r>
        <w:rPr>
          <w:rFonts w:ascii="Arial" w:cs="Arial" w:eastAsia="Arial" w:hAnsi="Arial"/>
          <w:sz w:val="18"/>
          <w:szCs w:val="18"/>
          <w:color w:val="1A1A1A"/>
        </w:rPr>
        <w:t xml:space="preserve"> any law or any document</w:t>
      </w:r>
      <w:r>
        <w:rPr>
          <w:rFonts w:ascii="Arial" w:cs="Arial" w:eastAsia="Arial" w:hAnsi="Arial"/>
          <w:sz w:val="18"/>
          <w:szCs w:val="18"/>
          <w:color w:val="505050"/>
        </w:rPr>
        <w:t>,</w:t>
      </w:r>
      <w:r>
        <w:rPr>
          <w:rFonts w:ascii="Arial" w:cs="Arial" w:eastAsia="Arial" w:hAnsi="Arial"/>
          <w:sz w:val="18"/>
          <w:szCs w:val="18"/>
          <w:color w:val="1A1A1A"/>
        </w:rPr>
        <w:t xml:space="preserve"> agreement or other arrangement binding on it or its assets.</w:t>
      </w:r>
    </w:p>
    <w:p>
      <w:pPr>
        <w:spacing w:after="0" w:line="155" w:lineRule="exact"/>
        <w:rPr>
          <w:rFonts w:ascii="Arial" w:cs="Arial" w:eastAsia="Arial" w:hAnsi="Arial"/>
          <w:sz w:val="18"/>
          <w:szCs w:val="18"/>
          <w:color w:val="1A1A1A"/>
        </w:rPr>
      </w:pPr>
    </w:p>
    <w:p>
      <w:pPr>
        <w:ind w:left="1300" w:hanging="644"/>
        <w:spacing w:after="0"/>
        <w:tabs>
          <w:tab w:leader="none" w:pos="1300" w:val="left"/>
        </w:tabs>
        <w:numPr>
          <w:ilvl w:val="0"/>
          <w:numId w:val="500"/>
        </w:numPr>
        <w:rPr>
          <w:rFonts w:ascii="Arial" w:cs="Arial" w:eastAsia="Arial" w:hAnsi="Arial"/>
          <w:sz w:val="18"/>
          <w:szCs w:val="18"/>
          <w:color w:val="2F2F2F"/>
        </w:rPr>
      </w:pPr>
      <w:r>
        <w:rPr>
          <w:rFonts w:ascii="Arial" w:cs="Arial" w:eastAsia="Arial" w:hAnsi="Arial"/>
          <w:sz w:val="18"/>
          <w:szCs w:val="18"/>
          <w:b w:val="1"/>
          <w:bCs w:val="1"/>
          <w:color w:val="2F2F2F"/>
        </w:rPr>
        <w:t xml:space="preserve">(Sophisticated </w:t>
      </w:r>
      <w:r>
        <w:rPr>
          <w:rFonts w:ascii="Arial" w:cs="Arial" w:eastAsia="Arial" w:hAnsi="Arial"/>
          <w:sz w:val="18"/>
          <w:szCs w:val="18"/>
          <w:b w:val="1"/>
          <w:bCs w:val="1"/>
          <w:color w:val="1A1A1A"/>
        </w:rPr>
        <w:t>or Professional Investor)</w:t>
      </w:r>
      <w:r>
        <w:rPr>
          <w:rFonts w:ascii="Arial" w:cs="Arial" w:eastAsia="Arial" w:hAnsi="Arial"/>
          <w:sz w:val="18"/>
          <w:szCs w:val="18"/>
          <w:b w:val="1"/>
          <w:bCs w:val="1"/>
          <w:color w:val="2F2F2F"/>
        </w:rPr>
        <w:t xml:space="preserve"> </w:t>
      </w:r>
      <w:r>
        <w:rPr>
          <w:rFonts w:ascii="Arial" w:cs="Arial" w:eastAsia="Arial" w:hAnsi="Arial"/>
          <w:sz w:val="18"/>
          <w:szCs w:val="18"/>
          <w:color w:val="1A1A1A"/>
        </w:rPr>
        <w:t>It</w:t>
      </w:r>
      <w:r>
        <w:rPr>
          <w:rFonts w:ascii="Arial" w:cs="Arial" w:eastAsia="Arial" w:hAnsi="Arial"/>
          <w:sz w:val="18"/>
          <w:szCs w:val="18"/>
          <w:b w:val="1"/>
          <w:bCs w:val="1"/>
          <w:color w:val="2F2F2F"/>
        </w:rPr>
        <w:t xml:space="preserve"> </w:t>
      </w:r>
      <w:r>
        <w:rPr>
          <w:rFonts w:ascii="Arial" w:cs="Arial" w:eastAsia="Arial" w:hAnsi="Arial"/>
          <w:sz w:val="18"/>
          <w:szCs w:val="18"/>
          <w:color w:val="2F2F2F"/>
        </w:rPr>
        <w:t>is</w:t>
      </w:r>
      <w:r>
        <w:rPr>
          <w:rFonts w:ascii="Arial" w:cs="Arial" w:eastAsia="Arial" w:hAnsi="Arial"/>
          <w:sz w:val="18"/>
          <w:szCs w:val="18"/>
          <w:b w:val="1"/>
          <w:bCs w:val="1"/>
          <w:color w:val="2F2F2F"/>
        </w:rPr>
        <w:t xml:space="preserve"> </w:t>
      </w:r>
      <w:r>
        <w:rPr>
          <w:rFonts w:ascii="Arial" w:cs="Arial" w:eastAsia="Arial" w:hAnsi="Arial"/>
          <w:sz w:val="18"/>
          <w:szCs w:val="18"/>
          <w:color w:val="1A1A1A"/>
        </w:rPr>
        <w:t>a Sophisticated or Professional Investor</w:t>
      </w:r>
      <w:r>
        <w:rPr>
          <w:rFonts w:ascii="Arial" w:cs="Arial" w:eastAsia="Arial" w:hAnsi="Arial"/>
          <w:sz w:val="18"/>
          <w:szCs w:val="18"/>
          <w:color w:val="505050"/>
        </w:rPr>
        <w:t>.</w:t>
      </w:r>
    </w:p>
    <w:p>
      <w:pPr>
        <w:spacing w:after="0" w:line="198" w:lineRule="exact"/>
        <w:rPr>
          <w:rFonts w:ascii="Arial" w:cs="Arial" w:eastAsia="Arial" w:hAnsi="Arial"/>
          <w:sz w:val="18"/>
          <w:szCs w:val="18"/>
          <w:color w:val="2F2F2F"/>
        </w:rPr>
      </w:pPr>
    </w:p>
    <w:p>
      <w:pPr>
        <w:ind w:left="1300" w:right="600" w:hanging="644"/>
        <w:spacing w:after="0" w:line="271" w:lineRule="auto"/>
        <w:tabs>
          <w:tab w:leader="none" w:pos="1300" w:val="left"/>
        </w:tabs>
        <w:numPr>
          <w:ilvl w:val="0"/>
          <w:numId w:val="500"/>
        </w:numPr>
        <w:rPr>
          <w:rFonts w:ascii="Arial" w:cs="Arial" w:eastAsia="Arial" w:hAnsi="Arial"/>
          <w:sz w:val="18"/>
          <w:szCs w:val="18"/>
          <w:color w:val="1A1A1A"/>
        </w:rPr>
      </w:pPr>
      <w:r>
        <w:rPr>
          <w:rFonts w:ascii="Arial" w:cs="Arial" w:eastAsia="Arial" w:hAnsi="Arial"/>
          <w:sz w:val="18"/>
          <w:szCs w:val="18"/>
          <w:b w:val="1"/>
          <w:bCs w:val="1"/>
          <w:color w:val="2F2F2F"/>
        </w:rPr>
        <w:t xml:space="preserve">(FIRB) </w:t>
      </w:r>
      <w:r>
        <w:rPr>
          <w:rFonts w:ascii="Arial" w:cs="Arial" w:eastAsia="Arial" w:hAnsi="Arial"/>
          <w:sz w:val="18"/>
          <w:szCs w:val="18"/>
          <w:color w:val="1A1A1A"/>
        </w:rPr>
        <w:t>It</w:t>
      </w:r>
      <w:r>
        <w:rPr>
          <w:rFonts w:ascii="Arial" w:cs="Arial" w:eastAsia="Arial" w:hAnsi="Arial"/>
          <w:sz w:val="18"/>
          <w:szCs w:val="18"/>
          <w:b w:val="1"/>
          <w:bCs w:val="1"/>
          <w:color w:val="2F2F2F"/>
        </w:rPr>
        <w:t xml:space="preserve"> </w:t>
      </w:r>
      <w:r>
        <w:rPr>
          <w:rFonts w:ascii="Arial" w:cs="Arial" w:eastAsia="Arial" w:hAnsi="Arial"/>
          <w:sz w:val="18"/>
          <w:szCs w:val="18"/>
          <w:color w:val="2F2F2F"/>
        </w:rPr>
        <w:t>is</w:t>
      </w:r>
      <w:r>
        <w:rPr>
          <w:rFonts w:ascii="Arial" w:cs="Arial" w:eastAsia="Arial" w:hAnsi="Arial"/>
          <w:sz w:val="18"/>
          <w:szCs w:val="18"/>
          <w:b w:val="1"/>
          <w:bCs w:val="1"/>
          <w:color w:val="2F2F2F"/>
        </w:rPr>
        <w:t xml:space="preserve"> </w:t>
      </w:r>
      <w:r>
        <w:rPr>
          <w:rFonts w:ascii="Arial" w:cs="Arial" w:eastAsia="Arial" w:hAnsi="Arial"/>
          <w:sz w:val="18"/>
          <w:szCs w:val="18"/>
          <w:color w:val="1A1A1A"/>
        </w:rPr>
        <w:t>not a ‘foreign government investor</w:t>
      </w:r>
      <w:r>
        <w:rPr>
          <w:rFonts w:ascii="Arial" w:cs="Arial" w:eastAsia="Arial" w:hAnsi="Arial"/>
          <w:sz w:val="18"/>
          <w:szCs w:val="18"/>
          <w:color w:val="3F3F3F"/>
        </w:rPr>
        <w:t>’ (</w:t>
      </w:r>
      <w:r>
        <w:rPr>
          <w:rFonts w:ascii="Arial" w:cs="Arial" w:eastAsia="Arial" w:hAnsi="Arial"/>
          <w:sz w:val="18"/>
          <w:szCs w:val="18"/>
          <w:color w:val="1A1A1A"/>
        </w:rPr>
        <w:t>as defined in the FATA) or an ‘associate’ (as defined in the FATA)</w:t>
      </w:r>
      <w:r>
        <w:rPr>
          <w:rFonts w:ascii="Arial" w:cs="Arial" w:eastAsia="Arial" w:hAnsi="Arial"/>
          <w:sz w:val="18"/>
          <w:szCs w:val="18"/>
          <w:b w:val="1"/>
          <w:bCs w:val="1"/>
          <w:color w:val="2F2F2F"/>
        </w:rPr>
        <w:t xml:space="preserve"> </w:t>
      </w:r>
      <w:r>
        <w:rPr>
          <w:rFonts w:ascii="Arial" w:cs="Arial" w:eastAsia="Arial" w:hAnsi="Arial"/>
          <w:sz w:val="18"/>
          <w:szCs w:val="18"/>
          <w:color w:val="2F2F2F"/>
        </w:rPr>
        <w:t>of</w:t>
      </w:r>
      <w:r>
        <w:rPr>
          <w:rFonts w:ascii="Arial" w:cs="Arial" w:eastAsia="Arial" w:hAnsi="Arial"/>
          <w:sz w:val="18"/>
          <w:szCs w:val="18"/>
          <w:b w:val="1"/>
          <w:bCs w:val="1"/>
          <w:color w:val="2F2F2F"/>
        </w:rPr>
        <w:t xml:space="preserve"> </w:t>
      </w:r>
      <w:r>
        <w:rPr>
          <w:rFonts w:ascii="Arial" w:cs="Arial" w:eastAsia="Arial" w:hAnsi="Arial"/>
          <w:sz w:val="18"/>
          <w:szCs w:val="18"/>
          <w:color w:val="1A1A1A"/>
        </w:rPr>
        <w:t>a</w:t>
      </w:r>
      <w:r>
        <w:rPr>
          <w:rFonts w:ascii="Arial" w:cs="Arial" w:eastAsia="Arial" w:hAnsi="Arial"/>
          <w:sz w:val="18"/>
          <w:szCs w:val="18"/>
          <w:b w:val="1"/>
          <w:bCs w:val="1"/>
          <w:color w:val="2F2F2F"/>
        </w:rPr>
        <w:t xml:space="preserve"> </w:t>
      </w:r>
      <w:r>
        <w:rPr>
          <w:rFonts w:ascii="Arial" w:cs="Arial" w:eastAsia="Arial" w:hAnsi="Arial"/>
          <w:sz w:val="18"/>
          <w:szCs w:val="18"/>
          <w:color w:val="1A1A1A"/>
        </w:rPr>
        <w:t>‘foreign government investor’</w:t>
      </w:r>
      <w:r>
        <w:rPr>
          <w:rFonts w:ascii="Arial" w:cs="Arial" w:eastAsia="Arial" w:hAnsi="Arial"/>
          <w:sz w:val="18"/>
          <w:szCs w:val="18"/>
          <w:color w:val="505050"/>
        </w:rPr>
        <w:t>.</w:t>
      </w:r>
    </w:p>
    <w:p>
      <w:pPr>
        <w:spacing w:after="0" w:line="140" w:lineRule="exact"/>
        <w:rPr>
          <w:rFonts w:ascii="Arial" w:cs="Arial" w:eastAsia="Arial" w:hAnsi="Arial"/>
          <w:sz w:val="18"/>
          <w:szCs w:val="18"/>
          <w:color w:val="1A1A1A"/>
        </w:rPr>
      </w:pPr>
    </w:p>
    <w:p>
      <w:pPr>
        <w:ind w:left="1300" w:hanging="644"/>
        <w:spacing w:after="0"/>
        <w:tabs>
          <w:tab w:leader="none" w:pos="1300" w:val="left"/>
        </w:tabs>
        <w:numPr>
          <w:ilvl w:val="0"/>
          <w:numId w:val="500"/>
        </w:numPr>
        <w:rPr>
          <w:rFonts w:ascii="Arial" w:cs="Arial" w:eastAsia="Arial" w:hAnsi="Arial"/>
          <w:sz w:val="18"/>
          <w:szCs w:val="18"/>
          <w:color w:val="1A1A1A"/>
        </w:rPr>
      </w:pPr>
      <w:r>
        <w:rPr>
          <w:rFonts w:ascii="Arial" w:cs="Arial" w:eastAsia="Arial" w:hAnsi="Arial"/>
          <w:sz w:val="18"/>
          <w:szCs w:val="18"/>
          <w:b w:val="1"/>
          <w:bCs w:val="1"/>
          <w:color w:val="2F2F2F"/>
        </w:rPr>
        <w:t xml:space="preserve">(reliance) </w:t>
      </w:r>
      <w:r>
        <w:rPr>
          <w:rFonts w:ascii="Arial" w:cs="Arial" w:eastAsia="Arial" w:hAnsi="Arial"/>
          <w:sz w:val="18"/>
          <w:szCs w:val="18"/>
          <w:color w:val="1A1A1A"/>
        </w:rPr>
        <w:t>At no time has:</w:t>
      </w:r>
    </w:p>
    <w:p>
      <w:pPr>
        <w:spacing w:after="0" w:line="220" w:lineRule="exact"/>
        <w:rPr>
          <w:rFonts w:ascii="Arial" w:cs="Arial" w:eastAsia="Arial" w:hAnsi="Arial"/>
          <w:sz w:val="18"/>
          <w:szCs w:val="18"/>
          <w:color w:val="1A1A1A"/>
        </w:rPr>
      </w:pPr>
    </w:p>
    <w:p>
      <w:pPr>
        <w:ind w:left="1960" w:hanging="656"/>
        <w:spacing w:after="0"/>
        <w:tabs>
          <w:tab w:leader="none" w:pos="1960" w:val="left"/>
        </w:tabs>
        <w:numPr>
          <w:ilvl w:val="1"/>
          <w:numId w:val="500"/>
        </w:numPr>
        <w:rPr>
          <w:rFonts w:ascii="Arial" w:cs="Arial" w:eastAsia="Arial" w:hAnsi="Arial"/>
          <w:sz w:val="18"/>
          <w:szCs w:val="18"/>
          <w:color w:val="2F2F2F"/>
        </w:rPr>
      </w:pPr>
      <w:r>
        <w:rPr>
          <w:rFonts w:ascii="Arial" w:cs="Arial" w:eastAsia="Arial" w:hAnsi="Arial"/>
          <w:sz w:val="18"/>
          <w:szCs w:val="18"/>
          <w:color w:val="2F2F2F"/>
        </w:rPr>
        <w:t xml:space="preserve">the </w:t>
      </w:r>
      <w:r>
        <w:rPr>
          <w:rFonts w:ascii="Arial" w:cs="Arial" w:eastAsia="Arial" w:hAnsi="Arial"/>
          <w:sz w:val="18"/>
          <w:szCs w:val="18"/>
          <w:color w:val="1A1A1A"/>
        </w:rPr>
        <w:t>Group</w:t>
      </w:r>
      <w:r>
        <w:rPr>
          <w:rFonts w:ascii="Arial" w:cs="Arial" w:eastAsia="Arial" w:hAnsi="Arial"/>
          <w:sz w:val="18"/>
          <w:szCs w:val="18"/>
          <w:color w:val="505050"/>
        </w:rPr>
        <w:t>,</w:t>
      </w:r>
      <w:r>
        <w:rPr>
          <w:rFonts w:ascii="Arial" w:cs="Arial" w:eastAsia="Arial" w:hAnsi="Arial"/>
          <w:sz w:val="18"/>
          <w:szCs w:val="18"/>
          <w:color w:val="2F2F2F"/>
        </w:rPr>
        <w:t xml:space="preserve"> </w:t>
      </w:r>
      <w:r>
        <w:rPr>
          <w:rFonts w:ascii="Arial" w:cs="Arial" w:eastAsia="Arial" w:hAnsi="Arial"/>
          <w:sz w:val="18"/>
          <w:szCs w:val="18"/>
          <w:color w:val="1A1A1A"/>
        </w:rPr>
        <w:t>or any other person on behalf</w:t>
      </w:r>
      <w:r>
        <w:rPr>
          <w:rFonts w:ascii="Arial" w:cs="Arial" w:eastAsia="Arial" w:hAnsi="Arial"/>
          <w:sz w:val="18"/>
          <w:szCs w:val="18"/>
          <w:color w:val="2F2F2F"/>
        </w:rPr>
        <w:t xml:space="preserve"> of it, </w:t>
      </w:r>
      <w:r>
        <w:rPr>
          <w:rFonts w:ascii="Arial" w:cs="Arial" w:eastAsia="Arial" w:hAnsi="Arial"/>
          <w:sz w:val="18"/>
          <w:szCs w:val="18"/>
          <w:color w:val="1A1A1A"/>
        </w:rPr>
        <w:t>communicated to the Subscriber</w:t>
      </w:r>
      <w:r>
        <w:rPr>
          <w:rFonts w:ascii="Arial" w:cs="Arial" w:eastAsia="Arial" w:hAnsi="Arial"/>
          <w:sz w:val="18"/>
          <w:szCs w:val="18"/>
          <w:color w:val="3F3F3F"/>
        </w:rPr>
        <w:t>;</w:t>
      </w:r>
      <w:r>
        <w:rPr>
          <w:rFonts w:ascii="Arial" w:cs="Arial" w:eastAsia="Arial" w:hAnsi="Arial"/>
          <w:sz w:val="18"/>
          <w:szCs w:val="18"/>
          <w:color w:val="2F2F2F"/>
        </w:rPr>
        <w:t xml:space="preserve"> </w:t>
      </w:r>
      <w:r>
        <w:rPr>
          <w:rFonts w:ascii="Arial" w:cs="Arial" w:eastAsia="Arial" w:hAnsi="Arial"/>
          <w:sz w:val="18"/>
          <w:szCs w:val="18"/>
          <w:color w:val="1A1A1A"/>
        </w:rPr>
        <w:t>or</w:t>
      </w:r>
    </w:p>
    <w:p>
      <w:pPr>
        <w:spacing w:after="0" w:line="19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3F3F3F"/>
        </w:rPr>
        <w:t>(</w:t>
      </w:r>
      <w:r>
        <w:rPr>
          <w:rFonts w:ascii="Arial" w:cs="Arial" w:eastAsia="Arial" w:hAnsi="Arial"/>
          <w:sz w:val="18"/>
          <w:szCs w:val="18"/>
          <w:color w:val="1A1A1A"/>
        </w:rPr>
        <w:t>ii)</w:t>
      </w:r>
      <w:r>
        <w:rPr>
          <w:sz w:val="20"/>
          <w:szCs w:val="20"/>
          <w:color w:val="auto"/>
        </w:rPr>
        <w:tab/>
      </w:r>
      <w:r>
        <w:rPr>
          <w:rFonts w:ascii="Arial" w:cs="Arial" w:eastAsia="Arial" w:hAnsi="Arial"/>
          <w:sz w:val="17"/>
          <w:szCs w:val="17"/>
          <w:color w:val="1A1A1A"/>
        </w:rPr>
        <w:t>the Subscriber relied on</w:t>
      </w:r>
      <w:r>
        <w:rPr>
          <w:rFonts w:ascii="Arial" w:cs="Arial" w:eastAsia="Arial" w:hAnsi="Arial"/>
          <w:sz w:val="17"/>
          <w:szCs w:val="17"/>
          <w:color w:val="707070"/>
        </w:rPr>
        <w:t>,</w:t>
      </w:r>
    </w:p>
    <w:p>
      <w:pPr>
        <w:spacing w:after="0" w:line="198" w:lineRule="exact"/>
        <w:rPr>
          <w:sz w:val="20"/>
          <w:szCs w:val="20"/>
          <w:color w:val="auto"/>
        </w:rPr>
      </w:pPr>
    </w:p>
    <w:p>
      <w:pPr>
        <w:ind w:left="1300" w:right="520" w:firstLine="7"/>
        <w:spacing w:after="0" w:line="246" w:lineRule="auto"/>
        <w:rPr>
          <w:sz w:val="20"/>
          <w:szCs w:val="20"/>
          <w:color w:val="auto"/>
        </w:rPr>
      </w:pPr>
      <w:r>
        <w:rPr>
          <w:rFonts w:ascii="Arial" w:cs="Arial" w:eastAsia="Arial" w:hAnsi="Arial"/>
          <w:sz w:val="18"/>
          <w:szCs w:val="18"/>
          <w:color w:val="auto"/>
        </w:rPr>
        <w:t>any representation</w:t>
      </w:r>
      <w:r>
        <w:rPr>
          <w:rFonts w:ascii="Arial" w:cs="Arial" w:eastAsia="Arial" w:hAnsi="Arial"/>
          <w:sz w:val="18"/>
          <w:szCs w:val="18"/>
          <w:color w:val="3F3F3F"/>
        </w:rPr>
        <w:t>,</w:t>
      </w:r>
      <w:r>
        <w:rPr>
          <w:rFonts w:ascii="Arial" w:cs="Arial" w:eastAsia="Arial" w:hAnsi="Arial"/>
          <w:sz w:val="18"/>
          <w:szCs w:val="18"/>
          <w:color w:val="auto"/>
        </w:rPr>
        <w:t xml:space="preserve"> </w:t>
      </w:r>
      <w:r>
        <w:rPr>
          <w:rFonts w:ascii="Arial" w:cs="Arial" w:eastAsia="Arial" w:hAnsi="Arial"/>
          <w:sz w:val="18"/>
          <w:szCs w:val="18"/>
          <w:color w:val="1A1A1A"/>
        </w:rPr>
        <w:t>warranty</w:t>
      </w:r>
      <w:r>
        <w:rPr>
          <w:rFonts w:ascii="Arial" w:cs="Arial" w:eastAsia="Arial" w:hAnsi="Arial"/>
          <w:sz w:val="18"/>
          <w:szCs w:val="18"/>
          <w:color w:val="505050"/>
        </w:rPr>
        <w:t>,</w:t>
      </w:r>
      <w:r>
        <w:rPr>
          <w:rFonts w:ascii="Arial" w:cs="Arial" w:eastAsia="Arial" w:hAnsi="Arial"/>
          <w:sz w:val="18"/>
          <w:szCs w:val="18"/>
          <w:color w:val="auto"/>
        </w:rPr>
        <w:t xml:space="preserve"> </w:t>
      </w:r>
      <w:r>
        <w:rPr>
          <w:rFonts w:ascii="Arial" w:cs="Arial" w:eastAsia="Arial" w:hAnsi="Arial"/>
          <w:sz w:val="18"/>
          <w:szCs w:val="18"/>
          <w:color w:val="1A1A1A"/>
        </w:rPr>
        <w:t>promise or undertaking in respect of the future financial performance</w:t>
      </w:r>
      <w:r>
        <w:rPr>
          <w:rFonts w:ascii="Arial" w:cs="Arial" w:eastAsia="Arial" w:hAnsi="Arial"/>
          <w:sz w:val="18"/>
          <w:szCs w:val="18"/>
          <w:color w:val="auto"/>
        </w:rPr>
        <w:t xml:space="preserve"> </w:t>
      </w:r>
      <w:r>
        <w:rPr>
          <w:rFonts w:ascii="Arial" w:cs="Arial" w:eastAsia="Arial" w:hAnsi="Arial"/>
          <w:sz w:val="18"/>
          <w:szCs w:val="18"/>
          <w:color w:val="2F2F2F"/>
        </w:rPr>
        <w:t>or</w:t>
      </w:r>
      <w:r>
        <w:rPr>
          <w:rFonts w:ascii="Arial" w:cs="Arial" w:eastAsia="Arial" w:hAnsi="Arial"/>
          <w:sz w:val="18"/>
          <w:szCs w:val="18"/>
          <w:color w:val="auto"/>
        </w:rPr>
        <w:t xml:space="preserve"> </w:t>
      </w:r>
      <w:r>
        <w:rPr>
          <w:rFonts w:ascii="Arial" w:cs="Arial" w:eastAsia="Arial" w:hAnsi="Arial"/>
          <w:sz w:val="18"/>
          <w:szCs w:val="18"/>
          <w:color w:val="1A1A1A"/>
        </w:rPr>
        <w:t>prospects of the</w:t>
      </w:r>
      <w:r>
        <w:rPr>
          <w:rFonts w:ascii="Arial" w:cs="Arial" w:eastAsia="Arial" w:hAnsi="Arial"/>
          <w:sz w:val="18"/>
          <w:szCs w:val="18"/>
          <w:color w:val="auto"/>
        </w:rPr>
        <w:t xml:space="preserve"> </w:t>
      </w:r>
      <w:r>
        <w:rPr>
          <w:rFonts w:ascii="Arial" w:cs="Arial" w:eastAsia="Arial" w:hAnsi="Arial"/>
          <w:sz w:val="18"/>
          <w:szCs w:val="18"/>
          <w:color w:val="1A1A1A"/>
        </w:rPr>
        <w:t>Group</w:t>
      </w:r>
      <w:r>
        <w:rPr>
          <w:rFonts w:ascii="Arial" w:cs="Arial" w:eastAsia="Arial" w:hAnsi="Arial"/>
          <w:sz w:val="18"/>
          <w:szCs w:val="18"/>
          <w:color w:val="505050"/>
        </w:rPr>
        <w:t>.</w:t>
      </w:r>
    </w:p>
    <w:p>
      <w:pPr>
        <w:spacing w:after="0" w:line="161" w:lineRule="exact"/>
        <w:rPr>
          <w:sz w:val="20"/>
          <w:szCs w:val="20"/>
          <w:color w:val="auto"/>
        </w:rPr>
      </w:pPr>
    </w:p>
    <w:p>
      <w:pPr>
        <w:ind w:left="1300" w:right="180" w:hanging="644"/>
        <w:spacing w:after="0" w:line="253" w:lineRule="auto"/>
        <w:tabs>
          <w:tab w:leader="none" w:pos="1300" w:val="left"/>
        </w:tabs>
        <w:numPr>
          <w:ilvl w:val="0"/>
          <w:numId w:val="501"/>
        </w:numPr>
        <w:rPr>
          <w:rFonts w:ascii="Arial" w:cs="Arial" w:eastAsia="Arial" w:hAnsi="Arial"/>
          <w:sz w:val="18"/>
          <w:szCs w:val="18"/>
          <w:color w:val="2F2F2F"/>
        </w:rPr>
      </w:pPr>
      <w:r>
        <w:rPr>
          <w:rFonts w:ascii="Arial" w:cs="Arial" w:eastAsia="Arial" w:hAnsi="Arial"/>
          <w:sz w:val="18"/>
          <w:szCs w:val="18"/>
          <w:b w:val="1"/>
          <w:bCs w:val="1"/>
          <w:color w:val="2F2F2F"/>
        </w:rPr>
        <w:t xml:space="preserve">(own </w:t>
      </w:r>
      <w:r>
        <w:rPr>
          <w:rFonts w:ascii="Arial" w:cs="Arial" w:eastAsia="Arial" w:hAnsi="Arial"/>
          <w:sz w:val="18"/>
          <w:szCs w:val="18"/>
          <w:b w:val="1"/>
          <w:bCs w:val="1"/>
          <w:color w:val="1A1A1A"/>
        </w:rPr>
        <w:t>enquiries)</w:t>
      </w:r>
      <w:r>
        <w:rPr>
          <w:rFonts w:ascii="Arial" w:cs="Arial" w:eastAsia="Arial" w:hAnsi="Arial"/>
          <w:sz w:val="18"/>
          <w:szCs w:val="18"/>
          <w:b w:val="1"/>
          <w:bCs w:val="1"/>
          <w:color w:val="2F2F2F"/>
        </w:rPr>
        <w:t xml:space="preserve"> </w:t>
      </w:r>
      <w:r>
        <w:rPr>
          <w:rFonts w:ascii="Arial" w:cs="Arial" w:eastAsia="Arial" w:hAnsi="Arial"/>
          <w:sz w:val="18"/>
          <w:szCs w:val="18"/>
          <w:color w:val="1A1A1A"/>
        </w:rPr>
        <w:t>It has made its own enquiries and relied upon its own assessment of the Subscription Shares and the</w:t>
      </w:r>
      <w:r>
        <w:rPr>
          <w:rFonts w:ascii="Arial" w:cs="Arial" w:eastAsia="Arial" w:hAnsi="Arial"/>
          <w:sz w:val="18"/>
          <w:szCs w:val="18"/>
          <w:b w:val="1"/>
          <w:bCs w:val="1"/>
          <w:color w:val="2F2F2F"/>
        </w:rPr>
        <w:t xml:space="preserve"> </w:t>
      </w:r>
      <w:r>
        <w:rPr>
          <w:rFonts w:ascii="Arial" w:cs="Arial" w:eastAsia="Arial" w:hAnsi="Arial"/>
          <w:sz w:val="18"/>
          <w:szCs w:val="18"/>
          <w:color w:val="1A1A1A"/>
        </w:rPr>
        <w:t>Group</w:t>
      </w:r>
      <w:r>
        <w:rPr>
          <w:rFonts w:ascii="Arial" w:cs="Arial" w:eastAsia="Arial" w:hAnsi="Arial"/>
          <w:sz w:val="18"/>
          <w:szCs w:val="18"/>
          <w:color w:val="505050"/>
        </w:rPr>
        <w:t>,</w:t>
      </w:r>
      <w:r>
        <w:rPr>
          <w:rFonts w:ascii="Arial" w:cs="Arial" w:eastAsia="Arial" w:hAnsi="Arial"/>
          <w:sz w:val="18"/>
          <w:szCs w:val="18"/>
          <w:color w:val="1A1A1A"/>
        </w:rPr>
        <w:t xml:space="preserve"> </w:t>
      </w:r>
      <w:r>
        <w:rPr>
          <w:rFonts w:ascii="Arial" w:cs="Arial" w:eastAsia="Arial" w:hAnsi="Arial"/>
          <w:sz w:val="18"/>
          <w:szCs w:val="18"/>
          <w:color w:val="2F2F2F"/>
        </w:rPr>
        <w:t>and</w:t>
      </w:r>
      <w:r>
        <w:rPr>
          <w:rFonts w:ascii="Arial" w:cs="Arial" w:eastAsia="Arial" w:hAnsi="Arial"/>
          <w:sz w:val="18"/>
          <w:szCs w:val="18"/>
          <w:color w:val="1A1A1A"/>
        </w:rPr>
        <w:t xml:space="preserve"> has </w:t>
      </w:r>
      <w:r>
        <w:rPr>
          <w:rFonts w:ascii="Arial" w:cs="Arial" w:eastAsia="Arial" w:hAnsi="Arial"/>
          <w:sz w:val="18"/>
          <w:szCs w:val="18"/>
          <w:color w:val="2F2F2F"/>
        </w:rPr>
        <w:t>conducted</w:t>
      </w:r>
      <w:r>
        <w:rPr>
          <w:rFonts w:ascii="Arial" w:cs="Arial" w:eastAsia="Arial" w:hAnsi="Arial"/>
          <w:sz w:val="18"/>
          <w:szCs w:val="18"/>
          <w:color w:val="1A1A1A"/>
        </w:rPr>
        <w:t xml:space="preserve"> its own investigation with respect to the Subscription Shares </w:t>
      </w:r>
      <w:r>
        <w:rPr>
          <w:rFonts w:ascii="Arial" w:cs="Arial" w:eastAsia="Arial" w:hAnsi="Arial"/>
          <w:sz w:val="18"/>
          <w:szCs w:val="18"/>
          <w:color w:val="2F2F2F"/>
        </w:rPr>
        <w:t>and</w:t>
      </w:r>
      <w:r>
        <w:rPr>
          <w:rFonts w:ascii="Arial" w:cs="Arial" w:eastAsia="Arial" w:hAnsi="Arial"/>
          <w:sz w:val="18"/>
          <w:szCs w:val="18"/>
          <w:color w:val="1A1A1A"/>
        </w:rPr>
        <w:t xml:space="preserve"> the Group and has decided to agree to subscribe for the Subscription Shares based on its own enquiries.</w:t>
      </w:r>
    </w:p>
    <w:p>
      <w:pPr>
        <w:spacing w:after="0" w:line="155" w:lineRule="exact"/>
        <w:rPr>
          <w:sz w:val="20"/>
          <w:szCs w:val="20"/>
          <w:color w:val="auto"/>
        </w:rPr>
      </w:pPr>
    </w:p>
    <w:p>
      <w:pPr>
        <w:ind w:right="8920" w:firstLine="8"/>
        <w:spacing w:after="0" w:line="482" w:lineRule="auto"/>
        <w:tabs>
          <w:tab w:leader="none" w:pos="648" w:val="left"/>
        </w:tabs>
        <w:numPr>
          <w:ilvl w:val="0"/>
          <w:numId w:val="502"/>
        </w:numPr>
        <w:rPr>
          <w:rFonts w:ascii="Arial" w:cs="Arial" w:eastAsia="Arial" w:hAnsi="Arial"/>
          <w:sz w:val="18"/>
          <w:szCs w:val="18"/>
          <w:b w:val="1"/>
          <w:bCs w:val="1"/>
          <w:color w:val="1A1A1A"/>
        </w:rPr>
      </w:pPr>
      <w:r>
        <w:rPr>
          <w:rFonts w:ascii="Arial" w:cs="Arial" w:eastAsia="Arial" w:hAnsi="Arial"/>
          <w:sz w:val="18"/>
          <w:szCs w:val="18"/>
          <w:b w:val="1"/>
          <w:bCs w:val="1"/>
          <w:color w:val="1A1A1A"/>
        </w:rPr>
        <w:t>CONFIDENTIALITY 8.1 Announcements</w:t>
      </w:r>
    </w:p>
    <w:p>
      <w:pPr>
        <w:spacing w:after="0" w:line="1" w:lineRule="exact"/>
        <w:rPr>
          <w:sz w:val="20"/>
          <w:szCs w:val="20"/>
          <w:color w:val="auto"/>
        </w:rPr>
      </w:pPr>
    </w:p>
    <w:p>
      <w:pPr>
        <w:ind w:left="660" w:right="720"/>
        <w:spacing w:after="0" w:line="246" w:lineRule="auto"/>
        <w:rPr>
          <w:sz w:val="20"/>
          <w:szCs w:val="20"/>
          <w:color w:val="auto"/>
        </w:rPr>
      </w:pPr>
      <w:r>
        <w:rPr>
          <w:rFonts w:ascii="Arial" w:cs="Arial" w:eastAsia="Arial" w:hAnsi="Arial"/>
          <w:sz w:val="18"/>
          <w:szCs w:val="18"/>
          <w:color w:val="1A1A1A"/>
        </w:rPr>
        <w:t xml:space="preserve">Neither party will make any public announcements or </w:t>
      </w:r>
      <w:r>
        <w:rPr>
          <w:rFonts w:ascii="Arial" w:cs="Arial" w:eastAsia="Arial" w:hAnsi="Arial"/>
          <w:sz w:val="18"/>
          <w:szCs w:val="18"/>
          <w:color w:val="2F2F2F"/>
        </w:rPr>
        <w:t>statements in</w:t>
      </w:r>
      <w:r>
        <w:rPr>
          <w:rFonts w:ascii="Arial" w:cs="Arial" w:eastAsia="Arial" w:hAnsi="Arial"/>
          <w:sz w:val="18"/>
          <w:szCs w:val="18"/>
          <w:color w:val="1A1A1A"/>
        </w:rPr>
        <w:t xml:space="preserve"> relation to this Agreement or its subject matter </w:t>
      </w:r>
      <w:r>
        <w:rPr>
          <w:rFonts w:ascii="Arial" w:cs="Arial" w:eastAsia="Arial" w:hAnsi="Arial"/>
          <w:sz w:val="18"/>
          <w:szCs w:val="18"/>
          <w:color w:val="2F2F2F"/>
        </w:rPr>
        <w:t>except</w:t>
      </w:r>
      <w:r>
        <w:rPr>
          <w:rFonts w:ascii="Arial" w:cs="Arial" w:eastAsia="Arial" w:hAnsi="Arial"/>
          <w:sz w:val="18"/>
          <w:szCs w:val="18"/>
          <w:color w:val="1A1A1A"/>
        </w:rPr>
        <w:t xml:space="preserve"> in accordance with the earlier written </w:t>
      </w:r>
      <w:r>
        <w:rPr>
          <w:rFonts w:ascii="Arial" w:cs="Arial" w:eastAsia="Arial" w:hAnsi="Arial"/>
          <w:sz w:val="18"/>
          <w:szCs w:val="18"/>
          <w:color w:val="2F2F2F"/>
        </w:rPr>
        <w:t>approval of</w:t>
      </w:r>
      <w:r>
        <w:rPr>
          <w:rFonts w:ascii="Arial" w:cs="Arial" w:eastAsia="Arial" w:hAnsi="Arial"/>
          <w:sz w:val="18"/>
          <w:szCs w:val="18"/>
          <w:color w:val="1A1A1A"/>
        </w:rPr>
        <w:t xml:space="preserve"> the other</w:t>
      </w:r>
      <w:r>
        <w:rPr>
          <w:rFonts w:ascii="Arial" w:cs="Arial" w:eastAsia="Arial" w:hAnsi="Arial"/>
          <w:sz w:val="18"/>
          <w:szCs w:val="18"/>
          <w:color w:val="3F3F3F"/>
        </w:rPr>
        <w:t>,</w:t>
      </w:r>
      <w:r>
        <w:rPr>
          <w:rFonts w:ascii="Arial" w:cs="Arial" w:eastAsia="Arial" w:hAnsi="Arial"/>
          <w:sz w:val="18"/>
          <w:szCs w:val="18"/>
          <w:color w:val="1A1A1A"/>
        </w:rPr>
        <w:t xml:space="preserve"> which approval </w:t>
      </w:r>
      <w:r>
        <w:rPr>
          <w:rFonts w:ascii="Arial" w:cs="Arial" w:eastAsia="Arial" w:hAnsi="Arial"/>
          <w:sz w:val="18"/>
          <w:szCs w:val="18"/>
          <w:color w:val="2F2F2F"/>
        </w:rPr>
        <w:t>shall</w:t>
      </w:r>
      <w:r>
        <w:rPr>
          <w:rFonts w:ascii="Arial" w:cs="Arial" w:eastAsia="Arial" w:hAnsi="Arial"/>
          <w:sz w:val="18"/>
          <w:szCs w:val="18"/>
          <w:color w:val="1A1A1A"/>
        </w:rPr>
        <w:t xml:space="preserve"> not be </w:t>
      </w:r>
      <w:r>
        <w:rPr>
          <w:rFonts w:ascii="Arial" w:cs="Arial" w:eastAsia="Arial" w:hAnsi="Arial"/>
          <w:sz w:val="18"/>
          <w:szCs w:val="18"/>
          <w:color w:val="2F2F2F"/>
        </w:rPr>
        <w:t>unreasonably</w:t>
      </w:r>
      <w:r>
        <w:rPr>
          <w:rFonts w:ascii="Arial" w:cs="Arial" w:eastAsia="Arial" w:hAnsi="Arial"/>
          <w:sz w:val="18"/>
          <w:szCs w:val="18"/>
          <w:color w:val="1A1A1A"/>
        </w:rPr>
        <w:t xml:space="preserve"> withheld</w:t>
      </w:r>
      <w:r>
        <w:rPr>
          <w:rFonts w:ascii="Arial" w:cs="Arial" w:eastAsia="Arial" w:hAnsi="Arial"/>
          <w:sz w:val="18"/>
          <w:szCs w:val="18"/>
          <w:color w:val="505050"/>
        </w:rPr>
        <w: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1A1A1A"/>
        </w:rPr>
        <w:t>8.2</w:t>
      </w:r>
      <w:r>
        <w:rPr>
          <w:sz w:val="20"/>
          <w:szCs w:val="20"/>
          <w:color w:val="auto"/>
        </w:rPr>
        <w:tab/>
      </w:r>
      <w:r>
        <w:rPr>
          <w:rFonts w:ascii="Arial" w:cs="Arial" w:eastAsia="Arial" w:hAnsi="Arial"/>
          <w:sz w:val="17"/>
          <w:szCs w:val="17"/>
          <w:b w:val="1"/>
          <w:bCs w:val="1"/>
          <w:color w:val="1A1A1A"/>
        </w:rPr>
        <w:t>Confidentiality agreement</w:t>
      </w:r>
    </w:p>
    <w:p>
      <w:pPr>
        <w:spacing w:after="0" w:line="220"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1A1A1A"/>
        </w:rPr>
        <w:t xml:space="preserve">Each party acknowledges and agrees that it </w:t>
      </w:r>
      <w:r>
        <w:rPr>
          <w:rFonts w:ascii="Arial" w:cs="Arial" w:eastAsia="Arial" w:hAnsi="Arial"/>
          <w:sz w:val="18"/>
          <w:szCs w:val="18"/>
          <w:color w:val="2F2F2F"/>
        </w:rPr>
        <w:t>continues</w:t>
      </w:r>
      <w:r>
        <w:rPr>
          <w:rFonts w:ascii="Arial" w:cs="Arial" w:eastAsia="Arial" w:hAnsi="Arial"/>
          <w:sz w:val="18"/>
          <w:szCs w:val="18"/>
          <w:color w:val="1A1A1A"/>
        </w:rPr>
        <w:t xml:space="preserve"> to be bound by the Confidentiality Agreement dated May </w:t>
      </w:r>
      <w:r>
        <w:rPr>
          <w:rFonts w:ascii="Arial" w:cs="Arial" w:eastAsia="Arial" w:hAnsi="Arial"/>
          <w:sz w:val="18"/>
          <w:szCs w:val="18"/>
          <w:color w:val="2F2F2F"/>
        </w:rPr>
        <w:t>5, 2021</w:t>
      </w:r>
      <w:r>
        <w:rPr>
          <w:rFonts w:ascii="Arial" w:cs="Arial" w:eastAsia="Arial" w:hAnsi="Arial"/>
          <w:sz w:val="18"/>
          <w:szCs w:val="18"/>
          <w:color w:val="1A1A1A"/>
        </w:rPr>
        <w:t xml:space="preserve"> between the parties</w:t>
      </w:r>
      <w:r>
        <w:rPr>
          <w:rFonts w:ascii="Arial" w:cs="Arial" w:eastAsia="Arial" w:hAnsi="Arial"/>
          <w:sz w:val="18"/>
          <w:szCs w:val="18"/>
          <w:color w:val="50505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479" w:name="page480"/>
    <w:bookmarkEnd w:id="479"/>
    <w:p>
      <w:pPr>
        <w:ind w:left="660" w:hanging="652"/>
        <w:spacing w:after="0"/>
        <w:tabs>
          <w:tab w:leader="none" w:pos="660"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9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7"/>
          <w:szCs w:val="17"/>
          <w:b w:val="1"/>
          <w:bCs w:val="1"/>
          <w:color w:val="auto"/>
        </w:rPr>
        <w:t>Indemnity</w:t>
      </w:r>
    </w:p>
    <w:p>
      <w:pPr>
        <w:spacing w:after="0" w:line="220" w:lineRule="exact"/>
        <w:rPr>
          <w:sz w:val="20"/>
          <w:szCs w:val="20"/>
          <w:color w:val="auto"/>
        </w:rPr>
      </w:pPr>
    </w:p>
    <w:p>
      <w:pPr>
        <w:ind w:left="660" w:right="60"/>
        <w:spacing w:after="0"/>
        <w:rPr>
          <w:sz w:val="20"/>
          <w:szCs w:val="20"/>
          <w:color w:val="auto"/>
        </w:rPr>
      </w:pPr>
      <w:r>
        <w:rPr>
          <w:rFonts w:ascii="Arial" w:cs="Arial" w:eastAsia="Arial" w:hAnsi="Arial"/>
          <w:sz w:val="18"/>
          <w:szCs w:val="18"/>
          <w:color w:val="auto"/>
        </w:rPr>
        <w:t>The Issuer indemnifies the Subscriber against each claim, action, proceeding, judgment, damage, costs, loss, expense or liability (including legal costs on a full indemnity basis) incurred or suffered by or brought by or made or recovered against the Subscriber in connection with or arising out of any breach of any provision of this Agreement by the Issuer.</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Consequential loss</w:t>
      </w:r>
    </w:p>
    <w:p>
      <w:pPr>
        <w:spacing w:after="0" w:line="220"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The Issuer excludes all liability for indirect and consequential loss or damage (including for loss of profit (whether direct, indirect, anticipated or otherwise), loss of expected savings, opportunity costs, loss of business (including loss or reduction of goodwill), damage to reputation and loss or corruption of data regardless of whether any or all of these things are considered to be indirect or consequential losses or damage) in contract, tort (including negligence), under any statute or otherwise arising from or related in any way to this Agreement or its subject matter, except that consequential loss does not include any loss arising naturally and in the usual course of things from the relevant breach of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GENERAL</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Governing Law and Jurisdiction</w:t>
      </w:r>
    </w:p>
    <w:p>
      <w:pPr>
        <w:spacing w:after="0" w:line="220" w:lineRule="exact"/>
        <w:rPr>
          <w:sz w:val="20"/>
          <w:szCs w:val="20"/>
          <w:color w:val="auto"/>
        </w:rPr>
      </w:pPr>
    </w:p>
    <w:p>
      <w:pPr>
        <w:jc w:val="both"/>
        <w:ind w:left="660" w:right="120"/>
        <w:spacing w:after="0" w:line="274" w:lineRule="auto"/>
        <w:rPr>
          <w:sz w:val="20"/>
          <w:szCs w:val="20"/>
          <w:color w:val="auto"/>
        </w:rPr>
      </w:pPr>
      <w:r>
        <w:rPr>
          <w:rFonts w:ascii="Arial" w:cs="Arial" w:eastAsia="Arial" w:hAnsi="Arial"/>
          <w:sz w:val="17"/>
          <w:szCs w:val="17"/>
          <w:color w:val="auto"/>
        </w:rPr>
        <w:t>This Agreement is governed by the laws of Queensland. In relation to it and related non-contractual matters each party irrevocably submits to the non-exclusive jurisdiction of courts with jurisdiction there, and waives any right to object to the venue on any ground.</w:t>
      </w:r>
    </w:p>
    <w:p>
      <w:pPr>
        <w:spacing w:after="0" w:line="1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Notices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Any notice, demand, consent or other communication (a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xml:space="preserve"> given or made under this Agreement:</w:t>
      </w:r>
    </w:p>
    <w:p>
      <w:pPr>
        <w:spacing w:after="0" w:line="220" w:lineRule="exact"/>
        <w:rPr>
          <w:sz w:val="20"/>
          <w:szCs w:val="20"/>
          <w:color w:val="auto"/>
        </w:rPr>
      </w:pPr>
    </w:p>
    <w:p>
      <w:pPr>
        <w:ind w:left="1300" w:right="220" w:hanging="644"/>
        <w:spacing w:after="0" w:line="246" w:lineRule="auto"/>
        <w:tabs>
          <w:tab w:leader="none" w:pos="13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must be in writing and signed by the sender or a person duly authorised by the sender (or in the case of email, set out the first and last name and position or title of the sender or person duly authorised by the sender);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2" w:right="399" w:bottom="1440" w:gutter="0" w:footer="0" w:header="0"/>
        </w:sectPr>
      </w:pPr>
    </w:p>
    <w:bookmarkStart w:id="480" w:name="page481"/>
    <w:bookmarkEnd w:id="480"/>
    <w:p>
      <w:pPr>
        <w:ind w:left="644" w:hanging="644"/>
        <w:spacing w:after="0"/>
        <w:tabs>
          <w:tab w:leader="none" w:pos="644" w:val="left"/>
        </w:tabs>
        <w:numPr>
          <w:ilvl w:val="0"/>
          <w:numId w:val="505"/>
        </w:numPr>
        <w:rPr>
          <w:rFonts w:ascii="Arial" w:cs="Arial" w:eastAsia="Arial" w:hAnsi="Arial"/>
          <w:sz w:val="18"/>
          <w:szCs w:val="18"/>
          <w:color w:val="auto"/>
        </w:rPr>
      </w:pPr>
      <w:r>
        <w:rPr>
          <w:rFonts w:ascii="Arial" w:cs="Arial" w:eastAsia="Arial" w:hAnsi="Arial"/>
          <w:sz w:val="18"/>
          <w:szCs w:val="18"/>
          <w:color w:val="auto"/>
        </w:rPr>
        <w:t>must be delivered to the intended recipient by prepaid post (if posted to an address in another country, by registered airmail) or by email to the address or email address below or the address or email address last notified by the intended recipient to the sender:</w:t>
      </w:r>
    </w:p>
    <w:p>
      <w:pPr>
        <w:spacing w:after="0" w:line="185" w:lineRule="exact"/>
        <w:rPr>
          <w:sz w:val="20"/>
          <w:szCs w:val="20"/>
          <w:color w:val="auto"/>
        </w:rPr>
      </w:pPr>
    </w:p>
    <w:tbl>
      <w:tblPr>
        <w:tblLayout w:type="fixed"/>
        <w:tblInd w:w="64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1900" w:type="dxa"/>
            <w:vAlign w:val="bottom"/>
          </w:tcPr>
          <w:p>
            <w:pPr>
              <w:ind w:left="280"/>
              <w:spacing w:after="0"/>
              <w:rPr>
                <w:sz w:val="20"/>
                <w:szCs w:val="20"/>
                <w:color w:val="auto"/>
              </w:rPr>
            </w:pPr>
            <w:r>
              <w:rPr>
                <w:rFonts w:ascii="Arial" w:cs="Arial" w:eastAsia="Arial" w:hAnsi="Arial"/>
                <w:sz w:val="18"/>
                <w:szCs w:val="18"/>
                <w:color w:val="auto"/>
              </w:rPr>
              <w:t>to the Issuer:</w:t>
            </w:r>
          </w:p>
        </w:tc>
        <w:tc>
          <w:tcPr>
            <w:tcW w:w="1580" w:type="dxa"/>
            <w:vAlign w:val="bottom"/>
            <w:gridSpan w:val="2"/>
          </w:tcPr>
          <w:p>
            <w:pPr>
              <w:ind w:left="280"/>
              <w:spacing w:after="0"/>
              <w:rPr>
                <w:sz w:val="20"/>
                <w:szCs w:val="20"/>
                <w:color w:val="auto"/>
              </w:rPr>
            </w:pPr>
            <w:r>
              <w:rPr>
                <w:rFonts w:ascii="Arial" w:cs="Arial" w:eastAsia="Arial" w:hAnsi="Arial"/>
                <w:sz w:val="18"/>
                <w:szCs w:val="18"/>
                <w:color w:val="auto"/>
              </w:rPr>
              <w:t>Address:</w:t>
            </w:r>
          </w:p>
        </w:tc>
        <w:tc>
          <w:tcPr>
            <w:tcW w:w="2200" w:type="dxa"/>
            <w:vAlign w:val="bottom"/>
            <w:gridSpan w:val="4"/>
          </w:tcPr>
          <w:p>
            <w:pPr>
              <w:spacing w:after="0"/>
              <w:rPr>
                <w:sz w:val="20"/>
                <w:szCs w:val="20"/>
                <w:color w:val="auto"/>
              </w:rPr>
            </w:pPr>
            <w:r>
              <w:rPr>
                <w:rFonts w:ascii="Arial" w:cs="Arial" w:eastAsia="Arial" w:hAnsi="Arial"/>
                <w:sz w:val="18"/>
                <w:szCs w:val="18"/>
                <w:color w:val="auto"/>
              </w:rPr>
              <w:t>Novonix</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gridSpan w:val="4"/>
          </w:tcPr>
          <w:p>
            <w:pPr>
              <w:spacing w:after="0" w:line="202" w:lineRule="exact"/>
              <w:rPr>
                <w:sz w:val="20"/>
                <w:szCs w:val="20"/>
                <w:color w:val="auto"/>
              </w:rPr>
            </w:pPr>
            <w:r>
              <w:rPr>
                <w:rFonts w:ascii="Arial" w:cs="Arial" w:eastAsia="Arial" w:hAnsi="Arial"/>
                <w:sz w:val="18"/>
                <w:szCs w:val="18"/>
                <w:color w:val="auto"/>
              </w:rPr>
              <w:t>177 Bluewater Road</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gridSpan w:val="4"/>
          </w:tcPr>
          <w:p>
            <w:pPr>
              <w:spacing w:after="0" w:line="202" w:lineRule="exact"/>
              <w:rPr>
                <w:sz w:val="20"/>
                <w:szCs w:val="20"/>
                <w:color w:val="auto"/>
              </w:rPr>
            </w:pPr>
            <w:r>
              <w:rPr>
                <w:rFonts w:ascii="Arial" w:cs="Arial" w:eastAsia="Arial" w:hAnsi="Arial"/>
                <w:sz w:val="18"/>
                <w:szCs w:val="18"/>
                <w:color w:val="auto"/>
              </w:rPr>
              <w:t>Bedford, NS B4B 1H1</w:t>
            </w:r>
          </w:p>
        </w:tc>
      </w:tr>
      <w:tr>
        <w:trPr>
          <w:trHeight w:val="217"/>
        </w:trPr>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Canada</w:t>
            </w:r>
          </w:p>
        </w:tc>
      </w:tr>
      <w:tr>
        <w:trPr>
          <w:trHeight w:val="365"/>
        </w:trPr>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80" w:type="dxa"/>
            <w:vAlign w:val="bottom"/>
            <w:gridSpan w:val="2"/>
          </w:tcPr>
          <w:p>
            <w:pPr>
              <w:ind w:left="280"/>
              <w:spacing w:after="0"/>
              <w:rPr>
                <w:sz w:val="20"/>
                <w:szCs w:val="20"/>
                <w:color w:val="auto"/>
              </w:rPr>
            </w:pPr>
            <w:r>
              <w:rPr>
                <w:rFonts w:ascii="Arial" w:cs="Arial" w:eastAsia="Arial" w:hAnsi="Arial"/>
                <w:sz w:val="18"/>
                <w:szCs w:val="18"/>
                <w:color w:val="auto"/>
              </w:rPr>
              <w:t>Email:</w:t>
            </w:r>
          </w:p>
        </w:tc>
        <w:tc>
          <w:tcPr>
            <w:tcW w:w="2200" w:type="dxa"/>
            <w:vAlign w:val="bottom"/>
            <w:gridSpan w:val="4"/>
          </w:tcPr>
          <w:p>
            <w:pPr>
              <w:spacing w:after="0"/>
              <w:rPr>
                <w:sz w:val="20"/>
                <w:szCs w:val="20"/>
                <w:color w:val="auto"/>
              </w:rPr>
            </w:pPr>
            <w:r>
              <w:rPr>
                <w:rFonts w:ascii="Arial" w:cs="Arial" w:eastAsia="Arial" w:hAnsi="Arial"/>
                <w:sz w:val="18"/>
                <w:szCs w:val="18"/>
                <w:color w:val="auto"/>
              </w:rPr>
              <w:t>chris@novonixgroup.com</w:t>
            </w:r>
          </w:p>
        </w:tc>
      </w:tr>
      <w:tr>
        <w:trPr>
          <w:trHeight w:val="20"/>
        </w:trPr>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0" w:type="dxa"/>
            <w:vAlign w:val="bottom"/>
            <w:tcBorders>
              <w:bottom w:val="single" w:sz="8" w:color="auto"/>
            </w:tcBorders>
            <w:gridSpan w:val="4"/>
          </w:tcPr>
          <w:p>
            <w:pPr>
              <w:spacing w:after="0" w:line="182" w:lineRule="exact"/>
              <w:rPr>
                <w:sz w:val="20"/>
                <w:szCs w:val="20"/>
                <w:color w:val="auto"/>
              </w:rPr>
            </w:pPr>
            <w:r>
              <w:rPr>
                <w:rFonts w:ascii="Arial" w:cs="Arial" w:eastAsia="Arial" w:hAnsi="Arial"/>
                <w:sz w:val="18"/>
                <w:szCs w:val="18"/>
                <w:color w:val="auto"/>
                <w:w w:val="98"/>
              </w:rPr>
              <w:t>rashda@novonixgroup.com</w:t>
            </w:r>
          </w:p>
        </w:tc>
      </w:tr>
      <w:tr>
        <w:trPr>
          <w:trHeight w:val="411"/>
        </w:trPr>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80" w:type="dxa"/>
            <w:vAlign w:val="bottom"/>
            <w:gridSpan w:val="2"/>
          </w:tcPr>
          <w:p>
            <w:pPr>
              <w:ind w:left="280"/>
              <w:spacing w:after="0"/>
              <w:rPr>
                <w:sz w:val="20"/>
                <w:szCs w:val="20"/>
                <w:color w:val="auto"/>
              </w:rPr>
            </w:pPr>
            <w:r>
              <w:rPr>
                <w:rFonts w:ascii="Arial" w:cs="Arial" w:eastAsia="Arial" w:hAnsi="Arial"/>
                <w:sz w:val="18"/>
                <w:szCs w:val="18"/>
                <w:color w:val="auto"/>
              </w:rPr>
              <w:t>Attention:</w:t>
            </w:r>
          </w:p>
        </w:tc>
        <w:tc>
          <w:tcPr>
            <w:tcW w:w="2200" w:type="dxa"/>
            <w:vAlign w:val="bottom"/>
            <w:gridSpan w:val="4"/>
          </w:tcPr>
          <w:p>
            <w:pPr>
              <w:spacing w:after="0"/>
              <w:rPr>
                <w:sz w:val="20"/>
                <w:szCs w:val="20"/>
                <w:color w:val="auto"/>
              </w:rPr>
            </w:pPr>
            <w:r>
              <w:rPr>
                <w:rFonts w:ascii="Arial" w:cs="Arial" w:eastAsia="Arial" w:hAnsi="Arial"/>
                <w:sz w:val="18"/>
                <w:szCs w:val="18"/>
                <w:color w:val="auto"/>
              </w:rPr>
              <w:t>Chris Burns</w:t>
            </w:r>
          </w:p>
        </w:tc>
      </w:tr>
      <w:tr>
        <w:trPr>
          <w:trHeight w:val="217"/>
        </w:trPr>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Rashda Buttar</w:t>
            </w:r>
          </w:p>
        </w:tc>
      </w:tr>
      <w:tr>
        <w:trPr>
          <w:trHeight w:val="391"/>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1900" w:type="dxa"/>
            <w:vAlign w:val="bottom"/>
          </w:tcPr>
          <w:p>
            <w:pPr>
              <w:ind w:left="240"/>
              <w:spacing w:after="0"/>
              <w:rPr>
                <w:sz w:val="20"/>
                <w:szCs w:val="20"/>
                <w:color w:val="auto"/>
              </w:rPr>
            </w:pPr>
            <w:r>
              <w:rPr>
                <w:rFonts w:ascii="Arial" w:cs="Arial" w:eastAsia="Arial" w:hAnsi="Arial"/>
                <w:sz w:val="18"/>
                <w:szCs w:val="18"/>
                <w:color w:val="auto"/>
              </w:rPr>
              <w:t>to the Subscriber:</w:t>
            </w:r>
          </w:p>
        </w:tc>
        <w:tc>
          <w:tcPr>
            <w:tcW w:w="1580" w:type="dxa"/>
            <w:vAlign w:val="bottom"/>
            <w:gridSpan w:val="2"/>
          </w:tcPr>
          <w:p>
            <w:pPr>
              <w:ind w:left="280"/>
              <w:spacing w:after="0"/>
              <w:rPr>
                <w:sz w:val="20"/>
                <w:szCs w:val="20"/>
                <w:color w:val="auto"/>
              </w:rPr>
            </w:pPr>
            <w:r>
              <w:rPr>
                <w:rFonts w:ascii="Arial" w:cs="Arial" w:eastAsia="Arial" w:hAnsi="Arial"/>
                <w:sz w:val="18"/>
                <w:szCs w:val="18"/>
                <w:color w:val="auto"/>
              </w:rPr>
              <w:t>Address:</w:t>
            </w:r>
          </w:p>
        </w:tc>
        <w:tc>
          <w:tcPr>
            <w:tcW w:w="2200" w:type="dxa"/>
            <w:vAlign w:val="bottom"/>
            <w:gridSpan w:val="4"/>
          </w:tcPr>
          <w:p>
            <w:pPr>
              <w:spacing w:after="0"/>
              <w:rPr>
                <w:sz w:val="20"/>
                <w:szCs w:val="20"/>
                <w:color w:val="auto"/>
              </w:rPr>
            </w:pPr>
            <w:r>
              <w:rPr>
                <w:rFonts w:ascii="Arial" w:cs="Arial" w:eastAsia="Arial" w:hAnsi="Arial"/>
                <w:sz w:val="18"/>
                <w:szCs w:val="18"/>
                <w:color w:val="auto"/>
              </w:rPr>
              <w:t>Phillips 66 Company</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gridSpan w:val="4"/>
          </w:tcPr>
          <w:p>
            <w:pPr>
              <w:spacing w:after="0" w:line="202" w:lineRule="exact"/>
              <w:rPr>
                <w:sz w:val="20"/>
                <w:szCs w:val="20"/>
                <w:color w:val="auto"/>
              </w:rPr>
            </w:pPr>
            <w:r>
              <w:rPr>
                <w:rFonts w:ascii="Arial" w:cs="Arial" w:eastAsia="Arial" w:hAnsi="Arial"/>
                <w:sz w:val="18"/>
                <w:szCs w:val="18"/>
                <w:color w:val="auto"/>
              </w:rPr>
              <w:t>2331 CityWest Blvd.</w:t>
            </w:r>
          </w:p>
        </w:tc>
      </w:tr>
      <w:tr>
        <w:trPr>
          <w:trHeight w:val="217"/>
        </w:trPr>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Houston, Texas 77042</w:t>
            </w:r>
          </w:p>
        </w:tc>
      </w:tr>
      <w:tr>
        <w:trPr>
          <w:trHeight w:val="364"/>
        </w:trPr>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780" w:type="dxa"/>
            <w:vAlign w:val="bottom"/>
            <w:gridSpan w:val="6"/>
          </w:tcPr>
          <w:p>
            <w:pPr>
              <w:ind w:left="280"/>
              <w:spacing w:after="0"/>
              <w:rPr>
                <w:sz w:val="20"/>
                <w:szCs w:val="20"/>
                <w:color w:val="auto"/>
              </w:rPr>
            </w:pPr>
            <w:r>
              <w:rPr>
                <w:rFonts w:ascii="Arial" w:cs="Arial" w:eastAsia="Arial" w:hAnsi="Arial"/>
                <w:sz w:val="18"/>
                <w:szCs w:val="18"/>
                <w:color w:val="auto"/>
              </w:rPr>
              <w:t>Email: Kathy.b.woody@p66.com</w:t>
            </w:r>
          </w:p>
        </w:tc>
      </w:tr>
      <w:tr>
        <w:trPr>
          <w:trHeight w:val="183"/>
        </w:trPr>
        <w:tc>
          <w:tcPr>
            <w:tcW w:w="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4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99"/>
              </w:rPr>
              <w:t>Jim.g.glenn(a)p66.com</w:t>
            </w:r>
          </w:p>
        </w:tc>
        <w:tc>
          <w:tcPr>
            <w:tcW w:w="200" w:type="dxa"/>
            <w:vAlign w:val="bottom"/>
            <w:tcBorders>
              <w:top w:val="single" w:sz="8" w:color="auto"/>
            </w:tcBorders>
          </w:tcPr>
          <w:p>
            <w:pPr>
              <w:spacing w:after="0"/>
              <w:rPr>
                <w:sz w:val="15"/>
                <w:szCs w:val="15"/>
                <w:color w:val="auto"/>
              </w:rPr>
            </w:pPr>
          </w:p>
        </w:tc>
        <w:tc>
          <w:tcPr>
            <w:tcW w:w="920" w:type="dxa"/>
            <w:vAlign w:val="bottom"/>
            <w:gridSpan w:val="2"/>
          </w:tcPr>
          <w:p>
            <w:pPr>
              <w:spacing w:after="0"/>
              <w:rPr>
                <w:sz w:val="15"/>
                <w:szCs w:val="15"/>
                <w:color w:val="auto"/>
              </w:rPr>
            </w:pPr>
          </w:p>
        </w:tc>
      </w:tr>
      <w:tr>
        <w:trPr>
          <w:trHeight w:val="411"/>
        </w:trPr>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80" w:type="dxa"/>
            <w:vAlign w:val="bottom"/>
            <w:gridSpan w:val="2"/>
          </w:tcPr>
          <w:p>
            <w:pPr>
              <w:ind w:left="280"/>
              <w:spacing w:after="0"/>
              <w:rPr>
                <w:sz w:val="20"/>
                <w:szCs w:val="20"/>
                <w:color w:val="auto"/>
              </w:rPr>
            </w:pPr>
            <w:r>
              <w:rPr>
                <w:rFonts w:ascii="Arial" w:cs="Arial" w:eastAsia="Arial" w:hAnsi="Arial"/>
                <w:sz w:val="18"/>
                <w:szCs w:val="18"/>
                <w:color w:val="auto"/>
              </w:rPr>
              <w:t>Attention:</w:t>
            </w:r>
          </w:p>
        </w:tc>
        <w:tc>
          <w:tcPr>
            <w:tcW w:w="2200" w:type="dxa"/>
            <w:vAlign w:val="bottom"/>
            <w:gridSpan w:val="4"/>
          </w:tcPr>
          <w:p>
            <w:pPr>
              <w:spacing w:after="0"/>
              <w:rPr>
                <w:sz w:val="20"/>
                <w:szCs w:val="20"/>
                <w:color w:val="auto"/>
              </w:rPr>
            </w:pPr>
            <w:r>
              <w:rPr>
                <w:rFonts w:ascii="Arial" w:cs="Arial" w:eastAsia="Arial" w:hAnsi="Arial"/>
                <w:sz w:val="18"/>
                <w:szCs w:val="18"/>
                <w:color w:val="auto"/>
              </w:rPr>
              <w:t>Kathy Woody</w:t>
            </w:r>
          </w:p>
        </w:tc>
      </w:tr>
      <w:tr>
        <w:trPr>
          <w:trHeight w:val="217"/>
        </w:trPr>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Jim Glenn</w:t>
            </w:r>
          </w:p>
        </w:tc>
      </w:tr>
    </w:tbl>
    <w:p>
      <w:pPr>
        <w:spacing w:after="0" w:line="166" w:lineRule="exact"/>
        <w:rPr>
          <w:sz w:val="20"/>
          <w:szCs w:val="20"/>
          <w:color w:val="auto"/>
        </w:rPr>
      </w:pPr>
    </w:p>
    <w:p>
      <w:pPr>
        <w:ind w:left="3244"/>
        <w:spacing w:after="0"/>
        <w:rPr>
          <w:sz w:val="20"/>
          <w:szCs w:val="20"/>
          <w:color w:val="auto"/>
        </w:rPr>
      </w:pPr>
      <w:r>
        <w:rPr>
          <w:rFonts w:ascii="Arial" w:cs="Arial" w:eastAsia="Arial" w:hAnsi="Arial"/>
          <w:sz w:val="18"/>
          <w:szCs w:val="18"/>
          <w:b w:val="1"/>
          <w:bCs w:val="1"/>
          <w:u w:val="single" w:color="auto"/>
          <w:color w:val="auto"/>
        </w:rPr>
        <w:t>With a copy to:</w:t>
      </w:r>
    </w:p>
    <w:p>
      <w:pPr>
        <w:spacing w:after="0" w:line="13" w:lineRule="exact"/>
        <w:rPr>
          <w:sz w:val="20"/>
          <w:szCs w:val="20"/>
          <w:color w:val="auto"/>
        </w:rPr>
      </w:pPr>
    </w:p>
    <w:p>
      <w:pPr>
        <w:ind w:left="3244"/>
        <w:spacing w:after="0"/>
        <w:tabs>
          <w:tab w:leader="none" w:pos="4524"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Phillips 66 Company</w:t>
      </w:r>
    </w:p>
    <w:p>
      <w:pPr>
        <w:ind w:left="4544"/>
        <w:spacing w:after="0" w:line="234" w:lineRule="auto"/>
        <w:rPr>
          <w:sz w:val="20"/>
          <w:szCs w:val="20"/>
          <w:color w:val="auto"/>
        </w:rPr>
      </w:pPr>
      <w:r>
        <w:rPr>
          <w:rFonts w:ascii="Arial" w:cs="Arial" w:eastAsia="Arial" w:hAnsi="Arial"/>
          <w:sz w:val="18"/>
          <w:szCs w:val="18"/>
          <w:color w:val="auto"/>
        </w:rPr>
        <w:t>2331 CityWest Blvd.</w:t>
      </w:r>
    </w:p>
    <w:p>
      <w:pPr>
        <w:ind w:left="4544"/>
        <w:spacing w:after="0" w:line="235" w:lineRule="auto"/>
        <w:rPr>
          <w:sz w:val="20"/>
          <w:szCs w:val="20"/>
          <w:color w:val="auto"/>
        </w:rPr>
      </w:pPr>
      <w:r>
        <w:rPr>
          <w:rFonts w:ascii="Arial" w:cs="Arial" w:eastAsia="Arial" w:hAnsi="Arial"/>
          <w:sz w:val="18"/>
          <w:szCs w:val="18"/>
          <w:color w:val="auto"/>
        </w:rPr>
        <w:t>Houston, Texas 77042</w:t>
      </w:r>
    </w:p>
    <w:p>
      <w:pPr>
        <w:spacing w:after="0" w:line="1"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HQ-13N-N1316</w:t>
      </w:r>
    </w:p>
    <w:p>
      <w:pPr>
        <w:sectPr>
          <w:pgSz w:w="11900" w:h="16838" w:orient="portrait"/>
          <w:cols w:equalWidth="0" w:num="1">
            <w:col w:w="10504"/>
          </w:cols>
          <w:pgMar w:left="976" w:top="341" w:right="419" w:bottom="1440" w:gutter="0" w:footer="0" w:header="0"/>
        </w:sectPr>
      </w:pPr>
    </w:p>
    <w:p>
      <w:pPr>
        <w:spacing w:after="0" w:line="198" w:lineRule="exact"/>
        <w:rPr>
          <w:sz w:val="20"/>
          <w:szCs w:val="20"/>
          <w:color w:val="auto"/>
        </w:rPr>
      </w:pPr>
    </w:p>
    <w:p>
      <w:pPr>
        <w:ind w:left="3244"/>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Deputy General Counsel,</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Corporate</w:t>
      </w:r>
    </w:p>
    <w:p>
      <w:pPr>
        <w:spacing w:after="0" w:line="198" w:lineRule="exact"/>
        <w:rPr>
          <w:sz w:val="20"/>
          <w:szCs w:val="20"/>
          <w:color w:val="auto"/>
        </w:rPr>
      </w:pPr>
    </w:p>
    <w:p>
      <w:pPr>
        <w:sectPr>
          <w:pgSz w:w="11900" w:h="16838" w:orient="portrait"/>
          <w:cols w:equalWidth="0" w:num="2">
            <w:col w:w="4004" w:space="540"/>
            <w:col w:w="5960"/>
          </w:cols>
          <w:pgMar w:left="976" w:top="341" w:right="419" w:bottom="1440" w:gutter="0" w:footer="0" w:header="0"/>
          <w:type w:val="continuous"/>
        </w:sectPr>
      </w:pPr>
    </w:p>
    <w:p>
      <w:pPr>
        <w:ind w:left="644" w:hanging="644"/>
        <w:spacing w:after="0"/>
        <w:tabs>
          <w:tab w:leader="none" w:pos="64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will be conclusively taken to be duly given or made and received:</w:t>
      </w:r>
    </w:p>
    <w:p>
      <w:pPr>
        <w:spacing w:after="0" w:line="198" w:lineRule="exact"/>
        <w:rPr>
          <w:rFonts w:ascii="Arial" w:cs="Arial" w:eastAsia="Arial" w:hAnsi="Arial"/>
          <w:sz w:val="18"/>
          <w:szCs w:val="18"/>
          <w:color w:val="auto"/>
        </w:rPr>
      </w:pPr>
    </w:p>
    <w:p>
      <w:pPr>
        <w:ind w:left="1304" w:right="440" w:hanging="656"/>
        <w:spacing w:after="0" w:line="246" w:lineRule="auto"/>
        <w:tabs>
          <w:tab w:leader="none" w:pos="1304" w:val="left"/>
        </w:tabs>
        <w:numPr>
          <w:ilvl w:val="1"/>
          <w:numId w:val="506"/>
        </w:numPr>
        <w:rPr>
          <w:rFonts w:ascii="Arial" w:cs="Arial" w:eastAsia="Arial" w:hAnsi="Arial"/>
          <w:sz w:val="18"/>
          <w:szCs w:val="18"/>
          <w:color w:val="auto"/>
        </w:rPr>
      </w:pPr>
      <w:r>
        <w:rPr>
          <w:rFonts w:ascii="Arial" w:cs="Arial" w:eastAsia="Arial" w:hAnsi="Arial"/>
          <w:sz w:val="18"/>
          <w:szCs w:val="18"/>
          <w:color w:val="auto"/>
        </w:rPr>
        <w:t>in the case of delivery by express post, to an address in the same country, two Business Days after the date of posting;</w:t>
      </w:r>
    </w:p>
    <w:p>
      <w:pPr>
        <w:spacing w:after="0" w:line="183" w:lineRule="exact"/>
        <w:rPr>
          <w:rFonts w:ascii="Arial" w:cs="Arial" w:eastAsia="Arial" w:hAnsi="Arial"/>
          <w:sz w:val="18"/>
          <w:szCs w:val="18"/>
          <w:color w:val="auto"/>
        </w:rPr>
      </w:pPr>
    </w:p>
    <w:p>
      <w:pPr>
        <w:ind w:left="1304" w:right="180" w:hanging="656"/>
        <w:spacing w:after="0"/>
        <w:tabs>
          <w:tab w:leader="none" w:pos="1304" w:val="left"/>
        </w:tabs>
        <w:numPr>
          <w:ilvl w:val="1"/>
          <w:numId w:val="506"/>
        </w:numPr>
        <w:rPr>
          <w:rFonts w:ascii="Arial" w:cs="Arial" w:eastAsia="Arial" w:hAnsi="Arial"/>
          <w:sz w:val="18"/>
          <w:szCs w:val="18"/>
          <w:color w:val="auto"/>
        </w:rPr>
      </w:pPr>
      <w:r>
        <w:rPr>
          <w:rFonts w:ascii="Arial" w:cs="Arial" w:eastAsia="Arial" w:hAnsi="Arial"/>
          <w:sz w:val="18"/>
          <w:szCs w:val="18"/>
          <w:color w:val="auto"/>
        </w:rPr>
        <w:t>in the case of delivery by any other method of post, six (6) Business Days after the date of posting (if posted to an address in the same country) or 10 Business Days after the date of posting (if posted to an address in another country); and</w:t>
      </w:r>
    </w:p>
    <w:p>
      <w:pPr>
        <w:spacing w:after="0" w:line="189" w:lineRule="exact"/>
        <w:rPr>
          <w:rFonts w:ascii="Arial" w:cs="Arial" w:eastAsia="Arial" w:hAnsi="Arial"/>
          <w:sz w:val="18"/>
          <w:szCs w:val="18"/>
          <w:color w:val="auto"/>
        </w:rPr>
      </w:pPr>
    </w:p>
    <w:p>
      <w:pPr>
        <w:ind w:left="1304" w:hanging="656"/>
        <w:spacing w:after="0"/>
        <w:tabs>
          <w:tab w:leader="none" w:pos="1304" w:val="left"/>
        </w:tabs>
        <w:numPr>
          <w:ilvl w:val="1"/>
          <w:numId w:val="506"/>
        </w:numPr>
        <w:rPr>
          <w:rFonts w:ascii="Arial" w:cs="Arial" w:eastAsia="Arial" w:hAnsi="Arial"/>
          <w:sz w:val="18"/>
          <w:szCs w:val="18"/>
          <w:color w:val="auto"/>
        </w:rPr>
      </w:pPr>
      <w:r>
        <w:rPr>
          <w:rFonts w:ascii="Arial" w:cs="Arial" w:eastAsia="Arial" w:hAnsi="Arial"/>
          <w:sz w:val="18"/>
          <w:szCs w:val="18"/>
          <w:color w:val="auto"/>
        </w:rPr>
        <w:t>in the case of email, at the earliest of:</w:t>
      </w:r>
    </w:p>
    <w:p>
      <w:pPr>
        <w:spacing w:after="0" w:line="198" w:lineRule="exact"/>
        <w:rPr>
          <w:rFonts w:ascii="Arial" w:cs="Arial" w:eastAsia="Arial" w:hAnsi="Arial"/>
          <w:sz w:val="18"/>
          <w:szCs w:val="18"/>
          <w:color w:val="auto"/>
        </w:rPr>
      </w:pPr>
    </w:p>
    <w:p>
      <w:pPr>
        <w:ind w:left="1944" w:right="160" w:hanging="648"/>
        <w:spacing w:after="0" w:line="246" w:lineRule="auto"/>
        <w:tabs>
          <w:tab w:leader="none" w:pos="1944" w:val="left"/>
        </w:tabs>
        <w:numPr>
          <w:ilvl w:val="2"/>
          <w:numId w:val="506"/>
        </w:numPr>
        <w:rPr>
          <w:rFonts w:ascii="Arial" w:cs="Arial" w:eastAsia="Arial" w:hAnsi="Arial"/>
          <w:sz w:val="18"/>
          <w:szCs w:val="18"/>
          <w:color w:val="auto"/>
        </w:rPr>
      </w:pPr>
      <w:r>
        <w:rPr>
          <w:rFonts w:ascii="Arial" w:cs="Arial" w:eastAsia="Arial" w:hAnsi="Arial"/>
          <w:sz w:val="18"/>
          <w:szCs w:val="18"/>
          <w:color w:val="auto"/>
        </w:rPr>
        <w:t>the time that the sender receives an automated message from the intended recipient’s information system confirming delivery of the email;</w:t>
      </w:r>
    </w:p>
    <w:p>
      <w:pPr>
        <w:spacing w:after="0" w:line="183" w:lineRule="exact"/>
        <w:rPr>
          <w:rFonts w:ascii="Arial" w:cs="Arial" w:eastAsia="Arial" w:hAnsi="Arial"/>
          <w:sz w:val="18"/>
          <w:szCs w:val="18"/>
          <w:color w:val="auto"/>
        </w:rPr>
      </w:pPr>
    </w:p>
    <w:p>
      <w:pPr>
        <w:ind w:left="1944" w:hanging="648"/>
        <w:spacing w:after="0"/>
        <w:tabs>
          <w:tab w:leader="none" w:pos="1944" w:val="left"/>
        </w:tabs>
        <w:numPr>
          <w:ilvl w:val="2"/>
          <w:numId w:val="506"/>
        </w:numPr>
        <w:rPr>
          <w:rFonts w:ascii="Arial" w:cs="Arial" w:eastAsia="Arial" w:hAnsi="Arial"/>
          <w:sz w:val="18"/>
          <w:szCs w:val="18"/>
          <w:color w:val="auto"/>
        </w:rPr>
      </w:pPr>
      <w:r>
        <w:rPr>
          <w:rFonts w:ascii="Arial" w:cs="Arial" w:eastAsia="Arial" w:hAnsi="Arial"/>
          <w:sz w:val="18"/>
          <w:szCs w:val="18"/>
          <w:color w:val="auto"/>
        </w:rPr>
        <w:t>the time that the intended recipient confirms receipt of the email by reply email;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426085</wp:posOffset>
            </wp:positionV>
            <wp:extent cx="7132320" cy="171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4"/>
          </w:cols>
          <w:pgMar w:left="976" w:top="341" w:right="419" w:bottom="1440" w:gutter="0" w:footer="0" w:header="0"/>
          <w:type w:val="continuous"/>
        </w:sectPr>
      </w:pPr>
    </w:p>
    <w:bookmarkStart w:id="481" w:name="page482"/>
    <w:bookmarkEnd w:id="481"/>
    <w:p>
      <w:pPr>
        <w:ind w:left="2600" w:right="20" w:hanging="648"/>
        <w:spacing w:after="0"/>
        <w:tabs>
          <w:tab w:leader="none" w:pos="26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four hours after the time the email is sent (as recorded on the device from which the sender sent the email) unless the sender receives, within that four hour period, an automated message that the email has not been delivered,</w:t>
      </w:r>
    </w:p>
    <w:p>
      <w:pPr>
        <w:spacing w:after="0" w:line="189" w:lineRule="exact"/>
        <w:rPr>
          <w:sz w:val="20"/>
          <w:szCs w:val="20"/>
          <w:color w:val="auto"/>
        </w:rPr>
      </w:pPr>
    </w:p>
    <w:p>
      <w:pPr>
        <w:ind w:left="1300" w:right="20"/>
        <w:spacing w:after="0"/>
        <w:rPr>
          <w:sz w:val="20"/>
          <w:szCs w:val="20"/>
          <w:color w:val="auto"/>
        </w:rPr>
      </w:pPr>
      <w:r>
        <w:rPr>
          <w:rFonts w:ascii="Arial" w:cs="Arial" w:eastAsia="Arial" w:hAnsi="Arial"/>
          <w:sz w:val="18"/>
          <w:szCs w:val="18"/>
          <w:color w:val="auto"/>
        </w:rPr>
        <w:t>but if the result is that a Notice would be taken to be given or made and received on a day that is not a business day, or after 5pm on a business day, in the place specified by the intended recipient as its postal address under clause 9.2(b), it will be conclusively taken to have been duly given or made and received at 9am on the first business day after that day.</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Assignment</w:t>
      </w:r>
    </w:p>
    <w:p>
      <w:pPr>
        <w:spacing w:after="0" w:line="220"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Subscriber cannot assign, charge, create a security interest over, encumber or otherwise deal with any of its rights or obligations under this Agreement, or attempt or purport to do so, without the prior written consent of the Issuer.</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b w:val="1"/>
          <w:bCs w:val="1"/>
          <w:color w:val="auto"/>
        </w:rPr>
        <w:t>No waiver</w:t>
      </w:r>
    </w:p>
    <w:p>
      <w:pPr>
        <w:spacing w:after="0" w:line="220" w:lineRule="exact"/>
        <w:rPr>
          <w:sz w:val="20"/>
          <w:szCs w:val="20"/>
          <w:color w:val="auto"/>
        </w:rPr>
      </w:pPr>
    </w:p>
    <w:p>
      <w:pPr>
        <w:ind w:left="1300" w:right="180" w:hanging="644"/>
        <w:spacing w:after="0" w:line="246" w:lineRule="auto"/>
        <w:tabs>
          <w:tab w:leader="none" w:pos="13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No acquiescence, waiver or other indulgence granted by either party to any other party will in any way discharge or relieve that other party from any of its other obligations under this Agreement.</w:t>
      </w:r>
    </w:p>
    <w:p>
      <w:pPr>
        <w:spacing w:after="0" w:line="183" w:lineRule="exact"/>
        <w:rPr>
          <w:rFonts w:ascii="Arial" w:cs="Arial" w:eastAsia="Arial" w:hAnsi="Arial"/>
          <w:sz w:val="18"/>
          <w:szCs w:val="18"/>
          <w:color w:val="auto"/>
        </w:rPr>
      </w:pPr>
    </w:p>
    <w:p>
      <w:pPr>
        <w:ind w:left="1300" w:right="60" w:hanging="644"/>
        <w:spacing w:after="0" w:line="238" w:lineRule="auto"/>
        <w:tabs>
          <w:tab w:leader="none" w:pos="13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 failure to exercise or a delay in exercising any right, power or remedy under this Agreement does not operate as a waiver. A single or partial exercise or waiver of the exercise of any right, power or remedy does not preclude any other or further exercise of that or any other right, power or remedy. A waiver is not valid or binding on the party granting that waiver unless made in writing. For the avoidance of doubt, the doctrine of affirmation by election will not apply to any failure by a party to exercise, or delay by a party in exercising, any right, power or remedy under this Agreement.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color w:val="auto"/>
        </w:rPr>
        <w:t>Costs and duty</w:t>
      </w:r>
    </w:p>
    <w:p>
      <w:pPr>
        <w:spacing w:after="0" w:line="220" w:lineRule="exact"/>
        <w:rPr>
          <w:sz w:val="20"/>
          <w:szCs w:val="20"/>
          <w:color w:val="auto"/>
        </w:rPr>
      </w:pPr>
    </w:p>
    <w:p>
      <w:pPr>
        <w:ind w:left="660" w:right="300"/>
        <w:spacing w:after="0"/>
        <w:rPr>
          <w:sz w:val="20"/>
          <w:szCs w:val="20"/>
          <w:color w:val="auto"/>
        </w:rPr>
      </w:pPr>
      <w:r>
        <w:rPr>
          <w:rFonts w:ascii="Arial" w:cs="Arial" w:eastAsia="Arial" w:hAnsi="Arial"/>
          <w:sz w:val="18"/>
          <w:szCs w:val="18"/>
          <w:color w:val="auto"/>
        </w:rPr>
        <w:t>Each party must bear its own costs arising out of the negotiation, preparation and execution of this Agreement. All duty (including any fines, penalties and interest) payable on or in connection with this Agreement and any instrument executed under or any transaction evidenced by this Agreement must be borne equally by the parties.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7"/>
          <w:szCs w:val="17"/>
          <w:b w:val="1"/>
          <w:bCs w:val="1"/>
          <w:color w:val="auto"/>
        </w:rPr>
        <w:t>Severability</w:t>
      </w:r>
    </w:p>
    <w:p>
      <w:pPr>
        <w:spacing w:after="0" w:line="220"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Any provision of this Agreement which is prohibited or unenforceable in any jurisdiction will be ineffective as to that jurisdiction to the extent of the prohibition or unenforceability. That will not invalidate the remaining provisions of this Agreement nor affect the validity or enforceability of that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82" w:name="page483"/>
    <w:bookmarkEnd w:id="482"/>
    <w:p>
      <w:pPr>
        <w:spacing w:after="0"/>
        <w:tabs>
          <w:tab w:leader="none" w:pos="64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7"/>
          <w:szCs w:val="17"/>
          <w:b w:val="1"/>
          <w:bCs w:val="1"/>
          <w:color w:val="auto"/>
        </w:rPr>
        <w:t>Extent of obligations</w:t>
      </w:r>
    </w:p>
    <w:p>
      <w:pPr>
        <w:spacing w:after="0" w:line="220" w:lineRule="exact"/>
        <w:rPr>
          <w:sz w:val="20"/>
          <w:szCs w:val="20"/>
          <w:color w:val="auto"/>
        </w:rPr>
      </w:pPr>
    </w:p>
    <w:p>
      <w:pPr>
        <w:ind w:left="660" w:right="120"/>
        <w:spacing w:after="0"/>
        <w:rPr>
          <w:sz w:val="20"/>
          <w:szCs w:val="20"/>
          <w:color w:val="auto"/>
        </w:rPr>
      </w:pPr>
      <w:r>
        <w:rPr>
          <w:rFonts w:ascii="Arial" w:cs="Arial" w:eastAsia="Arial" w:hAnsi="Arial"/>
          <w:sz w:val="18"/>
          <w:szCs w:val="18"/>
          <w:color w:val="auto"/>
        </w:rPr>
        <w:t>If any payment under this Agreement becomes void by any statutory provision or otherwise, the obligations of the party that made the payment will be taken not to have been discharged in respect of that payment and the parties will be restored to the rights which each respectively would have had if that payment had not been made.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7"/>
          <w:szCs w:val="17"/>
          <w:b w:val="1"/>
          <w:bCs w:val="1"/>
          <w:color w:val="auto"/>
        </w:rPr>
        <w:t>Entire agreement</w:t>
      </w:r>
    </w:p>
    <w:p>
      <w:pPr>
        <w:spacing w:after="0" w:line="220"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 xml:space="preserve">This Agreement contains the entire agreement between the parties with respect to its subject matter. It sets out the only conduct, representations, warranties, covenants, conditions, agreements or understandings (collectively </w:t>
      </w:r>
      <w:r>
        <w:rPr>
          <w:rFonts w:ascii="Arial" w:cs="Arial" w:eastAsia="Arial" w:hAnsi="Arial"/>
          <w:sz w:val="18"/>
          <w:szCs w:val="18"/>
          <w:b w:val="1"/>
          <w:bCs w:val="1"/>
          <w:i w:val="1"/>
          <w:iCs w:val="1"/>
          <w:color w:val="auto"/>
        </w:rPr>
        <w:t>Conduct)</w:t>
      </w:r>
      <w:r>
        <w:rPr>
          <w:rFonts w:ascii="Arial" w:cs="Arial" w:eastAsia="Arial" w:hAnsi="Arial"/>
          <w:sz w:val="18"/>
          <w:szCs w:val="18"/>
          <w:color w:val="auto"/>
        </w:rPr>
        <w:t xml:space="preserve"> relied on by the parties and supersedes all earlier Conduct by or between the parties in connection with its subject matter. Neither party has relied on or is relying on any other Conduct in entering into this Agreement and completing the transactions contemplated by it.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7"/>
          <w:szCs w:val="17"/>
          <w:b w:val="1"/>
          <w:bCs w:val="1"/>
          <w:color w:val="auto"/>
        </w:rPr>
        <w:t>Amendment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amended only by another agreement executed by all the parties.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7"/>
          <w:szCs w:val="17"/>
          <w:b w:val="1"/>
          <w:bCs w:val="1"/>
          <w:color w:val="auto"/>
        </w:rPr>
        <w:t>Further assurances</w:t>
      </w:r>
    </w:p>
    <w:p>
      <w:pPr>
        <w:spacing w:after="0" w:line="220"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Each party must do anything necessary (including executing agreements and documents) to give full effect to this Agreement and the transactions contemplated by it.</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7"/>
          <w:szCs w:val="17"/>
          <w:b w:val="1"/>
          <w:bCs w:val="1"/>
          <w:color w:val="auto"/>
        </w:rPr>
        <w:t>Counterparts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executed in any number of counterparts. All counterparts together will be taken to constitute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83" w:name="page484"/>
    <w:bookmarkEnd w:id="483"/>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an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Phillips 66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126365</wp:posOffset>
            </wp:positionV>
            <wp:extent cx="1285875" cy="91694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8587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4" w:lineRule="auto"/>
        <w:rPr>
          <w:sz w:val="20"/>
          <w:szCs w:val="20"/>
          <w:color w:val="auto"/>
        </w:rPr>
      </w:pPr>
      <w:r>
        <w:rPr>
          <w:rFonts w:ascii="Arial" w:cs="Arial" w:eastAsia="Arial" w:hAnsi="Arial"/>
          <w:sz w:val="18"/>
          <w:szCs w:val="18"/>
          <w:color w:val="auto"/>
        </w:rPr>
        <w:t>Name: Timothy 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-127000</wp:posOffset>
            </wp:positionV>
            <wp:extent cx="249428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Executive Vice President, Midstream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484" w:name="page485"/>
    <w:bookmarkEnd w:id="484"/>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rFonts w:ascii="Arial" w:cs="Arial" w:eastAsia="Arial" w:hAnsi="Arial"/>
          <w:sz w:val="18"/>
          <w:szCs w:val="18"/>
          <w:b w:val="1"/>
          <w:bCs w:val="1"/>
          <w:color w:val="auto"/>
        </w:rPr>
        <w:t xml:space="preserve"> NOVONIX Limited </w:t>
      </w:r>
      <w:r>
        <w:rPr>
          <w:rFonts w:ascii="Arial" w:cs="Arial" w:eastAsia="Arial" w:hAnsi="Arial"/>
          <w:sz w:val="18"/>
          <w:szCs w:val="18"/>
          <w:color w:val="auto"/>
        </w:rPr>
        <w:t>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section 127 of the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Corporations Act 2001 </w:t>
      </w:r>
      <w:r>
        <w:rPr>
          <w:rFonts w:ascii="Arial" w:cs="Arial" w:eastAsia="Arial" w:hAnsi="Arial"/>
          <w:sz w:val="18"/>
          <w:szCs w:val="18"/>
          <w:color w:val="auto"/>
        </w:rPr>
        <w:t>(Cth):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143125" cy="52324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2143125" cy="52324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283210</wp:posOffset>
            </wp:positionV>
            <wp:extent cx="1543050" cy="3771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5430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c>
          <w:tcPr>
            <w:tcW w:w="1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w:t>
            </w: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strike w:val="1"/>
              </w:rPr>
              <w:t>director</w:t>
            </w:r>
          </w:p>
        </w:tc>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company secretary</w:t>
            </w:r>
          </w:p>
        </w:tc>
      </w:tr>
      <w:tr>
        <w:trPr>
          <w:trHeight w:val="404"/>
        </w:trPr>
        <w:tc>
          <w:tcPr>
            <w:tcW w:w="6200" w:type="dxa"/>
            <w:vAlign w:val="bottom"/>
            <w:gridSpan w:val="2"/>
          </w:tcPr>
          <w:p>
            <w:pPr>
              <w:ind w:left="100"/>
              <w:spacing w:after="0"/>
              <w:rPr>
                <w:sz w:val="20"/>
                <w:szCs w:val="20"/>
                <w:color w:val="auto"/>
              </w:rPr>
            </w:pPr>
            <w:r>
              <w:rPr>
                <w:rFonts w:ascii="Arial" w:cs="Arial" w:eastAsia="Arial" w:hAnsi="Arial"/>
                <w:sz w:val="18"/>
                <w:szCs w:val="18"/>
                <w:b w:val="1"/>
                <w:bCs w:val="1"/>
                <w:color w:val="auto"/>
              </w:rPr>
              <w:t>Anthony Bellas</w:t>
            </w:r>
          </w:p>
        </w:tc>
        <w:tc>
          <w:tcPr>
            <w:tcW w:w="5040" w:type="dxa"/>
            <w:vAlign w:val="bottom"/>
            <w:gridSpan w:val="3"/>
          </w:tcPr>
          <w:p>
            <w:pPr>
              <w:ind w:left="100"/>
              <w:spacing w:after="0"/>
              <w:rPr>
                <w:sz w:val="20"/>
                <w:szCs w:val="20"/>
                <w:color w:val="auto"/>
              </w:rPr>
            </w:pPr>
            <w:r>
              <w:rPr>
                <w:rFonts w:ascii="Arial" w:cs="Arial" w:eastAsia="Arial" w:hAnsi="Arial"/>
                <w:sz w:val="18"/>
                <w:szCs w:val="18"/>
                <w:b w:val="1"/>
                <w:bCs w:val="1"/>
                <w:color w:val="auto"/>
              </w:rPr>
              <w:t>Suzanne Yeates</w:t>
            </w:r>
          </w:p>
        </w:tc>
      </w:tr>
      <w:tr>
        <w:trPr>
          <w:trHeight w:val="210"/>
        </w:trPr>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1120" w:type="dxa"/>
            <w:vAlign w:val="bottom"/>
          </w:tcPr>
          <w:p>
            <w:pPr>
              <w:spacing w:after="0"/>
              <w:rPr>
                <w:sz w:val="18"/>
                <w:szCs w:val="18"/>
                <w:color w:val="auto"/>
              </w:rPr>
            </w:pPr>
          </w:p>
        </w:tc>
        <w:tc>
          <w:tcPr>
            <w:tcW w:w="5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Print Name</w:t>
            </w:r>
          </w:p>
        </w:tc>
      </w:tr>
      <w:tr>
        <w:trPr>
          <w:trHeight w:val="263"/>
        </w:trPr>
        <w:tc>
          <w:tcPr>
            <w:tcW w:w="50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r>
    </w:tbl>
    <w:p>
      <w:pPr>
        <w:sectPr>
          <w:pgSz w:w="11900" w:h="16838" w:orient="portrait"/>
          <w:cols w:equalWidth="0" w:num="1">
            <w:col w:w="11240"/>
          </w:cols>
          <w:pgMar w:left="320" w:top="319" w:right="339" w:bottom="1440" w:gutter="0" w:footer="0" w:header="0"/>
        </w:sectPr>
      </w:pPr>
    </w:p>
    <w:bookmarkStart w:id="485" w:name="page486"/>
    <w:bookmarkEnd w:id="48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8.1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240" w:type="dxa"/>
            <w:vAlign w:val="bottom"/>
            <w:gridSpan w:val="3"/>
          </w:tcPr>
          <w:p>
            <w:pPr>
              <w:ind w:left="3660"/>
              <w:spacing w:after="0"/>
              <w:rPr>
                <w:sz w:val="20"/>
                <w:szCs w:val="20"/>
                <w:color w:val="auto"/>
              </w:rPr>
            </w:pPr>
            <w:r>
              <w:rPr>
                <w:rFonts w:ascii="Arial" w:cs="Arial" w:eastAsia="Arial" w:hAnsi="Arial"/>
                <w:sz w:val="22"/>
                <w:szCs w:val="22"/>
                <w:b w:val="1"/>
                <w:bCs w:val="1"/>
                <w:color w:val="auto"/>
              </w:rPr>
              <w:t>List of Subsidiaries of NOVONIX Limited.</w:t>
            </w:r>
          </w:p>
        </w:tc>
      </w:tr>
      <w:tr>
        <w:trPr>
          <w:trHeight w:val="240"/>
        </w:trPr>
        <w:tc>
          <w:tcPr>
            <w:tcW w:w="5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r>
      <w:tr>
        <w:trPr>
          <w:trHeight w:val="198"/>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Country of</w:t>
            </w:r>
          </w:p>
        </w:tc>
      </w:tr>
      <w:tr>
        <w:trPr>
          <w:trHeight w:val="241"/>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Company Name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Incorporation</w:t>
            </w:r>
          </w:p>
        </w:tc>
      </w:tr>
      <w:tr>
        <w:trPr>
          <w:trHeight w:val="230"/>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J.C. Burns Holding Company Limited</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Canada</w:t>
            </w: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color w:val="auto"/>
              </w:rPr>
              <w:t>D.A. Stevens Holding Company Limited</w:t>
            </w:r>
          </w:p>
        </w:tc>
        <w:tc>
          <w:tcPr>
            <w:tcW w:w="550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GRA Operations Pty Ltd</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MD South Tenements Pty Ltd</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Novonix Corp.</w:t>
            </w:r>
          </w:p>
        </w:tc>
        <w:tc>
          <w:tcPr>
            <w:tcW w:w="5500" w:type="dxa"/>
            <w:vAlign w:val="bottom"/>
          </w:tcPr>
          <w:p>
            <w:pPr>
              <w:jc w:val="center"/>
              <w:spacing w:after="0"/>
              <w:rPr>
                <w:sz w:val="20"/>
                <w:szCs w:val="20"/>
                <w:color w:val="auto"/>
              </w:rPr>
            </w:pPr>
            <w:r>
              <w:rPr>
                <w:rFonts w:ascii="Arial" w:cs="Arial" w:eastAsia="Arial" w:hAnsi="Arial"/>
                <w:sz w:val="18"/>
                <w:szCs w:val="18"/>
                <w:color w:val="auto"/>
                <w:w w:val="90"/>
              </w:rPr>
              <w:t>United States (Delaware)</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NOVONIX Anode Materials LLC (f/k/a PureGraphite)</w:t>
            </w:r>
          </w:p>
        </w:tc>
        <w:tc>
          <w:tcPr>
            <w:tcW w:w="5500" w:type="dxa"/>
            <w:vAlign w:val="bottom"/>
          </w:tcPr>
          <w:p>
            <w:pPr>
              <w:jc w:val="center"/>
              <w:spacing w:after="0"/>
              <w:rPr>
                <w:sz w:val="20"/>
                <w:szCs w:val="20"/>
                <w:color w:val="auto"/>
              </w:rPr>
            </w:pPr>
            <w:r>
              <w:rPr>
                <w:rFonts w:ascii="Arial" w:cs="Arial" w:eastAsia="Arial" w:hAnsi="Arial"/>
                <w:sz w:val="18"/>
                <w:szCs w:val="18"/>
                <w:color w:val="auto"/>
                <w:w w:val="90"/>
              </w:rPr>
              <w:t>United States (Delaware)</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NOVONIX 1029 LLC</w:t>
            </w:r>
          </w:p>
        </w:tc>
        <w:tc>
          <w:tcPr>
            <w:tcW w:w="5500" w:type="dxa"/>
            <w:vAlign w:val="bottom"/>
          </w:tcPr>
          <w:p>
            <w:pPr>
              <w:jc w:val="center"/>
              <w:spacing w:after="0"/>
              <w:rPr>
                <w:sz w:val="20"/>
                <w:szCs w:val="20"/>
                <w:color w:val="auto"/>
              </w:rPr>
            </w:pPr>
            <w:r>
              <w:rPr>
                <w:rFonts w:ascii="Arial" w:cs="Arial" w:eastAsia="Arial" w:hAnsi="Arial"/>
                <w:sz w:val="18"/>
                <w:szCs w:val="18"/>
                <w:color w:val="auto"/>
                <w:w w:val="90"/>
              </w:rPr>
              <w:t>United States (Delaware)</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NOVONIX Battery Technology Solutions, Inc.</w:t>
            </w:r>
          </w:p>
        </w:tc>
        <w:tc>
          <w:tcPr>
            <w:tcW w:w="550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601"/>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963896"/>
    <w:multiLevelType w:val="hybridMultilevel"/>
    <w:lvl w:ilvl="0">
      <w:lvlJc w:val="left"/>
      <w:lvlText w:val="☒"/>
      <w:numFmt w:val="bullet"/>
      <w:start w:val="1"/>
    </w:lvl>
  </w:abstractNum>
  <w:abstractNum w:abstractNumId="1">
    <w:nsid w:val="775BA7C1"/>
    <w:multiLevelType w:val="hybridMultilevel"/>
    <w:lvl w:ilvl="0">
      <w:lvlJc w:val="left"/>
      <w:lvlText w:val="☐"/>
      <w:numFmt w:val="bullet"/>
      <w:start w:val="1"/>
    </w:lvl>
  </w:abstractNum>
  <w:abstractNum w:abstractNumId="2">
    <w:nsid w:val="1DD6D6F4"/>
    <w:multiLevelType w:val="hybridMultilevel"/>
    <w:lvl w:ilvl="0">
      <w:lvlJc w:val="left"/>
      <w:lvlText w:val="†"/>
      <w:numFmt w:val="bullet"/>
      <w:start w:val="1"/>
    </w:lvl>
  </w:abstractNum>
  <w:abstractNum w:abstractNumId="3">
    <w:nsid w:val="769A091F"/>
    <w:multiLevelType w:val="hybridMultilevel"/>
    <w:lvl w:ilvl="0">
      <w:lvlJc w:val="left"/>
      <w:lvlText w:val="["/>
      <w:numFmt w:val="bullet"/>
      <w:start w:val="1"/>
    </w:lvl>
  </w:abstractNum>
  <w:abstractNum w:abstractNumId="4">
    <w:nsid w:val="4695AE95"/>
    <w:multiLevelType w:val="hybridMultilevel"/>
    <w:lvl w:ilvl="0">
      <w:lvlJc w:val="left"/>
      <w:lvlText w:val="•"/>
      <w:numFmt w:val="bullet"/>
      <w:start w:val="1"/>
    </w:lvl>
  </w:abstractNum>
  <w:abstractNum w:abstractNumId="5">
    <w:nsid w:val="777A4EAA"/>
    <w:multiLevelType w:val="hybridMultilevel"/>
    <w:lvl w:ilvl="0">
      <w:lvlJc w:val="left"/>
      <w:lvlText w:val="•"/>
      <w:numFmt w:val="bullet"/>
      <w:start w:val="1"/>
    </w:lvl>
  </w:abstractNum>
  <w:abstractNum w:abstractNumId="6">
    <w:nsid w:val="3F48B982"/>
    <w:multiLevelType w:val="hybridMultilevel"/>
    <w:lvl w:ilvl="0">
      <w:lvlJc w:val="left"/>
      <w:lvlText w:val="%1."/>
      <w:numFmt w:val="upperLetter"/>
      <w:start w:val="1"/>
    </w:lvl>
  </w:abstractNum>
  <w:abstractNum w:abstractNumId="7">
    <w:nsid w:val="46BA8FCA"/>
    <w:multiLevelType w:val="hybridMultilevel"/>
    <w:lvl w:ilvl="0">
      <w:lvlJc w:val="left"/>
      <w:lvlText w:val="%1."/>
      <w:numFmt w:val="upperLetter"/>
      <w:start w:val="1"/>
    </w:lvl>
    <w:lvl w:ilvl="1">
      <w:lvlJc w:val="left"/>
      <w:lvlText w:val="•"/>
      <w:numFmt w:val="bullet"/>
      <w:start w:val="1"/>
    </w:lvl>
  </w:abstractNum>
  <w:abstractNum w:abstractNumId="8">
    <w:nsid w:val="7835626C"/>
    <w:multiLevelType w:val="hybridMultilevel"/>
    <w:lvl w:ilvl="0">
      <w:lvlJc w:val="left"/>
      <w:lvlText w:val="%1."/>
      <w:numFmt w:val="decimal"/>
      <w:start w:val="1"/>
    </w:lvl>
  </w:abstractNum>
  <w:abstractNum w:abstractNumId="9">
    <w:nsid w:val="665ACA49"/>
    <w:multiLevelType w:val="hybridMultilevel"/>
    <w:lvl w:ilvl="0">
      <w:lvlJc w:val="left"/>
      <w:lvlText w:val="%1."/>
      <w:numFmt w:val="upperLetter"/>
      <w:start w:val="3"/>
    </w:lvl>
  </w:abstractNum>
  <w:abstractNum w:abstractNumId="10">
    <w:nsid w:val="6835B2AE"/>
    <w:multiLevelType w:val="hybridMultilevel"/>
    <w:lvl w:ilvl="0">
      <w:lvlJc w:val="left"/>
      <w:lvlText w:val="•"/>
      <w:numFmt w:val="bullet"/>
      <w:start w:val="1"/>
    </w:lvl>
  </w:abstractNum>
  <w:abstractNum w:abstractNumId="11">
    <w:nsid w:val="4C187C90"/>
    <w:multiLevelType w:val="hybridMultilevel"/>
    <w:lvl w:ilvl="0">
      <w:lvlJc w:val="left"/>
      <w:lvlText w:val="•"/>
      <w:numFmt w:val="bullet"/>
      <w:start w:val="1"/>
    </w:lvl>
  </w:abstractNum>
  <w:abstractNum w:abstractNumId="12">
    <w:nsid w:val="541F28CD"/>
    <w:multiLevelType w:val="hybridMultilevel"/>
    <w:lvl w:ilvl="0">
      <w:lvlJc w:val="left"/>
      <w:lvlText w:val="•"/>
      <w:numFmt w:val="bullet"/>
      <w:start w:val="1"/>
    </w:lvl>
  </w:abstractNum>
  <w:abstractNum w:abstractNumId="13">
    <w:nsid w:val="7F65FD16"/>
    <w:multiLevelType w:val="hybridMultilevel"/>
    <w:lvl w:ilvl="0">
      <w:lvlJc w:val="left"/>
      <w:lvlText w:val="•"/>
      <w:numFmt w:val="bullet"/>
      <w:start w:val="1"/>
    </w:lvl>
  </w:abstractNum>
  <w:abstractNum w:abstractNumId="14">
    <w:nsid w:val="77C9FD68"/>
    <w:multiLevelType w:val="hybridMultilevel"/>
    <w:lvl w:ilvl="0">
      <w:lvlJc w:val="left"/>
      <w:lvlText w:val="•"/>
      <w:numFmt w:val="bullet"/>
      <w:start w:val="1"/>
    </w:lvl>
  </w:abstractNum>
  <w:abstractNum w:abstractNumId="15">
    <w:nsid w:val="298A92BA"/>
    <w:multiLevelType w:val="hybridMultilevel"/>
    <w:lvl w:ilvl="0">
      <w:lvlJc w:val="left"/>
      <w:lvlText w:val="•"/>
      <w:numFmt w:val="bullet"/>
      <w:start w:val="1"/>
    </w:lvl>
  </w:abstractNum>
  <w:abstractNum w:abstractNumId="16">
    <w:nsid w:val="6FE95EAC"/>
    <w:multiLevelType w:val="hybridMultilevel"/>
    <w:lvl w:ilvl="0">
      <w:lvlJc w:val="left"/>
      <w:lvlText w:val="•"/>
      <w:numFmt w:val="bullet"/>
      <w:start w:val="1"/>
    </w:lvl>
  </w:abstractNum>
  <w:abstractNum w:abstractNumId="17">
    <w:nsid w:val="4B697C7A"/>
    <w:multiLevelType w:val="hybridMultilevel"/>
    <w:lvl w:ilvl="0">
      <w:lvlJc w:val="left"/>
      <w:lvlText w:val="•"/>
      <w:numFmt w:val="bullet"/>
      <w:start w:val="1"/>
    </w:lvl>
  </w:abstractNum>
  <w:abstractNum w:abstractNumId="18">
    <w:nsid w:val="51A27AA6"/>
    <w:multiLevelType w:val="hybridMultilevel"/>
    <w:lvl w:ilvl="0">
      <w:lvlJc w:val="left"/>
      <w:lvlText w:val="•"/>
      <w:numFmt w:val="bullet"/>
      <w:start w:val="1"/>
    </w:lvl>
  </w:abstractNum>
  <w:abstractNum w:abstractNumId="19">
    <w:nsid w:val="613183F2"/>
    <w:multiLevelType w:val="hybridMultilevel"/>
    <w:lvl w:ilvl="0">
      <w:lvlJc w:val="left"/>
      <w:lvlText w:val="•"/>
      <w:numFmt w:val="bullet"/>
      <w:start w:val="1"/>
    </w:lvl>
  </w:abstractNum>
  <w:abstractNum w:abstractNumId="20">
    <w:nsid w:val="634102B4"/>
    <w:multiLevelType w:val="hybridMultilevel"/>
    <w:lvl w:ilvl="0">
      <w:lvlJc w:val="left"/>
      <w:lvlText w:val="•"/>
      <w:numFmt w:val="bullet"/>
      <w:start w:val="1"/>
    </w:lvl>
  </w:abstractNum>
  <w:abstractNum w:abstractNumId="21">
    <w:nsid w:val="65BF9DA8"/>
    <w:multiLevelType w:val="hybridMultilevel"/>
    <w:lvl w:ilvl="0">
      <w:lvlJc w:val="left"/>
      <w:lvlText w:val="•"/>
      <w:numFmt w:val="bullet"/>
      <w:start w:val="1"/>
    </w:lvl>
  </w:abstractNum>
  <w:abstractNum w:abstractNumId="22">
    <w:nsid w:val="21A2ECCA"/>
    <w:multiLevelType w:val="hybridMultilevel"/>
    <w:lvl w:ilvl="0">
      <w:lvlJc w:val="left"/>
      <w:lvlText w:val="%1."/>
      <w:numFmt w:val="upperLetter"/>
      <w:start w:val="2"/>
    </w:lvl>
  </w:abstractNum>
  <w:abstractNum w:abstractNumId="23">
    <w:nsid w:val="4D5C4899"/>
    <w:multiLevelType w:val="hybridMultilevel"/>
    <w:lvl w:ilvl="0">
      <w:lvlJc w:val="left"/>
      <w:lvlText w:val="•"/>
      <w:numFmt w:val="bullet"/>
      <w:start w:val="1"/>
    </w:lvl>
  </w:abstractNum>
  <w:abstractNum w:abstractNumId="24">
    <w:nsid w:val="3C3B72B2"/>
    <w:multiLevelType w:val="hybridMultilevel"/>
    <w:lvl w:ilvl="0">
      <w:lvlJc w:val="left"/>
      <w:lvlText w:val="•"/>
      <w:numFmt w:val="bullet"/>
      <w:start w:val="1"/>
    </w:lvl>
  </w:abstractNum>
  <w:abstractNum w:abstractNumId="25">
    <w:nsid w:val="155EC4C2"/>
    <w:multiLevelType w:val="hybridMultilevel"/>
    <w:lvl w:ilvl="0">
      <w:lvlJc w:val="left"/>
      <w:lvlText w:val="•"/>
      <w:numFmt w:val="bullet"/>
      <w:start w:val="1"/>
    </w:lvl>
  </w:abstractNum>
  <w:abstractNum w:abstractNumId="26">
    <w:nsid w:val="65D2A137"/>
    <w:multiLevelType w:val="hybridMultilevel"/>
    <w:lvl w:ilvl="0">
      <w:lvlJc w:val="left"/>
      <w:lvlText w:val="(%1)"/>
      <w:numFmt w:val="decimal"/>
      <w:start w:val="2"/>
    </w:lvl>
  </w:abstractNum>
  <w:abstractNum w:abstractNumId="27">
    <w:nsid w:val="6EBB1F2A"/>
    <w:multiLevelType w:val="hybridMultilevel"/>
    <w:lvl w:ilvl="0">
      <w:lvlJc w:val="left"/>
      <w:lvlText w:val="%1."/>
      <w:numFmt w:val="decimal"/>
      <w:start w:val="1"/>
    </w:lvl>
  </w:abstractNum>
  <w:abstractNum w:abstractNumId="28">
    <w:nsid w:val="6FBF29CB"/>
    <w:multiLevelType w:val="hybridMultilevel"/>
    <w:lvl w:ilvl="0">
      <w:lvlJc w:val="left"/>
      <w:lvlText w:val="•"/>
      <w:numFmt w:val="bullet"/>
      <w:start w:val="1"/>
    </w:lvl>
  </w:abstractNum>
  <w:abstractNum w:abstractNumId="29">
    <w:nsid w:val="550B8808"/>
    <w:multiLevelType w:val="hybridMultilevel"/>
    <w:lvl w:ilvl="0">
      <w:lvlJc w:val="left"/>
      <w:lvlText w:val="%1."/>
      <w:numFmt w:val="upperLetter"/>
      <w:start w:val="2"/>
    </w:lvl>
    <w:lvl w:ilvl="1">
      <w:lvlJc w:val="left"/>
      <w:lvlText w:val="•"/>
      <w:numFmt w:val="bullet"/>
      <w:start w:val="1"/>
    </w:lvl>
  </w:abstractNum>
  <w:abstractNum w:abstractNumId="30">
    <w:nsid w:val="34CC3ACF"/>
    <w:multiLevelType w:val="hybridMultilevel"/>
    <w:lvl w:ilvl="0">
      <w:lvlJc w:val="left"/>
      <w:lvlText w:val="%1."/>
      <w:numFmt w:val="upperLetter"/>
      <w:start w:val="1"/>
    </w:lvl>
  </w:abstractNum>
  <w:abstractNum w:abstractNumId="31">
    <w:nsid w:val="4E556261"/>
    <w:multiLevelType w:val="hybridMultilevel"/>
    <w:lvl w:ilvl="0">
      <w:lvlJc w:val="left"/>
      <w:lvlText w:val="•"/>
      <w:numFmt w:val="bullet"/>
      <w:start w:val="1"/>
    </w:lvl>
  </w:abstractNum>
  <w:abstractNum w:abstractNumId="32">
    <w:nsid w:val="4C672FC9"/>
    <w:multiLevelType w:val="hybridMultilevel"/>
    <w:lvl w:ilvl="0">
      <w:lvlJc w:val="left"/>
      <w:lvlText w:val="%1."/>
      <w:numFmt w:val="upperLetter"/>
      <w:start w:val="2"/>
    </w:lvl>
  </w:abstractNum>
  <w:abstractNum w:abstractNumId="33">
    <w:nsid w:val="52A311C3"/>
    <w:multiLevelType w:val="hybridMultilevel"/>
    <w:lvl w:ilvl="0">
      <w:lvlJc w:val="left"/>
      <w:lvlText w:val="•"/>
      <w:numFmt w:val="bullet"/>
      <w:start w:val="1"/>
    </w:lvl>
  </w:abstractNum>
  <w:abstractNum w:abstractNumId="34">
    <w:nsid w:val="44EF6B80"/>
    <w:multiLevelType w:val="hybridMultilevel"/>
    <w:lvl w:ilvl="0">
      <w:lvlJc w:val="left"/>
      <w:lvlText w:val="•"/>
      <w:numFmt w:val="bullet"/>
      <w:start w:val="1"/>
    </w:lvl>
  </w:abstractNum>
  <w:abstractNum w:abstractNumId="35">
    <w:nsid w:val="12FCDE5E"/>
    <w:multiLevelType w:val="hybridMultilevel"/>
    <w:lvl w:ilvl="0">
      <w:lvlJc w:val="left"/>
      <w:lvlText w:val="•"/>
      <w:numFmt w:val="bullet"/>
      <w:start w:val="1"/>
    </w:lvl>
  </w:abstractNum>
  <w:abstractNum w:abstractNumId="36">
    <w:nsid w:val="4A1D606E"/>
    <w:multiLevelType w:val="hybridMultilevel"/>
    <w:lvl w:ilvl="0">
      <w:lvlJc w:val="left"/>
      <w:lvlText w:val="%1."/>
      <w:numFmt w:val="upperLetter"/>
      <w:start w:val="5"/>
    </w:lvl>
  </w:abstractNum>
  <w:abstractNum w:abstractNumId="37">
    <w:nsid w:val="4382503"/>
    <w:multiLevelType w:val="hybridMultilevel"/>
    <w:lvl w:ilvl="0">
      <w:lvlJc w:val="left"/>
      <w:lvlText w:val="(%1)"/>
      <w:numFmt w:val="decimal"/>
      <w:start w:val="1"/>
    </w:lvl>
  </w:abstractNum>
  <w:abstractNum w:abstractNumId="38">
    <w:nsid w:val="59B76E28"/>
    <w:multiLevelType w:val="hybridMultilevel"/>
    <w:lvl w:ilvl="0">
      <w:lvlJc w:val="left"/>
      <w:lvlText w:val="%1."/>
      <w:numFmt w:val="upperLetter"/>
      <w:start w:val="2"/>
    </w:lvl>
  </w:abstractNum>
  <w:abstractNum w:abstractNumId="39">
    <w:nsid w:val="4252C2DA"/>
    <w:multiLevelType w:val="hybridMultilevel"/>
    <w:lvl w:ilvl="0">
      <w:lvlJc w:val="left"/>
      <w:lvlText w:val="•"/>
      <w:numFmt w:val="bullet"/>
      <w:start w:val="1"/>
    </w:lvl>
  </w:abstractNum>
  <w:abstractNum w:abstractNumId="40">
    <w:nsid w:val="6A92EF4C"/>
    <w:multiLevelType w:val="hybridMultilevel"/>
    <w:lvl w:ilvl="0">
      <w:lvlJc w:val="left"/>
      <w:lvlText w:val="(%1)"/>
      <w:numFmt w:val="decimal"/>
      <w:start w:val="1"/>
    </w:lvl>
  </w:abstractNum>
  <w:abstractNum w:abstractNumId="41">
    <w:nsid w:val="41ED20D7"/>
    <w:multiLevelType w:val="hybridMultilevel"/>
    <w:lvl w:ilvl="0">
      <w:lvlJc w:val="left"/>
      <w:lvlText w:val="%1."/>
      <w:numFmt w:val="upperLetter"/>
      <w:start w:val="3"/>
    </w:lvl>
  </w:abstractNum>
  <w:abstractNum w:abstractNumId="42">
    <w:nsid w:val="E6B3F6A"/>
    <w:multiLevelType w:val="hybridMultilevel"/>
    <w:lvl w:ilvl="0">
      <w:lvlJc w:val="left"/>
      <w:lvlText w:val="•"/>
      <w:numFmt w:val="bullet"/>
      <w:start w:val="1"/>
    </w:lvl>
  </w:abstractNum>
  <w:abstractNum w:abstractNumId="43">
    <w:nsid w:val="3EB21819"/>
    <w:multiLevelType w:val="hybridMultilevel"/>
    <w:lvl w:ilvl="0">
      <w:lvlJc w:val="left"/>
      <w:lvlText w:val="•"/>
      <w:numFmt w:val="bullet"/>
      <w:start w:val="1"/>
    </w:lvl>
  </w:abstractNum>
  <w:abstractNum w:abstractNumId="44">
    <w:nsid w:val="41531DED"/>
    <w:multiLevelType w:val="hybridMultilevel"/>
    <w:lvl w:ilvl="0">
      <w:lvlJc w:val="left"/>
      <w:lvlText w:val="•"/>
      <w:numFmt w:val="bullet"/>
      <w:start w:val="1"/>
    </w:lvl>
  </w:abstractNum>
  <w:abstractNum w:abstractNumId="45">
    <w:nsid w:val="6353CD2"/>
    <w:multiLevelType w:val="hybridMultilevel"/>
    <w:lvl w:ilvl="0">
      <w:lvlJc w:val="left"/>
      <w:lvlText w:val="•"/>
      <w:numFmt w:val="bullet"/>
      <w:start w:val="1"/>
    </w:lvl>
  </w:abstractNum>
  <w:abstractNum w:abstractNumId="46">
    <w:nsid w:val="683CAAD3"/>
    <w:multiLevelType w:val="hybridMultilevel"/>
    <w:lvl w:ilvl="0">
      <w:lvlJc w:val="left"/>
      <w:lvlText w:val="•"/>
      <w:numFmt w:val="bullet"/>
      <w:start w:val="1"/>
    </w:lvl>
  </w:abstractNum>
  <w:abstractNum w:abstractNumId="47">
    <w:nsid w:val="313C7C99"/>
    <w:multiLevelType w:val="hybridMultilevel"/>
    <w:lvl w:ilvl="0">
      <w:lvlJc w:val="left"/>
      <w:lvlText w:val="•"/>
      <w:numFmt w:val="bullet"/>
      <w:start w:val="1"/>
    </w:lvl>
  </w:abstractNum>
  <w:abstractNum w:abstractNumId="48">
    <w:nsid w:val="519EB94C"/>
    <w:multiLevelType w:val="hybridMultilevel"/>
    <w:lvl w:ilvl="0">
      <w:lvlJc w:val="left"/>
      <w:lvlText w:val="•"/>
      <w:numFmt w:val="bullet"/>
      <w:start w:val="1"/>
    </w:lvl>
  </w:abstractNum>
  <w:abstractNum w:abstractNumId="49">
    <w:nsid w:val="39DF2579"/>
    <w:multiLevelType w:val="hybridMultilevel"/>
    <w:lvl w:ilvl="0">
      <w:lvlJc w:val="left"/>
      <w:lvlText w:val="%1."/>
      <w:numFmt w:val="upperLetter"/>
      <w:start w:val="5"/>
    </w:lvl>
  </w:abstractNum>
  <w:abstractNum w:abstractNumId="50">
    <w:nsid w:val="126E008B"/>
    <w:multiLevelType w:val="hybridMultilevel"/>
    <w:lvl w:ilvl="0">
      <w:lvlJc w:val="left"/>
      <w:lvlText w:val="•"/>
      <w:numFmt w:val="bullet"/>
      <w:start w:val="1"/>
    </w:lvl>
  </w:abstractNum>
  <w:abstractNum w:abstractNumId="51">
    <w:nsid w:val="34DFBC00"/>
    <w:multiLevelType w:val="hybridMultilevel"/>
    <w:lvl w:ilvl="0">
      <w:lvlJc w:val="left"/>
      <w:lvlText w:val="*"/>
      <w:numFmt w:val="bullet"/>
      <w:start w:val="1"/>
    </w:lvl>
  </w:abstractNum>
  <w:abstractNum w:abstractNumId="52">
    <w:nsid w:val="1F9EC322"/>
    <w:multiLevelType w:val="hybridMultilevel"/>
    <w:lvl w:ilvl="0">
      <w:lvlJc w:val="left"/>
      <w:lvlText w:val="(%1)"/>
      <w:numFmt w:val="decimal"/>
      <w:start w:val="1"/>
    </w:lvl>
  </w:abstractNum>
  <w:abstractNum w:abstractNumId="53">
    <w:nsid w:val="3410ED56"/>
    <w:multiLevelType w:val="hybridMultilevel"/>
    <w:lvl w:ilvl="0">
      <w:lvlJc w:val="left"/>
      <w:lvlText w:val="(%1)"/>
      <w:numFmt w:val="decimal"/>
      <w:start w:val="1"/>
    </w:lvl>
  </w:abstractNum>
  <w:abstractNum w:abstractNumId="54">
    <w:nsid w:val="23C049A"/>
    <w:multiLevelType w:val="hybridMultilevel"/>
    <w:lvl w:ilvl="0">
      <w:lvlJc w:val="left"/>
      <w:lvlText w:val="%1."/>
      <w:numFmt w:val="upperLetter"/>
      <w:start w:val="2"/>
    </w:lvl>
  </w:abstractNum>
  <w:abstractNum w:abstractNumId="55">
    <w:nsid w:val="5BDA35D4"/>
    <w:multiLevelType w:val="hybridMultilevel"/>
    <w:lvl w:ilvl="0">
      <w:lvlJc w:val="left"/>
      <w:lvlText w:val="•"/>
      <w:numFmt w:val="bullet"/>
      <w:start w:val="1"/>
    </w:lvl>
  </w:abstractNum>
  <w:abstractNum w:abstractNumId="56">
    <w:nsid w:val="496FB218"/>
    <w:multiLevelType w:val="hybridMultilevel"/>
    <w:lvl w:ilvl="0">
      <w:lvlJc w:val="left"/>
      <w:lvlText w:val="•"/>
      <w:numFmt w:val="bullet"/>
      <w:start w:val="1"/>
    </w:lvl>
  </w:abstractNum>
  <w:abstractNum w:abstractNumId="57">
    <w:nsid w:val="680EA5D1"/>
    <w:multiLevelType w:val="hybridMultilevel"/>
    <w:lvl w:ilvl="0">
      <w:lvlJc w:val="left"/>
      <w:lvlText w:val="%1."/>
      <w:numFmt w:val="upperLetter"/>
      <w:start w:val="3"/>
    </w:lvl>
  </w:abstractNum>
  <w:abstractNum w:abstractNumId="58">
    <w:nsid w:val="4A9554FE"/>
    <w:multiLevelType w:val="hybridMultilevel"/>
    <w:lvl w:ilvl="0">
      <w:lvlJc w:val="left"/>
      <w:lvlText w:val="%1."/>
      <w:numFmt w:val="upperLetter"/>
      <w:start w:val="2"/>
    </w:lvl>
  </w:abstractNum>
  <w:abstractNum w:abstractNumId="59">
    <w:nsid w:val="392EDBE4"/>
    <w:multiLevelType w:val="hybridMultilevel"/>
    <w:lvl w:ilvl="0">
      <w:lvlJc w:val="left"/>
      <w:lvlText w:val="%1."/>
      <w:numFmt w:val="upperLetter"/>
      <w:start w:val="2"/>
    </w:lvl>
  </w:abstractNum>
  <w:abstractNum w:abstractNumId="60">
    <w:nsid w:val="3D1A2DD9"/>
    <w:multiLevelType w:val="hybridMultilevel"/>
    <w:lvl w:ilvl="0">
      <w:lvlJc w:val="left"/>
      <w:lvlText w:val="%1."/>
      <w:numFmt w:val="upperLetter"/>
      <w:start w:val="4"/>
    </w:lvl>
  </w:abstractNum>
  <w:abstractNum w:abstractNumId="61">
    <w:nsid w:val="7F618FCD"/>
    <w:multiLevelType w:val="hybridMultilevel"/>
    <w:lvl w:ilvl="0">
      <w:lvlJc w:val="left"/>
      <w:lvlText w:val="%1."/>
      <w:numFmt w:val="upperLetter"/>
      <w:start w:val="1"/>
    </w:lvl>
  </w:abstractNum>
  <w:abstractNum w:abstractNumId="62">
    <w:nsid w:val="7843E45"/>
    <w:multiLevelType w:val="hybridMultilevel"/>
    <w:lvl w:ilvl="0">
      <w:lvlJc w:val="left"/>
      <w:lvlText w:val="(%1)"/>
      <w:numFmt w:val="lowerRoman"/>
      <w:start w:val="2"/>
    </w:lvl>
  </w:abstractNum>
  <w:abstractNum w:abstractNumId="63">
    <w:nsid w:val="9815DA3"/>
    <w:multiLevelType w:val="hybridMultilevel"/>
    <w:lvl w:ilvl="0">
      <w:lvlJc w:val="left"/>
      <w:lvlText w:val="%1"/>
      <w:numFmt w:val="upperLetter"/>
      <w:start w:val="1"/>
    </w:lvl>
    <w:lvl w:ilvl="1">
      <w:lvlJc w:val="left"/>
      <w:lvlText w:val="•"/>
      <w:numFmt w:val="bullet"/>
      <w:start w:val="1"/>
    </w:lvl>
  </w:abstractNum>
  <w:abstractNum w:abstractNumId="64">
    <w:nsid w:val="5204A191"/>
    <w:multiLevelType w:val="hybridMultilevel"/>
    <w:lvl w:ilvl="0">
      <w:lvlJc w:val="left"/>
      <w:lvlText w:val="•"/>
      <w:numFmt w:val="bullet"/>
      <w:start w:val="1"/>
    </w:lvl>
  </w:abstractNum>
  <w:abstractNum w:abstractNumId="65">
    <w:nsid w:val="4C73A9C6"/>
    <w:multiLevelType w:val="hybridMultilevel"/>
    <w:lvl w:ilvl="0">
      <w:lvlJc w:val="left"/>
      <w:lvlText w:val="•"/>
      <w:numFmt w:val="bullet"/>
      <w:start w:val="1"/>
    </w:lvl>
  </w:abstractNum>
  <w:abstractNum w:abstractNumId="66">
    <w:nsid w:val="1C7E3C01"/>
    <w:multiLevelType w:val="hybridMultilevel"/>
    <w:lvl w:ilvl="0">
      <w:lvlJc w:val="left"/>
      <w:lvlText w:val="•"/>
      <w:numFmt w:val="bullet"/>
      <w:start w:val="1"/>
    </w:lvl>
  </w:abstractNum>
  <w:abstractNum w:abstractNumId="67">
    <w:nsid w:val="1C2201FF"/>
    <w:multiLevelType w:val="hybridMultilevel"/>
    <w:lvl w:ilvl="0">
      <w:lvlJc w:val="left"/>
      <w:lvlText w:val="•"/>
      <w:numFmt w:val="bullet"/>
      <w:start w:val="1"/>
    </w:lvl>
  </w:abstractNum>
  <w:abstractNum w:abstractNumId="68">
    <w:nsid w:val="50ABCEC9"/>
    <w:multiLevelType w:val="hybridMultilevel"/>
    <w:lvl w:ilvl="0">
      <w:lvlJc w:val="left"/>
      <w:lvlText w:val="•"/>
      <w:numFmt w:val="bullet"/>
      <w:start w:val="1"/>
    </w:lvl>
  </w:abstractNum>
  <w:abstractNum w:abstractNumId="69">
    <w:nsid w:val="7635AA2A"/>
    <w:multiLevelType w:val="hybridMultilevel"/>
    <w:lvl w:ilvl="0">
      <w:lvlJc w:val="left"/>
      <w:lvlText w:val="•"/>
      <w:numFmt w:val="bullet"/>
      <w:start w:val="1"/>
    </w:lvl>
    <w:lvl w:ilvl="1">
      <w:lvlJc w:val="left"/>
      <w:lvlText w:val="○"/>
      <w:numFmt w:val="bullet"/>
      <w:start w:val="1"/>
    </w:lvl>
  </w:abstractNum>
  <w:abstractNum w:abstractNumId="70">
    <w:nsid w:val="5E74C4D9"/>
    <w:multiLevelType w:val="hybridMultilevel"/>
    <w:lvl w:ilvl="0">
      <w:lvlJc w:val="left"/>
      <w:lvlText w:val="•"/>
      <w:numFmt w:val="bullet"/>
      <w:start w:val="1"/>
    </w:lvl>
  </w:abstractNum>
  <w:abstractNum w:abstractNumId="71">
    <w:nsid w:val="3B3EBE15"/>
    <w:multiLevelType w:val="hybridMultilevel"/>
    <w:lvl w:ilvl="0">
      <w:lvlJc w:val="left"/>
      <w:lvlText w:val="%1."/>
      <w:numFmt w:val="upperLetter"/>
      <w:start w:val="5"/>
    </w:lvl>
  </w:abstractNum>
  <w:abstractNum w:abstractNumId="72">
    <w:nsid w:val="3822CB01"/>
    <w:multiLevelType w:val="hybridMultilevel"/>
    <w:lvl w:ilvl="0">
      <w:lvlJc w:val="left"/>
      <w:lvlText w:val="•"/>
      <w:numFmt w:val="bullet"/>
      <w:start w:val="1"/>
    </w:lvl>
  </w:abstractNum>
  <w:abstractNum w:abstractNumId="73">
    <w:nsid w:val="6CE00443"/>
    <w:multiLevelType w:val="hybridMultilevel"/>
    <w:lvl w:ilvl="0">
      <w:lvlJc w:val="left"/>
      <w:lvlText w:val="•"/>
      <w:numFmt w:val="bullet"/>
      <w:start w:val="1"/>
    </w:lvl>
  </w:abstractNum>
  <w:abstractNum w:abstractNumId="74">
    <w:nsid w:val="79F0D62F"/>
    <w:multiLevelType w:val="hybridMultilevel"/>
    <w:lvl w:ilvl="0">
      <w:lvlJc w:val="left"/>
      <w:lvlText w:val="•"/>
      <w:numFmt w:val="bullet"/>
      <w:start w:val="1"/>
    </w:lvl>
  </w:abstractNum>
  <w:abstractNum w:abstractNumId="75">
    <w:nsid w:val="7975E8EE"/>
    <w:multiLevelType w:val="hybridMultilevel"/>
    <w:lvl w:ilvl="0">
      <w:lvlJc w:val="left"/>
      <w:lvlText w:val="(%1)"/>
      <w:numFmt w:val="lowerLetter"/>
      <w:start w:val="2"/>
    </w:lvl>
  </w:abstractNum>
  <w:abstractNum w:abstractNumId="76">
    <w:nsid w:val="73154115"/>
    <w:multiLevelType w:val="hybridMultilevel"/>
    <w:lvl w:ilvl="0">
      <w:lvlJc w:val="left"/>
      <w:lvlText w:val="•"/>
      <w:numFmt w:val="bullet"/>
      <w:start w:val="1"/>
    </w:lvl>
  </w:abstractNum>
  <w:abstractNum w:abstractNumId="77">
    <w:nsid w:val="622D8102"/>
    <w:multiLevelType w:val="hybridMultilevel"/>
    <w:lvl w:ilvl="0">
      <w:lvlJc w:val="left"/>
      <w:lvlText w:val="%1."/>
      <w:numFmt w:val="upperLetter"/>
      <w:start w:val="6"/>
    </w:lvl>
  </w:abstractNum>
  <w:abstractNum w:abstractNumId="78">
    <w:nsid w:val="2AB26587"/>
    <w:multiLevelType w:val="hybridMultilevel"/>
    <w:lvl w:ilvl="0">
      <w:lvlJc w:val="left"/>
      <w:lvlText w:val="%1."/>
      <w:numFmt w:val="upperLetter"/>
      <w:start w:val="9"/>
    </w:lvl>
  </w:abstractNum>
  <w:abstractNum w:abstractNumId="79">
    <w:nsid w:val="44B3FA61"/>
    <w:multiLevelType w:val="hybridMultilevel"/>
    <w:lvl w:ilvl="0">
      <w:lvlJc w:val="left"/>
      <w:lvlText w:val="%1."/>
      <w:numFmt w:val="upperLetter"/>
      <w:start w:val="1"/>
    </w:lvl>
  </w:abstractNum>
  <w:abstractNum w:abstractNumId="80">
    <w:nsid w:val="1C0CA67C"/>
    <w:multiLevelType w:val="hybridMultilevel"/>
    <w:lvl w:ilvl="0">
      <w:lvlJc w:val="left"/>
      <w:lvlText w:val="["/>
      <w:numFmt w:val="bullet"/>
      <w:start w:val="1"/>
    </w:lvl>
  </w:abstractNum>
  <w:abstractNum w:abstractNumId="81">
    <w:nsid w:val="3D206613"/>
    <w:multiLevelType w:val="hybridMultilevel"/>
    <w:lvl w:ilvl="0">
      <w:lvlJc w:val="left"/>
      <w:lvlText w:val="["/>
      <w:numFmt w:val="bullet"/>
      <w:start w:val="1"/>
    </w:lvl>
  </w:abstractNum>
  <w:abstractNum w:abstractNumId="82">
    <w:nsid w:val="7993B662"/>
    <w:multiLevelType w:val="hybridMultilevel"/>
    <w:lvl w:ilvl="0">
      <w:lvlJc w:val="left"/>
      <w:lvlText w:val="•"/>
      <w:numFmt w:val="bullet"/>
      <w:start w:val="1"/>
    </w:lvl>
  </w:abstractNum>
  <w:abstractNum w:abstractNumId="83">
    <w:nsid w:val="3BAB699E"/>
    <w:multiLevelType w:val="hybridMultilevel"/>
    <w:lvl w:ilvl="0">
      <w:lvlJc w:val="left"/>
      <w:lvlText w:val="•"/>
      <w:numFmt w:val="bullet"/>
      <w:start w:val="1"/>
    </w:lvl>
  </w:abstractNum>
  <w:abstractNum w:abstractNumId="84">
    <w:nsid w:val="71315369"/>
    <w:multiLevelType w:val="hybridMultilevel"/>
    <w:lvl w:ilvl="0">
      <w:lvlJc w:val="left"/>
      <w:lvlText w:val="•"/>
      <w:numFmt w:val="bullet"/>
      <w:start w:val="1"/>
    </w:lvl>
  </w:abstractNum>
  <w:abstractNum w:abstractNumId="85">
    <w:nsid w:val="7BCFBAFC"/>
    <w:multiLevelType w:val="hybridMultilevel"/>
    <w:lvl w:ilvl="0">
      <w:lvlJc w:val="left"/>
      <w:lvlText w:val="•"/>
      <w:numFmt w:val="bullet"/>
      <w:start w:val="1"/>
    </w:lvl>
  </w:abstractNum>
  <w:abstractNum w:abstractNumId="86">
    <w:nsid w:val="17859F72"/>
    <w:multiLevelType w:val="hybridMultilevel"/>
    <w:lvl w:ilvl="0">
      <w:lvlJc w:val="left"/>
      <w:lvlText w:val="•"/>
      <w:numFmt w:val="bullet"/>
      <w:start w:val="1"/>
    </w:lvl>
  </w:abstractNum>
  <w:abstractNum w:abstractNumId="87">
    <w:nsid w:val="3AA10581"/>
    <w:multiLevelType w:val="hybridMultilevel"/>
    <w:lvl w:ilvl="0">
      <w:lvlJc w:val="left"/>
      <w:lvlText w:val="•"/>
      <w:numFmt w:val="bullet"/>
      <w:start w:val="1"/>
    </w:lvl>
  </w:abstractNum>
  <w:abstractNum w:abstractNumId="88">
    <w:nsid w:val="63DE60CD"/>
    <w:multiLevelType w:val="hybridMultilevel"/>
    <w:lvl w:ilvl="0">
      <w:lvlJc w:val="left"/>
      <w:lvlText w:val="•"/>
      <w:numFmt w:val="bullet"/>
      <w:start w:val="1"/>
    </w:lvl>
  </w:abstractNum>
  <w:abstractNum w:abstractNumId="89">
    <w:nsid w:val="621AF471"/>
    <w:multiLevelType w:val="hybridMultilevel"/>
    <w:lvl w:ilvl="0">
      <w:lvlJc w:val="left"/>
      <w:lvlText w:val="•"/>
      <w:numFmt w:val="bullet"/>
      <w:start w:val="1"/>
    </w:lvl>
  </w:abstractNum>
  <w:abstractNum w:abstractNumId="90">
    <w:nsid w:val="73CFE165"/>
    <w:multiLevelType w:val="hybridMultilevel"/>
    <w:lvl w:ilvl="0">
      <w:lvlJc w:val="left"/>
      <w:lvlText w:val="(%1)"/>
      <w:numFmt w:val="lowerRoman"/>
      <w:start w:val="2"/>
    </w:lvl>
  </w:abstractNum>
  <w:abstractNum w:abstractNumId="91">
    <w:nsid w:val="20F88EA6"/>
    <w:multiLevelType w:val="hybridMultilevel"/>
    <w:lvl w:ilvl="0">
      <w:lvlJc w:val="left"/>
      <w:lvlText w:val="•"/>
      <w:numFmt w:val="bullet"/>
      <w:start w:val="1"/>
    </w:lvl>
  </w:abstractNum>
  <w:abstractNum w:abstractNumId="92">
    <w:nsid w:val="617C843E"/>
    <w:multiLevelType w:val="hybridMultilevel"/>
    <w:lvl w:ilvl="0">
      <w:lvlJc w:val="left"/>
      <w:lvlText w:val="•"/>
      <w:numFmt w:val="bullet"/>
      <w:start w:val="1"/>
    </w:lvl>
  </w:abstractNum>
  <w:abstractNum w:abstractNumId="93">
    <w:nsid w:val="7B541FAB"/>
    <w:multiLevelType w:val="hybridMultilevel"/>
    <w:lvl w:ilvl="0">
      <w:lvlJc w:val="left"/>
      <w:lvlText w:val="•"/>
      <w:numFmt w:val="bullet"/>
      <w:start w:val="1"/>
    </w:lvl>
  </w:abstractNum>
  <w:abstractNum w:abstractNumId="94">
    <w:nsid w:val="2A79EC49"/>
    <w:multiLevelType w:val="hybridMultilevel"/>
    <w:lvl w:ilvl="0">
      <w:lvlJc w:val="left"/>
      <w:lvlText w:val="*"/>
      <w:numFmt w:val="bullet"/>
      <w:start w:val="1"/>
    </w:lvl>
  </w:abstractNum>
  <w:abstractNum w:abstractNumId="95">
    <w:nsid w:val="338125CF"/>
    <w:multiLevelType w:val="hybridMultilevel"/>
    <w:lvl w:ilvl="0">
      <w:lvlJc w:val="left"/>
      <w:lvlText w:val="†"/>
      <w:numFmt w:val="bullet"/>
      <w:start w:val="1"/>
    </w:lvl>
  </w:abstractNum>
  <w:abstractNum w:abstractNumId="96">
    <w:nsid w:val="47C7C971"/>
    <w:multiLevelType w:val="hybridMultilevel"/>
    <w:lvl w:ilvl="0">
      <w:lvlJc w:val="left"/>
      <w:lvlText w:val="-"/>
      <w:numFmt w:val="bullet"/>
      <w:start w:val="1"/>
    </w:lvl>
  </w:abstractNum>
  <w:abstractNum w:abstractNumId="97">
    <w:nsid w:val="46F8284B"/>
    <w:multiLevelType w:val="hybridMultilevel"/>
    <w:lvl w:ilvl="0">
      <w:lvlJc w:val="left"/>
      <w:lvlText w:val="%1."/>
      <w:numFmt w:val="lowerLetter"/>
      <w:start w:val="1"/>
    </w:lvl>
  </w:abstractNum>
  <w:abstractNum w:abstractNumId="98">
    <w:nsid w:val="4FA327CE"/>
    <w:multiLevelType w:val="hybridMultilevel"/>
    <w:lvl w:ilvl="0">
      <w:lvlJc w:val="left"/>
      <w:lvlText w:val="%1."/>
      <w:numFmt w:val="lowerLetter"/>
      <w:start w:val="2"/>
    </w:lvl>
  </w:abstractNum>
  <w:abstractNum w:abstractNumId="99">
    <w:nsid w:val="1873983A"/>
    <w:multiLevelType w:val="hybridMultilevel"/>
    <w:lvl w:ilvl="0">
      <w:lvlJc w:val="left"/>
      <w:lvlText w:val="•"/>
      <w:numFmt w:val="bullet"/>
      <w:start w:val="1"/>
    </w:lvl>
  </w:abstractNum>
  <w:abstractNum w:abstractNumId="100">
    <w:nsid w:val="3D2DD275"/>
    <w:multiLevelType w:val="hybridMultilevel"/>
    <w:lvl w:ilvl="0">
      <w:lvlJc w:val="left"/>
      <w:lvlText w:val="%1."/>
      <w:numFmt w:val="lowerLetter"/>
      <w:start w:val="3"/>
    </w:lvl>
  </w:abstractNum>
  <w:abstractNum w:abstractNumId="101">
    <w:nsid w:val="2E17ECA7"/>
    <w:multiLevelType w:val="hybridMultilevel"/>
    <w:lvl w:ilvl="0">
      <w:lvlJc w:val="left"/>
      <w:lvlText w:val="%1."/>
      <w:numFmt w:val="lowerLetter"/>
      <w:start w:val="4"/>
    </w:lvl>
  </w:abstractNum>
  <w:abstractNum w:abstractNumId="102">
    <w:nsid w:val="53B2564F"/>
    <w:multiLevelType w:val="hybridMultilevel"/>
    <w:lvl w:ilvl="0">
      <w:lvlJc w:val="left"/>
      <w:lvlText w:val="%1."/>
      <w:numFmt w:val="lowerLetter"/>
      <w:start w:val="5"/>
    </w:lvl>
  </w:abstractNum>
  <w:abstractNum w:abstractNumId="103">
    <w:nsid w:val="75509D76"/>
    <w:multiLevelType w:val="hybridMultilevel"/>
    <w:lvl w:ilvl="0">
      <w:lvlJc w:val="left"/>
      <w:lvlText w:val="%1."/>
      <w:numFmt w:val="lowerLetter"/>
      <w:start w:val="6"/>
    </w:lvl>
  </w:abstractNum>
  <w:abstractNum w:abstractNumId="104">
    <w:nsid w:val="1AF7F0EA"/>
    <w:multiLevelType w:val="hybridMultilevel"/>
    <w:lvl w:ilvl="0">
      <w:lvlJc w:val="left"/>
      <w:lvlText w:val="%1."/>
      <w:numFmt w:val="lowerLetter"/>
      <w:start w:val="7"/>
    </w:lvl>
  </w:abstractNum>
  <w:abstractNum w:abstractNumId="105">
    <w:nsid w:val="4DA32C7E"/>
    <w:multiLevelType w:val="hybridMultilevel"/>
    <w:lvl w:ilvl="0">
      <w:lvlJc w:val="left"/>
      <w:lvlText w:val="%1."/>
      <w:numFmt w:val="lowerLetter"/>
      <w:start w:val="8"/>
    </w:lvl>
  </w:abstractNum>
  <w:abstractNum w:abstractNumId="106">
    <w:nsid w:val="6EC68664"/>
    <w:multiLevelType w:val="hybridMultilevel"/>
    <w:lvl w:ilvl="0">
      <w:lvlJc w:val="left"/>
      <w:lvlText w:val="%1."/>
      <w:numFmt w:val="lowerRoman"/>
      <w:start w:val="1"/>
    </w:lvl>
  </w:abstractNum>
  <w:abstractNum w:abstractNumId="107">
    <w:nsid w:val="E0D31FF"/>
    <w:multiLevelType w:val="hybridMultilevel"/>
    <w:lvl w:ilvl="0">
      <w:lvlJc w:val="left"/>
      <w:lvlText w:val="%1."/>
      <w:numFmt w:val="lowerLetter"/>
      <w:start w:val="10"/>
    </w:lvl>
  </w:abstractNum>
  <w:abstractNum w:abstractNumId="108">
    <w:nsid w:val="2FD0AD81"/>
    <w:multiLevelType w:val="hybridMultilevel"/>
    <w:lvl w:ilvl="0">
      <w:lvlJc w:val="left"/>
      <w:lvlText w:val="%1."/>
      <w:numFmt w:val="lowerLetter"/>
      <w:start w:val="11"/>
    </w:lvl>
  </w:abstractNum>
  <w:abstractNum w:abstractNumId="109">
    <w:nsid w:val="1978EBEB"/>
    <w:multiLevelType w:val="hybridMultilevel"/>
    <w:lvl w:ilvl="0">
      <w:lvlJc w:val="left"/>
      <w:lvlText w:val="%1."/>
      <w:numFmt w:val="lowerLetter"/>
      <w:start w:val="12"/>
    </w:lvl>
  </w:abstractNum>
  <w:abstractNum w:abstractNumId="110">
    <w:nsid w:val="52C12C61"/>
    <w:multiLevelType w:val="hybridMultilevel"/>
    <w:lvl w:ilvl="0">
      <w:lvlJc w:val="left"/>
      <w:lvlText w:val="•"/>
      <w:numFmt w:val="bullet"/>
      <w:start w:val="1"/>
    </w:lvl>
  </w:abstractNum>
  <w:abstractNum w:abstractNumId="111">
    <w:nsid w:val="4BDD53FD"/>
    <w:multiLevelType w:val="hybridMultilevel"/>
    <w:lvl w:ilvl="0">
      <w:lvlJc w:val="left"/>
      <w:lvlText w:val="•"/>
      <w:numFmt w:val="bullet"/>
      <w:start w:val="1"/>
    </w:lvl>
  </w:abstractNum>
  <w:abstractNum w:abstractNumId="112">
    <w:nsid w:val="569951FE"/>
    <w:multiLevelType w:val="hybridMultilevel"/>
    <w:lvl w:ilvl="0">
      <w:lvlJc w:val="left"/>
      <w:lvlText w:val="•"/>
      <w:numFmt w:val="bullet"/>
      <w:start w:val="1"/>
    </w:lvl>
  </w:abstractNum>
  <w:abstractNum w:abstractNumId="113">
    <w:nsid w:val="4C54E2C3"/>
    <w:multiLevelType w:val="hybridMultilevel"/>
    <w:lvl w:ilvl="0">
      <w:lvlJc w:val="left"/>
      <w:lvlText w:val="•"/>
      <w:numFmt w:val="bullet"/>
      <w:start w:val="1"/>
    </w:lvl>
  </w:abstractNum>
  <w:abstractNum w:abstractNumId="114">
    <w:nsid w:val="788BD9B"/>
    <w:multiLevelType w:val="hybridMultilevel"/>
    <w:lvl w:ilvl="0">
      <w:lvlJc w:val="left"/>
      <w:lvlText w:val="%1."/>
      <w:numFmt w:val="lowerLetter"/>
      <w:start w:val="13"/>
    </w:lvl>
    <w:lvl w:ilvl="1">
      <w:lvlJc w:val="left"/>
      <w:lvlText w:val="•"/>
      <w:numFmt w:val="bullet"/>
      <w:start w:val="1"/>
    </w:lvl>
  </w:abstractNum>
  <w:abstractNum w:abstractNumId="115">
    <w:nsid w:val="47CAA567"/>
    <w:multiLevelType w:val="hybridMultilevel"/>
    <w:lvl w:ilvl="0">
      <w:lvlJc w:val="left"/>
      <w:lvlText w:val="%1."/>
      <w:numFmt w:val="lowerLetter"/>
      <w:start w:val="15"/>
    </w:lvl>
  </w:abstractNum>
  <w:abstractNum w:abstractNumId="116">
    <w:nsid w:val="48249DBF"/>
    <w:multiLevelType w:val="hybridMultilevel"/>
    <w:lvl w:ilvl="0">
      <w:lvlJc w:val="left"/>
      <w:lvlText w:val="%1."/>
      <w:numFmt w:val="lowerLetter"/>
      <w:start w:val="16"/>
    </w:lvl>
  </w:abstractNum>
  <w:abstractNum w:abstractNumId="117">
    <w:nsid w:val="1F0E5D0D"/>
    <w:multiLevelType w:val="hybridMultilevel"/>
    <w:lvl w:ilvl="0">
      <w:lvlJc w:val="left"/>
      <w:lvlText w:val="%1."/>
      <w:numFmt w:val="lowerLetter"/>
      <w:start w:val="17"/>
    </w:lvl>
  </w:abstractNum>
  <w:abstractNum w:abstractNumId="118">
    <w:nsid w:val="26BAAE9"/>
    <w:multiLevelType w:val="hybridMultilevel"/>
    <w:lvl w:ilvl="0">
      <w:lvlJc w:val="left"/>
      <w:lvlText w:val="%1."/>
      <w:numFmt w:val="lowerLetter"/>
      <w:start w:val="18"/>
    </w:lvl>
  </w:abstractNum>
  <w:abstractNum w:abstractNumId="119">
    <w:nsid w:val="2C02FE8C"/>
    <w:multiLevelType w:val="hybridMultilevel"/>
    <w:lvl w:ilvl="0">
      <w:lvlJc w:val="left"/>
      <w:lvlText w:val="%1."/>
      <w:numFmt w:val="lowerLetter"/>
      <w:start w:val="19"/>
    </w:lvl>
  </w:abstractNum>
  <w:abstractNum w:abstractNumId="120">
    <w:nsid w:val="129517E"/>
    <w:multiLevelType w:val="hybridMultilevel"/>
    <w:lvl w:ilvl="0">
      <w:lvlJc w:val="left"/>
      <w:lvlText w:val="%1."/>
      <w:numFmt w:val="lowerLetter"/>
      <w:start w:val="20"/>
    </w:lvl>
  </w:abstractNum>
  <w:abstractNum w:abstractNumId="121">
    <w:nsid w:val="763B8C4E"/>
    <w:multiLevelType w:val="hybridMultilevel"/>
    <w:lvl w:ilvl="0">
      <w:lvlJc w:val="left"/>
      <w:lvlText w:val="%1."/>
      <w:numFmt w:val="lowerLetter"/>
      <w:start w:val="21"/>
    </w:lvl>
  </w:abstractNum>
  <w:abstractNum w:abstractNumId="122">
    <w:nsid w:val="4CFB8D32"/>
    <w:multiLevelType w:val="hybridMultilevel"/>
    <w:lvl w:ilvl="0">
      <w:lvlJc w:val="left"/>
      <w:lvlText w:val="-"/>
      <w:numFmt w:val="bullet"/>
      <w:start w:val="1"/>
    </w:lvl>
  </w:abstractNum>
  <w:abstractNum w:abstractNumId="123">
    <w:nsid w:val="62A5D5BD"/>
    <w:multiLevelType w:val="hybridMultilevel"/>
    <w:lvl w:ilvl="0">
      <w:lvlJc w:val="left"/>
      <w:lvlText w:val="%1."/>
      <w:numFmt w:val="lowerRoman"/>
      <w:start w:val="5"/>
    </w:lvl>
  </w:abstractNum>
  <w:abstractNum w:abstractNumId="124">
    <w:nsid w:val="718FABF9"/>
    <w:multiLevelType w:val="hybridMultilevel"/>
    <w:lvl w:ilvl="0">
      <w:lvlJc w:val="left"/>
      <w:lvlText w:val="%1."/>
      <w:numFmt w:val="lowerLetter"/>
      <w:start w:val="23"/>
    </w:lvl>
  </w:abstractNum>
  <w:abstractNum w:abstractNumId="125">
    <w:nsid w:val="7775797C"/>
    <w:multiLevelType w:val="hybridMultilevel"/>
    <w:lvl w:ilvl="0">
      <w:lvlJc w:val="left"/>
      <w:lvlText w:val="%1."/>
      <w:numFmt w:val="lowerRoman"/>
      <w:start w:val="10"/>
    </w:lvl>
  </w:abstractNum>
  <w:abstractNum w:abstractNumId="126">
    <w:nsid w:val="1626FB8C"/>
    <w:multiLevelType w:val="hybridMultilevel"/>
    <w:lvl w:ilvl="0">
      <w:lvlJc w:val="left"/>
      <w:lvlText w:val="%1."/>
      <w:numFmt w:val="lowerLetter"/>
      <w:start w:val="25"/>
    </w:lvl>
  </w:abstractNum>
  <w:abstractNum w:abstractNumId="127">
    <w:nsid w:val="3957756A"/>
    <w:multiLevelType w:val="hybridMultilevel"/>
    <w:lvl w:ilvl="0">
      <w:lvlJc w:val="left"/>
      <w:lvlText w:val="%1."/>
      <w:numFmt w:val="lowerLetter"/>
      <w:start w:val="26"/>
    </w:lvl>
  </w:abstractNum>
  <w:abstractNum w:abstractNumId="128">
    <w:nsid w:val="3E6DA1C7"/>
    <w:multiLevelType w:val="hybridMultilevel"/>
    <w:lvl w:ilvl="0">
      <w:lvlJc w:val="left"/>
      <w:lvlText w:val="-"/>
      <w:numFmt w:val="bullet"/>
      <w:start w:val="1"/>
    </w:lvl>
  </w:abstractNum>
  <w:abstractNum w:abstractNumId="129">
    <w:nsid w:val="65CA235B"/>
    <w:multiLevelType w:val="hybridMultilevel"/>
    <w:lvl w:ilvl="0">
      <w:lvlJc w:val="left"/>
      <w:lvlText w:val="(%1)"/>
      <w:numFmt w:val="lowerRoman"/>
      <w:start w:val="1"/>
    </w:lvl>
  </w:abstractNum>
  <w:abstractNum w:abstractNumId="130">
    <w:nsid w:val="51CB0DA4"/>
    <w:multiLevelType w:val="hybridMultilevel"/>
    <w:lvl w:ilvl="0">
      <w:lvlJc w:val="left"/>
      <w:lvlText w:val="1"/>
      <w:numFmt w:val="bullet"/>
      <w:start w:val="1"/>
    </w:lvl>
  </w:abstractNum>
  <w:abstractNum w:abstractNumId="131">
    <w:nsid w:val="7B9B743C"/>
    <w:multiLevelType w:val="hybridMultilevel"/>
    <w:lvl w:ilvl="0">
      <w:lvlJc w:val="left"/>
      <w:lvlText w:val="3"/>
      <w:numFmt w:val="bullet"/>
      <w:start w:val="1"/>
    </w:lvl>
  </w:abstractNum>
  <w:abstractNum w:abstractNumId="132">
    <w:nsid w:val="13E21002"/>
    <w:multiLevelType w:val="hybridMultilevel"/>
    <w:lvl w:ilvl="0">
      <w:lvlJc w:val="left"/>
      <w:lvlText w:val="(%1)"/>
      <w:numFmt w:val="lowerRoman"/>
      <w:start w:val="1"/>
    </w:lvl>
  </w:abstractNum>
  <w:abstractNum w:abstractNumId="133">
    <w:nsid w:val="257D63F4"/>
    <w:multiLevelType w:val="hybridMultilevel"/>
    <w:lvl w:ilvl="0">
      <w:lvlJc w:val="left"/>
      <w:lvlText w:val="%1)"/>
      <w:numFmt w:val="lowerLetter"/>
      <w:start w:val="1"/>
    </w:lvl>
  </w:abstractNum>
  <w:abstractNum w:abstractNumId="134">
    <w:nsid w:val="70EC11B2"/>
    <w:multiLevelType w:val="hybridMultilevel"/>
    <w:lvl w:ilvl="0">
      <w:lvlJc w:val="left"/>
      <w:lvlText w:val="%1)"/>
      <w:numFmt w:val="lowerLetter"/>
      <w:start w:val="2"/>
    </w:lvl>
  </w:abstractNum>
  <w:abstractNum w:abstractNumId="135">
    <w:nsid w:val="2EDA00ED"/>
    <w:multiLevelType w:val="hybridMultilevel"/>
    <w:lvl w:ilvl="0">
      <w:lvlJc w:val="left"/>
      <w:lvlText w:val="%1)"/>
      <w:numFmt w:val="lowerLetter"/>
      <w:start w:val="3"/>
    </w:lvl>
  </w:abstractNum>
  <w:abstractNum w:abstractNumId="136">
    <w:nsid w:val="73209072"/>
    <w:multiLevelType w:val="hybridMultilevel"/>
    <w:lvl w:ilvl="0">
      <w:lvlJc w:val="left"/>
      <w:lvlText w:val="*"/>
      <w:numFmt w:val="bullet"/>
      <w:start w:val="1"/>
    </w:lvl>
  </w:abstractNum>
  <w:abstractNum w:abstractNumId="137">
    <w:nsid w:val="5FB29816"/>
    <w:multiLevelType w:val="hybridMultilevel"/>
    <w:lvl w:ilvl="0">
      <w:lvlJc w:val="left"/>
      <w:lvlText w:val="%1)"/>
      <w:numFmt w:val="lowerLetter"/>
      <w:start w:val="4"/>
    </w:lvl>
  </w:abstractNum>
  <w:abstractNum w:abstractNumId="138">
    <w:nsid w:val="3CE732EC"/>
    <w:multiLevelType w:val="hybridMultilevel"/>
    <w:lvl w:ilvl="0">
      <w:lvlJc w:val="left"/>
      <w:lvlText w:val="*"/>
      <w:numFmt w:val="bullet"/>
      <w:start w:val="1"/>
    </w:lvl>
  </w:abstractNum>
  <w:abstractNum w:abstractNumId="139">
    <w:nsid w:val="22F13DF3"/>
    <w:multiLevelType w:val="hybridMultilevel"/>
    <w:lvl w:ilvl="0">
      <w:lvlJc w:val="left"/>
      <w:lvlText w:val="%1)"/>
      <w:numFmt w:val="lowerLetter"/>
      <w:start w:val="5"/>
    </w:lvl>
  </w:abstractNum>
  <w:abstractNum w:abstractNumId="140">
    <w:nsid w:val="792B8401"/>
    <w:multiLevelType w:val="hybridMultilevel"/>
    <w:lvl w:ilvl="0">
      <w:lvlJc w:val="left"/>
      <w:lvlText w:val="*"/>
      <w:numFmt w:val="bullet"/>
      <w:start w:val="1"/>
    </w:lvl>
  </w:abstractNum>
  <w:abstractNum w:abstractNumId="141">
    <w:nsid w:val="FA85F4D"/>
    <w:multiLevelType w:val="hybridMultilevel"/>
    <w:lvl w:ilvl="0">
      <w:lvlJc w:val="left"/>
      <w:lvlText w:val="%1)"/>
      <w:numFmt w:val="lowerLetter"/>
      <w:start w:val="6"/>
    </w:lvl>
  </w:abstractNum>
  <w:abstractNum w:abstractNumId="142">
    <w:nsid w:val="6ECE91F0"/>
    <w:multiLevelType w:val="hybridMultilevel"/>
    <w:lvl w:ilvl="0">
      <w:lvlJc w:val="left"/>
      <w:lvlText w:val="*"/>
      <w:numFmt w:val="bullet"/>
      <w:start w:val="1"/>
    </w:lvl>
  </w:abstractNum>
  <w:abstractNum w:abstractNumId="143">
    <w:nsid w:val="4FC4D600"/>
    <w:multiLevelType w:val="hybridMultilevel"/>
    <w:lvl w:ilvl="0">
      <w:lvlJc w:val="left"/>
      <w:lvlText w:val="(%1)"/>
      <w:numFmt w:val="lowerLetter"/>
      <w:start w:val="9"/>
    </w:lvl>
    <w:lvl w:ilvl="1">
      <w:lvlJc w:val="left"/>
      <w:lvlText w:val="(%2)"/>
      <w:numFmt w:val="lowerLetter"/>
      <w:start w:val="1"/>
    </w:lvl>
  </w:abstractNum>
  <w:abstractNum w:abstractNumId="144">
    <w:nsid w:val="5BFD4210"/>
    <w:multiLevelType w:val="hybridMultilevel"/>
    <w:lvl w:ilvl="0">
      <w:lvlJc w:val="left"/>
      <w:lvlText w:val="(%1)"/>
      <w:numFmt w:val="lowerRoman"/>
      <w:start w:val="2"/>
    </w:lvl>
  </w:abstractNum>
  <w:abstractNum w:abstractNumId="145">
    <w:nsid w:val="76574F8B"/>
    <w:multiLevelType w:val="hybridMultilevel"/>
    <w:lvl w:ilvl="0">
      <w:lvlJc w:val="left"/>
      <w:lvlText w:val="%1."/>
      <w:numFmt w:val="lowerRoman"/>
      <w:start w:val="1"/>
    </w:lvl>
  </w:abstractNum>
  <w:abstractNum w:abstractNumId="146">
    <w:nsid w:val="178F7B67"/>
    <w:multiLevelType w:val="hybridMultilevel"/>
    <w:lvl w:ilvl="0">
      <w:lvlJc w:val="left"/>
      <w:lvlText w:val="(%1)"/>
      <w:numFmt w:val="lowerRoman"/>
      <w:start w:val="1"/>
    </w:lvl>
  </w:abstractNum>
  <w:abstractNum w:abstractNumId="147">
    <w:nsid w:val="2421DFCF"/>
    <w:multiLevelType w:val="hybridMultilevel"/>
    <w:lvl w:ilvl="0">
      <w:lvlJc w:val="left"/>
      <w:lvlText w:val="(%1)"/>
      <w:numFmt w:val="lowerLetter"/>
      <w:start w:val="12"/>
    </w:lvl>
  </w:abstractNum>
  <w:abstractNum w:abstractNumId="148">
    <w:nsid w:val="1565AC99"/>
    <w:multiLevelType w:val="hybridMultilevel"/>
    <w:lvl w:ilvl="0">
      <w:lvlJc w:val="left"/>
      <w:lvlText w:val="%1."/>
      <w:numFmt w:val="lowerLetter"/>
      <w:start w:val="1"/>
    </w:lvl>
  </w:abstractNum>
  <w:abstractNum w:abstractNumId="149">
    <w:nsid w:val="19FB2650"/>
    <w:multiLevelType w:val="hybridMultilevel"/>
    <w:lvl w:ilvl="0">
      <w:lvlJc w:val="left"/>
      <w:lvlText w:val="%1."/>
      <w:numFmt w:val="lowerLetter"/>
      <w:start w:val="2"/>
    </w:lvl>
  </w:abstractNum>
  <w:abstractNum w:abstractNumId="150">
    <w:nsid w:val="5024DE5B"/>
    <w:multiLevelType w:val="hybridMultilevel"/>
    <w:lvl w:ilvl="0">
      <w:lvlJc w:val="left"/>
      <w:lvlText w:val="%1."/>
      <w:numFmt w:val="lowerLetter"/>
      <w:start w:val="3"/>
    </w:lvl>
  </w:abstractNum>
  <w:abstractNum w:abstractNumId="151">
    <w:nsid w:val="168EFE17"/>
    <w:multiLevelType w:val="hybridMultilevel"/>
    <w:lvl w:ilvl="0">
      <w:lvlJc w:val="left"/>
      <w:lvlText w:val="%1."/>
      <w:numFmt w:val="lowerLetter"/>
      <w:start w:val="4"/>
    </w:lvl>
  </w:abstractNum>
  <w:abstractNum w:abstractNumId="152">
    <w:nsid w:val="1036B29F"/>
    <w:multiLevelType w:val="hybridMultilevel"/>
    <w:lvl w:ilvl="0">
      <w:lvlJc w:val="left"/>
      <w:lvlText w:val="%1."/>
      <w:numFmt w:val="lowerLetter"/>
      <w:start w:val="5"/>
    </w:lvl>
  </w:abstractNum>
  <w:abstractNum w:abstractNumId="153">
    <w:nsid w:val="1D206B8E"/>
    <w:multiLevelType w:val="hybridMultilevel"/>
    <w:lvl w:ilvl="0">
      <w:lvlJc w:val="left"/>
      <w:lvlText w:val="(%1)"/>
      <w:numFmt w:val="lowerLetter"/>
      <w:start w:val="2"/>
    </w:lvl>
    <w:lvl w:ilvl="1">
      <w:lvlJc w:val="left"/>
      <w:lvlText w:val="•"/>
      <w:numFmt w:val="bullet"/>
      <w:start w:val="1"/>
    </w:lvl>
  </w:abstractNum>
  <w:abstractNum w:abstractNumId="154">
    <w:nsid w:val="7934D3D4"/>
    <w:multiLevelType w:val="hybridMultilevel"/>
    <w:lvl w:ilvl="0">
      <w:lvlJc w:val="left"/>
      <w:lvlText w:val="%1."/>
      <w:numFmt w:val="lowerLetter"/>
      <w:start w:val="1"/>
    </w:lvl>
  </w:abstractNum>
  <w:abstractNum w:abstractNumId="155">
    <w:nsid w:val="1C65E98"/>
    <w:multiLevelType w:val="hybridMultilevel"/>
    <w:lvl w:ilvl="0">
      <w:lvlJc w:val="left"/>
      <w:lvlText w:val="%1."/>
      <w:numFmt w:val="lowerLetter"/>
      <w:start w:val="2"/>
    </w:lvl>
  </w:abstractNum>
  <w:abstractNum w:abstractNumId="156">
    <w:nsid w:val="1495E50A"/>
    <w:multiLevelType w:val="hybridMultilevel"/>
    <w:lvl w:ilvl="0">
      <w:lvlJc w:val="left"/>
      <w:lvlText w:val="%1."/>
      <w:numFmt w:val="lowerLetter"/>
      <w:start w:val="3"/>
    </w:lvl>
  </w:abstractNum>
  <w:abstractNum w:abstractNumId="157">
    <w:nsid w:val="F5BCF61"/>
    <w:multiLevelType w:val="hybridMultilevel"/>
    <w:lvl w:ilvl="0">
      <w:lvlJc w:val="left"/>
      <w:lvlText w:val="%1."/>
      <w:numFmt w:val="lowerLetter"/>
      <w:start w:val="4"/>
    </w:lvl>
  </w:abstractNum>
  <w:abstractNum w:abstractNumId="158">
    <w:nsid w:val="3B1DD403"/>
    <w:multiLevelType w:val="hybridMultilevel"/>
    <w:lvl w:ilvl="0">
      <w:lvlJc w:val="left"/>
      <w:lvlText w:val="%1."/>
      <w:numFmt w:val="lowerLetter"/>
      <w:start w:val="5"/>
    </w:lvl>
  </w:abstractNum>
  <w:abstractNum w:abstractNumId="159">
    <w:nsid w:val="530386D1"/>
    <w:multiLevelType w:val="hybridMultilevel"/>
    <w:lvl w:ilvl="0">
      <w:lvlJc w:val="left"/>
      <w:lvlText w:val="%1)"/>
      <w:numFmt w:val="lowerLetter"/>
      <w:start w:val="1"/>
    </w:lvl>
  </w:abstractNum>
  <w:abstractNum w:abstractNumId="160">
    <w:nsid w:val="7525F2BC"/>
    <w:multiLevelType w:val="hybridMultilevel"/>
    <w:lvl w:ilvl="0">
      <w:lvlJc w:val="left"/>
      <w:lvlText w:val="%1)"/>
      <w:numFmt w:val="lowerLetter"/>
      <w:start w:val="3"/>
    </w:lvl>
  </w:abstractNum>
  <w:abstractNum w:abstractNumId="161">
    <w:nsid w:val="CE8E1A7"/>
    <w:multiLevelType w:val="hybridMultilevel"/>
    <w:lvl w:ilvl="0">
      <w:lvlJc w:val="left"/>
      <w:lvlText w:val="(%1)"/>
      <w:numFmt w:val="lowerLetter"/>
      <w:start w:val="1"/>
    </w:lvl>
    <w:lvl w:ilvl="1">
      <w:lvlJc w:val="left"/>
      <w:lvlText w:val="%2."/>
      <w:numFmt w:val="lowerLetter"/>
      <w:start w:val="1"/>
    </w:lvl>
  </w:abstractNum>
  <w:abstractNum w:abstractNumId="162">
    <w:nsid w:val="4E9EFB0D"/>
    <w:multiLevelType w:val="hybridMultilevel"/>
    <w:lvl w:ilvl="0">
      <w:lvlJc w:val="left"/>
      <w:lvlText w:val="A"/>
      <w:numFmt w:val="bullet"/>
      <w:start w:val="1"/>
    </w:lvl>
    <w:lvl w:ilvl="1">
      <w:lvlJc w:val="left"/>
      <w:lvlText w:val="(%2)"/>
      <w:numFmt w:val="lowerRoman"/>
      <w:start w:val="1"/>
    </w:lvl>
  </w:abstractNum>
  <w:abstractNum w:abstractNumId="163">
    <w:nsid w:val="90802BE"/>
    <w:multiLevelType w:val="hybridMultilevel"/>
    <w:lvl w:ilvl="0">
      <w:lvlJc w:val="left"/>
      <w:lvlText w:val="1"/>
      <w:numFmt w:val="bullet"/>
      <w:start w:val="1"/>
    </w:lvl>
  </w:abstractNum>
  <w:abstractNum w:abstractNumId="164">
    <w:nsid w:val="3266459B"/>
    <w:multiLevelType w:val="hybridMultilevel"/>
    <w:lvl w:ilvl="0">
      <w:lvlJc w:val="left"/>
      <w:lvlText w:val="(%1)"/>
      <w:numFmt w:val="lowerLetter"/>
      <w:start w:val="1"/>
    </w:lvl>
  </w:abstractNum>
  <w:abstractNum w:abstractNumId="165">
    <w:nsid w:val="3F8B0CBF"/>
    <w:multiLevelType w:val="hybridMultilevel"/>
    <w:lvl w:ilvl="0">
      <w:lvlJc w:val="left"/>
      <w:lvlText w:val="2"/>
      <w:numFmt w:val="bullet"/>
      <w:start w:val="1"/>
    </w:lvl>
  </w:abstractNum>
  <w:abstractNum w:abstractNumId="166">
    <w:nsid w:val="37E203AB"/>
    <w:multiLevelType w:val="hybridMultilevel"/>
    <w:lvl w:ilvl="0">
      <w:lvlJc w:val="left"/>
      <w:lvlText w:val="(%1)"/>
      <w:numFmt w:val="lowerLetter"/>
      <w:start w:val="1"/>
    </w:lvl>
  </w:abstractNum>
  <w:abstractNum w:abstractNumId="167">
    <w:nsid w:val="2586D60E"/>
    <w:multiLevelType w:val="hybridMultilevel"/>
    <w:lvl w:ilvl="0">
      <w:lvlJc w:val="left"/>
      <w:lvlText w:val="(%1)"/>
      <w:numFmt w:val="lowerLetter"/>
      <w:start w:val="1"/>
    </w:lvl>
  </w:abstractNum>
  <w:abstractNum w:abstractNumId="168">
    <w:nsid w:val="1F3DA4D5"/>
    <w:multiLevelType w:val="hybridMultilevel"/>
    <w:lvl w:ilvl="0">
      <w:lvlJc w:val="left"/>
      <w:lvlText w:val="(%1)"/>
      <w:numFmt w:val="lowerLetter"/>
      <w:start w:val="2"/>
    </w:lvl>
  </w:abstractNum>
  <w:abstractNum w:abstractNumId="169">
    <w:nsid w:val="74C93698"/>
    <w:multiLevelType w:val="hybridMultilevel"/>
    <w:lvl w:ilvl="0">
      <w:lvlJc w:val="left"/>
      <w:lvlText w:val="(%1)"/>
      <w:numFmt w:val="lowerLetter"/>
      <w:start w:val="3"/>
    </w:lvl>
  </w:abstractNum>
  <w:abstractNum w:abstractNumId="170">
    <w:nsid w:val="48781401"/>
    <w:multiLevelType w:val="hybridMultilevel"/>
    <w:lvl w:ilvl="0">
      <w:lvlJc w:val="left"/>
      <w:lvlText w:val="(%1)"/>
      <w:numFmt w:val="lowerLetter"/>
      <w:start w:val="1"/>
    </w:lvl>
    <w:lvl w:ilvl="1">
      <w:lvlJc w:val="left"/>
      <w:lvlText w:val="(%2)"/>
      <w:numFmt w:val="lowerRoman"/>
      <w:start w:val="1"/>
    </w:lvl>
  </w:abstractNum>
  <w:abstractNum w:abstractNumId="171">
    <w:nsid w:val="186928D6"/>
    <w:multiLevelType w:val="hybridMultilevel"/>
    <w:lvl w:ilvl="0">
      <w:lvlJc w:val="left"/>
      <w:lvlText w:val="3"/>
      <w:numFmt w:val="bullet"/>
      <w:start w:val="1"/>
    </w:lvl>
  </w:abstractNum>
  <w:abstractNum w:abstractNumId="172">
    <w:nsid w:val="47195E5"/>
    <w:multiLevelType w:val="hybridMultilevel"/>
    <w:lvl w:ilvl="0">
      <w:lvlJc w:val="left"/>
      <w:lvlText w:val="(%1)"/>
      <w:numFmt w:val="lowerLetter"/>
      <w:start w:val="1"/>
    </w:lvl>
  </w:abstractNum>
  <w:abstractNum w:abstractNumId="173">
    <w:nsid w:val="3746A5F2"/>
    <w:multiLevelType w:val="hybridMultilevel"/>
    <w:lvl w:ilvl="0">
      <w:lvlJc w:val="left"/>
      <w:lvlText w:val="(%1)"/>
      <w:numFmt w:val="lowerLetter"/>
      <w:start w:val="1"/>
    </w:lvl>
  </w:abstractNum>
  <w:abstractNum w:abstractNumId="174">
    <w:nsid w:val="682DFED6"/>
    <w:multiLevelType w:val="hybridMultilevel"/>
    <w:lvl w:ilvl="0">
      <w:lvlJc w:val="left"/>
      <w:lvlText w:val="(%1)"/>
      <w:numFmt w:val="lowerLetter"/>
      <w:start w:val="1"/>
    </w:lvl>
  </w:abstractNum>
  <w:abstractNum w:abstractNumId="175">
    <w:nsid w:val="606ED7F6"/>
    <w:multiLevelType w:val="hybridMultilevel"/>
    <w:lvl w:ilvl="0">
      <w:lvlJc w:val="left"/>
      <w:lvlText w:val="(%1)"/>
      <w:numFmt w:val="lowerLetter"/>
      <w:start w:val="4"/>
    </w:lvl>
    <w:lvl w:ilvl="1">
      <w:lvlJc w:val="left"/>
      <w:lvlText w:val="(%2)"/>
      <w:numFmt w:val="lowerRoman"/>
      <w:start w:val="1"/>
    </w:lvl>
  </w:abstractNum>
  <w:abstractNum w:abstractNumId="176">
    <w:nsid w:val="2D9DF57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7">
    <w:nsid w:val="7FBD7A3E"/>
    <w:multiLevelType w:val="hybridMultilevel"/>
    <w:lvl w:ilvl="0">
      <w:lvlJc w:val="left"/>
      <w:lvlText w:val="(%1)"/>
      <w:numFmt w:val="lowerLetter"/>
      <w:start w:val="1"/>
    </w:lvl>
  </w:abstractNum>
  <w:abstractNum w:abstractNumId="178">
    <w:nsid w:val="490B7C5"/>
    <w:multiLevelType w:val="hybridMultilevel"/>
    <w:lvl w:ilvl="0">
      <w:lvlJc w:val="left"/>
      <w:lvlText w:val="(%1)"/>
      <w:numFmt w:val="lowerLetter"/>
      <w:start w:val="1"/>
    </w:lvl>
    <w:lvl w:ilvl="1">
      <w:lvlJc w:val="left"/>
      <w:lvlText w:val="(%2)"/>
      <w:numFmt w:val="lowerRoman"/>
      <w:start w:val="1"/>
    </w:lvl>
  </w:abstractNum>
  <w:abstractNum w:abstractNumId="179">
    <w:nsid w:val="4303A216"/>
    <w:multiLevelType w:val="hybridMultilevel"/>
    <w:lvl w:ilvl="0">
      <w:lvlJc w:val="left"/>
      <w:lvlText w:val="4"/>
      <w:numFmt w:val="bullet"/>
      <w:start w:val="1"/>
    </w:lvl>
  </w:abstractNum>
  <w:abstractNum w:abstractNumId="180">
    <w:nsid w:val="19B8A08E"/>
    <w:multiLevelType w:val="hybridMultilevel"/>
    <w:lvl w:ilvl="0">
      <w:lvlJc w:val="left"/>
      <w:lvlText w:val="(%1)"/>
      <w:numFmt w:val="lowerLetter"/>
      <w:start w:val="1"/>
    </w:lvl>
    <w:lvl w:ilvl="1">
      <w:lvlJc w:val="left"/>
      <w:lvlText w:val="(%2)"/>
      <w:numFmt w:val="lowerRoman"/>
      <w:start w:val="1"/>
    </w:lvl>
  </w:abstractNum>
  <w:abstractNum w:abstractNumId="181">
    <w:nsid w:val="54B59621"/>
    <w:multiLevelType w:val="hybridMultilevel"/>
    <w:lvl w:ilvl="0">
      <w:lvlJc w:val="left"/>
      <w:lvlText w:val="(%1)"/>
      <w:numFmt w:val="lowerLetter"/>
      <w:start w:val="1"/>
    </w:lvl>
    <w:lvl w:ilvl="1">
      <w:lvlJc w:val="left"/>
      <w:lvlText w:val="(%2)"/>
      <w:numFmt w:val="lowerRoman"/>
      <w:start w:val="1"/>
    </w:lvl>
  </w:abstractNum>
  <w:abstractNum w:abstractNumId="182">
    <w:nsid w:val="5992A02E"/>
    <w:multiLevelType w:val="hybridMultilevel"/>
    <w:lvl w:ilvl="0">
      <w:lvlJc w:val="left"/>
      <w:lvlText w:val="5"/>
      <w:numFmt w:val="bullet"/>
      <w:start w:val="1"/>
    </w:lvl>
  </w:abstractNum>
  <w:abstractNum w:abstractNumId="183">
    <w:nsid w:val="29EF532D"/>
    <w:multiLevelType w:val="hybridMultilevel"/>
    <w:lvl w:ilvl="0">
      <w:lvlJc w:val="left"/>
      <w:lvlText w:val="(%1)"/>
      <w:numFmt w:val="lowerLetter"/>
      <w:start w:val="1"/>
    </w:lvl>
  </w:abstractNum>
  <w:abstractNum w:abstractNumId="184">
    <w:nsid w:val="71D601AF"/>
    <w:multiLevelType w:val="hybridMultilevel"/>
    <w:lvl w:ilvl="0">
      <w:lvlJc w:val="left"/>
      <w:lvlText w:val="(%1)"/>
      <w:numFmt w:val="lowerLetter"/>
      <w:start w:val="2"/>
    </w:lvl>
  </w:abstractNum>
  <w:abstractNum w:abstractNumId="185">
    <w:nsid w:val="52C77402"/>
    <w:multiLevelType w:val="hybridMultilevel"/>
    <w:lvl w:ilvl="0">
      <w:lvlJc w:val="left"/>
      <w:lvlText w:val="(%1)"/>
      <w:numFmt w:val="lowerLetter"/>
      <w:start w:val="1"/>
    </w:lvl>
    <w:lvl w:ilvl="1">
      <w:lvlJc w:val="left"/>
      <w:lvlText w:val="(%2)"/>
      <w:numFmt w:val="lowerRoman"/>
      <w:start w:val="1"/>
    </w:lvl>
  </w:abstractNum>
  <w:abstractNum w:abstractNumId="186">
    <w:nsid w:val="2BB5B1C6"/>
    <w:multiLevelType w:val="hybridMultilevel"/>
    <w:lvl w:ilvl="0">
      <w:lvlJc w:val="left"/>
      <w:lvlText w:val="(%1)"/>
      <w:numFmt w:val="lowerLetter"/>
      <w:start w:val="1"/>
    </w:lvl>
  </w:abstractNum>
  <w:abstractNum w:abstractNumId="187">
    <w:nsid w:val="66BE6B9"/>
    <w:multiLevelType w:val="hybridMultilevel"/>
    <w:lvl w:ilvl="0">
      <w:lvlJc w:val="left"/>
      <w:lvlText w:val="(%1)"/>
      <w:numFmt w:val="lowerLetter"/>
      <w:start w:val="1"/>
    </w:lvl>
  </w:abstractNum>
  <w:abstractNum w:abstractNumId="188">
    <w:nsid w:val="62234363"/>
    <w:multiLevelType w:val="hybridMultilevel"/>
    <w:lvl w:ilvl="0">
      <w:lvlJc w:val="left"/>
      <w:lvlText w:val="(%1)"/>
      <w:numFmt w:val="lowerLetter"/>
      <w:start w:val="1"/>
    </w:lvl>
  </w:abstractNum>
  <w:abstractNum w:abstractNumId="189">
    <w:nsid w:val="66D385C9"/>
    <w:multiLevelType w:val="hybridMultilevel"/>
    <w:lvl w:ilvl="0">
      <w:lvlJc w:val="left"/>
      <w:lvlText w:val="(%1)"/>
      <w:numFmt w:val="lowerLetter"/>
      <w:start w:val="1"/>
    </w:lvl>
  </w:abstractNum>
  <w:abstractNum w:abstractNumId="190">
    <w:nsid w:val="596F6D8A"/>
    <w:multiLevelType w:val="hybridMultilevel"/>
    <w:lvl w:ilvl="0">
      <w:lvlJc w:val="left"/>
      <w:lvlText w:val="6"/>
      <w:numFmt w:val="bullet"/>
      <w:start w:val="1"/>
    </w:lvl>
  </w:abstractNum>
  <w:abstractNum w:abstractNumId="191">
    <w:nsid w:val="5749361F"/>
    <w:multiLevelType w:val="hybridMultilevel"/>
    <w:lvl w:ilvl="0">
      <w:lvlJc w:val="left"/>
      <w:lvlText w:val="(%1)"/>
      <w:numFmt w:val="lowerLetter"/>
      <w:start w:val="1"/>
    </w:lvl>
    <w:lvl w:ilvl="1">
      <w:lvlJc w:val="left"/>
      <w:lvlText w:val="(%2)"/>
      <w:numFmt w:val="lowerRoman"/>
      <w:start w:val="1"/>
    </w:lvl>
  </w:abstractNum>
  <w:abstractNum w:abstractNumId="192">
    <w:nsid w:val="73BC6770"/>
    <w:multiLevelType w:val="hybridMultilevel"/>
    <w:lvl w:ilvl="0">
      <w:lvlJc w:val="left"/>
      <w:lvlText w:val="(%1)"/>
      <w:numFmt w:val="lowerLetter"/>
      <w:start w:val="1"/>
    </w:lvl>
  </w:abstractNum>
  <w:abstractNum w:abstractNumId="193">
    <w:nsid w:val="280E6897"/>
    <w:multiLevelType w:val="hybridMultilevel"/>
    <w:lvl w:ilvl="0">
      <w:lvlJc w:val="left"/>
      <w:lvlText w:val="(%1)"/>
      <w:numFmt w:val="lowerLetter"/>
      <w:start w:val="2"/>
    </w:lvl>
  </w:abstractNum>
  <w:abstractNum w:abstractNumId="194">
    <w:nsid w:val="605138DE"/>
    <w:multiLevelType w:val="hybridMultilevel"/>
    <w:lvl w:ilvl="0">
      <w:lvlJc w:val="left"/>
      <w:lvlText w:val="(%1)"/>
      <w:numFmt w:val="lowerLetter"/>
      <w:start w:val="1"/>
    </w:lvl>
    <w:lvl w:ilvl="1">
      <w:lvlJc w:val="left"/>
      <w:lvlText w:val="(%2)"/>
      <w:numFmt w:val="lowerRoman"/>
      <w:start w:val="1"/>
    </w:lvl>
  </w:abstractNum>
  <w:abstractNum w:abstractNumId="195">
    <w:nsid w:val="2622AD0C"/>
    <w:multiLevelType w:val="hybridMultilevel"/>
    <w:lvl w:ilvl="0">
      <w:lvlJc w:val="left"/>
      <w:lvlText w:val="7"/>
      <w:numFmt w:val="bullet"/>
      <w:start w:val="1"/>
    </w:lvl>
  </w:abstractNum>
  <w:abstractNum w:abstractNumId="196">
    <w:nsid w:val="67997556"/>
    <w:multiLevelType w:val="hybridMultilevel"/>
    <w:lvl w:ilvl="0">
      <w:lvlJc w:val="left"/>
      <w:lvlText w:val="(%1)"/>
      <w:numFmt w:val="lowerLetter"/>
      <w:start w:val="1"/>
    </w:lvl>
    <w:lvl w:ilvl="1">
      <w:lvlJc w:val="left"/>
      <w:lvlText w:val="(%2)"/>
      <w:numFmt w:val="lowerRoman"/>
      <w:start w:val="1"/>
    </w:lvl>
  </w:abstractNum>
  <w:abstractNum w:abstractNumId="197">
    <w:nsid w:val="18333C89"/>
    <w:multiLevelType w:val="hybridMultilevel"/>
    <w:lvl w:ilvl="0">
      <w:lvlJc w:val="left"/>
      <w:lvlText w:val="(%1)"/>
      <w:numFmt w:val="lowerLetter"/>
      <w:start w:val="1"/>
    </w:lvl>
  </w:abstractNum>
  <w:abstractNum w:abstractNumId="198">
    <w:nsid w:val="4BA9831A"/>
    <w:multiLevelType w:val="hybridMultilevel"/>
    <w:lvl w:ilvl="0">
      <w:lvlJc w:val="left"/>
      <w:lvlText w:val="8"/>
      <w:numFmt w:val="bullet"/>
      <w:start w:val="1"/>
    </w:lvl>
  </w:abstractNum>
  <w:abstractNum w:abstractNumId="199">
    <w:nsid w:val="6D71A2B"/>
    <w:multiLevelType w:val="hybridMultilevel"/>
    <w:lvl w:ilvl="0">
      <w:lvlJc w:val="left"/>
      <w:lvlText w:val="9"/>
      <w:numFmt w:val="bullet"/>
      <w:start w:val="1"/>
    </w:lvl>
  </w:abstractNum>
  <w:abstractNum w:abstractNumId="200">
    <w:nsid w:val="CFC7321"/>
    <w:multiLevelType w:val="hybridMultilevel"/>
    <w:lvl w:ilvl="0">
      <w:lvlJc w:val="left"/>
      <w:lvlText w:val="%1"/>
      <w:numFmt w:val="decimal"/>
      <w:start w:val="10"/>
    </w:lvl>
  </w:abstractNum>
  <w:abstractNum w:abstractNumId="201">
    <w:nsid w:val="1421971B"/>
    <w:multiLevelType w:val="hybridMultilevel"/>
    <w:lvl w:ilvl="0">
      <w:lvlJc w:val="left"/>
      <w:lvlText w:val="(%1)"/>
      <w:numFmt w:val="lowerLetter"/>
      <w:start w:val="1"/>
    </w:lvl>
  </w:abstractNum>
  <w:abstractNum w:abstractNumId="202">
    <w:nsid w:val="1F404301"/>
    <w:multiLevelType w:val="hybridMultilevel"/>
    <w:lvl w:ilvl="0">
      <w:lvlJc w:val="left"/>
      <w:lvlText w:val="(%1)"/>
      <w:numFmt w:val="lowerLetter"/>
      <w:start w:val="2"/>
    </w:lvl>
  </w:abstractNum>
  <w:abstractNum w:abstractNumId="203">
    <w:nsid w:val="116E0907"/>
    <w:multiLevelType w:val="hybridMultilevel"/>
    <w:lvl w:ilvl="0">
      <w:lvlJc w:val="left"/>
      <w:lvlText w:val="(%1)"/>
      <w:numFmt w:val="lowerLetter"/>
      <w:start w:val="1"/>
    </w:lvl>
  </w:abstractNum>
  <w:abstractNum w:abstractNumId="204">
    <w:nsid w:val="4B683D0D"/>
    <w:multiLevelType w:val="hybridMultilevel"/>
    <w:lvl w:ilvl="0">
      <w:lvlJc w:val="left"/>
      <w:lvlText w:val="(%1)"/>
      <w:numFmt w:val="lowerLetter"/>
      <w:start w:val="1"/>
    </w:lvl>
  </w:abstractNum>
  <w:abstractNum w:abstractNumId="205">
    <w:nsid w:val="76E41D8"/>
    <w:multiLevelType w:val="hybridMultilevel"/>
    <w:lvl w:ilvl="0">
      <w:lvlJc w:val="left"/>
      <w:lvlText w:val="%1"/>
      <w:numFmt w:val="decimal"/>
      <w:start w:val="12"/>
    </w:lvl>
  </w:abstractNum>
  <w:abstractNum w:abstractNumId="206">
    <w:nsid w:val="71DCE0FD"/>
    <w:multiLevelType w:val="hybridMultilevel"/>
    <w:lvl w:ilvl="0">
      <w:lvlJc w:val="left"/>
      <w:lvlText w:val="(%1)"/>
      <w:numFmt w:val="lowerLetter"/>
      <w:start w:val="1"/>
    </w:lvl>
    <w:lvl w:ilvl="1">
      <w:lvlJc w:val="left"/>
      <w:lvlText w:val="(%2)"/>
      <w:numFmt w:val="lowerRoman"/>
      <w:start w:val="1"/>
    </w:lvl>
  </w:abstractNum>
  <w:abstractNum w:abstractNumId="207">
    <w:nsid w:val="7906328B"/>
    <w:multiLevelType w:val="hybridMultilevel"/>
    <w:lvl w:ilvl="0">
      <w:lvlJc w:val="left"/>
      <w:lvlText w:val="(%1)"/>
      <w:numFmt w:val="lowerRoman"/>
      <w:start w:val="4"/>
    </w:lvl>
  </w:abstractNum>
  <w:abstractNum w:abstractNumId="208">
    <w:nsid w:val="72BBC16"/>
    <w:multiLevelType w:val="hybridMultilevel"/>
    <w:lvl w:ilvl="0">
      <w:lvlJc w:val="left"/>
      <w:lvlText w:val="Ù"/>
      <w:numFmt w:val="bullet"/>
      <w:start w:val="1"/>
    </w:lvl>
  </w:abstractNum>
  <w:abstractNum w:abstractNumId="209">
    <w:nsid w:val="766D98C2"/>
    <w:multiLevelType w:val="hybridMultilevel"/>
    <w:lvl w:ilvl="0">
      <w:lvlJc w:val="left"/>
      <w:lvlText w:val="(%1)"/>
      <w:numFmt w:val="lowerLetter"/>
      <w:start w:val="1"/>
    </w:lvl>
  </w:abstractNum>
  <w:abstractNum w:abstractNumId="210">
    <w:nsid w:val="3C09D4A1"/>
    <w:multiLevelType w:val="hybridMultilevel"/>
    <w:lvl w:ilvl="0">
      <w:lvlJc w:val="left"/>
      <w:lvlText w:val="(%1)"/>
      <w:numFmt w:val="lowerLetter"/>
      <w:start w:val="8"/>
    </w:lvl>
  </w:abstractNum>
  <w:abstractNum w:abstractNumId="211">
    <w:nsid w:val="20E45CA4"/>
    <w:multiLevelType w:val="hybridMultilevel"/>
    <w:lvl w:ilvl="0">
      <w:lvlJc w:val="left"/>
      <w:lvlText w:val="2"/>
      <w:numFmt w:val="bullet"/>
      <w:start w:val="1"/>
    </w:lvl>
  </w:abstractNum>
  <w:abstractNum w:abstractNumId="212">
    <w:nsid w:val="4B232EE3"/>
    <w:multiLevelType w:val="hybridMultilevel"/>
    <w:lvl w:ilvl="0">
      <w:lvlJc w:val="left"/>
      <w:lvlText w:val="3"/>
      <w:numFmt w:val="bullet"/>
      <w:start w:val="1"/>
    </w:lvl>
  </w:abstractNum>
  <w:abstractNum w:abstractNumId="213">
    <w:nsid w:val="159C74CF"/>
    <w:multiLevelType w:val="hybridMultilevel"/>
    <w:lvl w:ilvl="0">
      <w:lvlJc w:val="left"/>
      <w:lvlText w:val="(%1)"/>
      <w:numFmt w:val="lowerLetter"/>
      <w:start w:val="1"/>
    </w:lvl>
  </w:abstractNum>
  <w:abstractNum w:abstractNumId="214">
    <w:nsid w:val="4AD3AFD2"/>
    <w:multiLevelType w:val="hybridMultilevel"/>
    <w:lvl w:ilvl="0">
      <w:lvlJc w:val="left"/>
      <w:lvlText w:val="(%1)"/>
      <w:numFmt w:val="lowerLetter"/>
      <w:start w:val="1"/>
    </w:lvl>
  </w:abstractNum>
  <w:abstractNum w:abstractNumId="215">
    <w:nsid w:val="3CF93092"/>
    <w:multiLevelType w:val="hybridMultilevel"/>
    <w:lvl w:ilvl="0">
      <w:lvlJc w:val="left"/>
      <w:lvlText w:val="(%1)"/>
      <w:numFmt w:val="lowerLetter"/>
      <w:start w:val="1"/>
    </w:lvl>
  </w:abstractNum>
  <w:abstractNum w:abstractNumId="216">
    <w:nsid w:val="6863E8D2"/>
    <w:multiLevelType w:val="hybridMultilevel"/>
    <w:lvl w:ilvl="0">
      <w:lvlJc w:val="left"/>
      <w:lvlText w:val="(%1)"/>
      <w:numFmt w:val="lowerLetter"/>
      <w:start w:val="3"/>
    </w:lvl>
  </w:abstractNum>
  <w:abstractNum w:abstractNumId="217">
    <w:nsid w:val="76896198"/>
    <w:multiLevelType w:val="hybridMultilevel"/>
    <w:lvl w:ilvl="0">
      <w:lvlJc w:val="left"/>
      <w:lvlText w:val="(%1)"/>
      <w:numFmt w:val="lowerLetter"/>
      <w:start w:val="1"/>
    </w:lvl>
    <w:lvl w:ilvl="1">
      <w:lvlJc w:val="left"/>
      <w:lvlText w:val="(%2)"/>
      <w:numFmt w:val="lowerRoman"/>
      <w:start w:val="1"/>
    </w:lvl>
  </w:abstractNum>
  <w:abstractNum w:abstractNumId="218">
    <w:nsid w:val="4365174B"/>
    <w:multiLevelType w:val="hybridMultilevel"/>
    <w:lvl w:ilvl="0">
      <w:lvlJc w:val="left"/>
      <w:lvlText w:val="(%1)"/>
      <w:numFmt w:val="lowerLetter"/>
      <w:start w:val="1"/>
    </w:lvl>
  </w:abstractNum>
  <w:abstractNum w:abstractNumId="219">
    <w:nsid w:val="4A872C35"/>
    <w:multiLevelType w:val="hybridMultilevel"/>
    <w:lvl w:ilvl="0">
      <w:lvlJc w:val="left"/>
      <w:lvlText w:val="4"/>
      <w:numFmt w:val="bullet"/>
      <w:start w:val="1"/>
    </w:lvl>
  </w:abstractNum>
  <w:abstractNum w:abstractNumId="220">
    <w:nsid w:val="5D5CE761"/>
    <w:multiLevelType w:val="hybridMultilevel"/>
    <w:lvl w:ilvl="0">
      <w:lvlJc w:val="left"/>
      <w:lvlText w:val="(%1)"/>
      <w:numFmt w:val="lowerLetter"/>
      <w:start w:val="1"/>
    </w:lvl>
  </w:abstractNum>
  <w:abstractNum w:abstractNumId="221">
    <w:nsid w:val="1CD484D5"/>
    <w:multiLevelType w:val="hybridMultilevel"/>
    <w:lvl w:ilvl="0">
      <w:lvlJc w:val="left"/>
      <w:lvlText w:val="(%1)"/>
      <w:numFmt w:val="lowerLetter"/>
      <w:start w:val="1"/>
    </w:lvl>
    <w:lvl w:ilvl="1">
      <w:lvlJc w:val="left"/>
      <w:lvlText w:val="(%2)"/>
      <w:numFmt w:val="lowerRoman"/>
      <w:start w:val="1"/>
    </w:lvl>
  </w:abstractNum>
  <w:abstractNum w:abstractNumId="222">
    <w:nsid w:val="21D06255"/>
    <w:multiLevelType w:val="hybridMultilevel"/>
    <w:lvl w:ilvl="0">
      <w:lvlJc w:val="left"/>
      <w:lvlText w:val="(%1)"/>
      <w:numFmt w:val="lowerLetter"/>
      <w:start w:val="1"/>
    </w:lvl>
  </w:abstractNum>
  <w:abstractNum w:abstractNumId="223">
    <w:nsid w:val="51194ED1"/>
    <w:multiLevelType w:val="hybridMultilevel"/>
    <w:lvl w:ilvl="0">
      <w:lvlJc w:val="left"/>
      <w:lvlText w:val="5"/>
      <w:numFmt w:val="bullet"/>
      <w:start w:val="1"/>
    </w:lvl>
  </w:abstractNum>
  <w:abstractNum w:abstractNumId="224">
    <w:nsid w:val="44E2ED6C"/>
    <w:multiLevelType w:val="hybridMultilevel"/>
    <w:lvl w:ilvl="0">
      <w:lvlJc w:val="left"/>
      <w:lvlText w:val="(%1)"/>
      <w:numFmt w:val="lowerLetter"/>
      <w:start w:val="1"/>
    </w:lvl>
  </w:abstractNum>
  <w:abstractNum w:abstractNumId="225">
    <w:nsid w:val="2219B33"/>
    <w:multiLevelType w:val="hybridMultilevel"/>
    <w:lvl w:ilvl="0">
      <w:lvlJc w:val="left"/>
      <w:lvlText w:val="(%1)"/>
      <w:numFmt w:val="lowerLetter"/>
      <w:start w:val="1"/>
    </w:lvl>
  </w:abstractNum>
  <w:abstractNum w:abstractNumId="226">
    <w:nsid w:val="773BFBDD"/>
    <w:multiLevelType w:val="hybridMultilevel"/>
    <w:lvl w:ilvl="0">
      <w:lvlJc w:val="left"/>
      <w:lvlText w:val="6"/>
      <w:numFmt w:val="bullet"/>
      <w:start w:val="1"/>
    </w:lvl>
  </w:abstractNum>
  <w:abstractNum w:abstractNumId="227">
    <w:nsid w:val="2C7C62C2"/>
    <w:multiLevelType w:val="hybridMultilevel"/>
    <w:lvl w:ilvl="0">
      <w:lvlJc w:val="left"/>
      <w:lvlText w:val="7"/>
      <w:numFmt w:val="bullet"/>
      <w:start w:val="1"/>
    </w:lvl>
  </w:abstractNum>
  <w:abstractNum w:abstractNumId="228">
    <w:nsid w:val="1A54D7BC"/>
    <w:multiLevelType w:val="hybridMultilevel"/>
    <w:lvl w:ilvl="0">
      <w:lvlJc w:val="left"/>
      <w:lvlText w:val="(%1)"/>
      <w:numFmt w:val="lowerLetter"/>
      <w:start w:val="1"/>
    </w:lvl>
    <w:lvl w:ilvl="1">
      <w:lvlJc w:val="left"/>
      <w:lvlText w:val="(%2)"/>
      <w:numFmt w:val="lowerRoman"/>
      <w:start w:val="1"/>
    </w:lvl>
  </w:abstractNum>
  <w:abstractNum w:abstractNumId="229">
    <w:nsid w:val="42E57EF7"/>
    <w:multiLevelType w:val="hybridMultilevel"/>
    <w:lvl w:ilvl="0">
      <w:lvlJc w:val="left"/>
      <w:lvlText w:val="(%1)"/>
      <w:numFmt w:val="lowerLetter"/>
      <w:start w:val="1"/>
    </w:lvl>
  </w:abstractNum>
  <w:abstractNum w:abstractNumId="230">
    <w:nsid w:val="33537CED"/>
    <w:multiLevelType w:val="hybridMultilevel"/>
    <w:lvl w:ilvl="0">
      <w:lvlJc w:val="left"/>
      <w:lvlText w:val="8"/>
      <w:numFmt w:val="bullet"/>
      <w:start w:val="1"/>
    </w:lvl>
  </w:abstractNum>
  <w:abstractNum w:abstractNumId="231">
    <w:nsid w:val="27514ADE"/>
    <w:multiLevelType w:val="hybridMultilevel"/>
    <w:lvl w:ilvl="0">
      <w:lvlJc w:val="left"/>
      <w:lvlText w:val="9"/>
      <w:numFmt w:val="bullet"/>
      <w:start w:val="1"/>
    </w:lvl>
  </w:abstractNum>
  <w:abstractNum w:abstractNumId="232">
    <w:nsid w:val="57071613"/>
    <w:multiLevelType w:val="hybridMultilevel"/>
    <w:lvl w:ilvl="0">
      <w:lvlJc w:val="left"/>
      <w:lvlText w:val="(%1)"/>
      <w:numFmt w:val="lowerLetter"/>
      <w:start w:val="1"/>
    </w:lvl>
    <w:lvl w:ilvl="1">
      <w:lvlJc w:val="left"/>
      <w:lvlText w:val="(%2)"/>
      <w:numFmt w:val="lowerLetter"/>
      <w:start w:val="9"/>
    </w:lvl>
  </w:abstractNum>
  <w:abstractNum w:abstractNumId="233">
    <w:nsid w:val="5293BFEF"/>
    <w:multiLevelType w:val="hybridMultilevel"/>
    <w:lvl w:ilvl="0">
      <w:lvlJc w:val="left"/>
      <w:lvlText w:val="(%1)"/>
      <w:numFmt w:val="lowerRoman"/>
      <w:start w:val="2"/>
    </w:lvl>
  </w:abstractNum>
  <w:abstractNum w:abstractNumId="234">
    <w:nsid w:val="38BF53E5"/>
    <w:multiLevelType w:val="hybridMultilevel"/>
    <w:lvl w:ilvl="0">
      <w:lvlJc w:val="left"/>
      <w:lvlText w:val="%1"/>
      <w:numFmt w:val="decimal"/>
      <w:start w:val="11"/>
    </w:lvl>
  </w:abstractNum>
  <w:abstractNum w:abstractNumId="235">
    <w:nsid w:val="226F5320"/>
    <w:multiLevelType w:val="hybridMultilevel"/>
    <w:lvl w:ilvl="0">
      <w:lvlJc w:val="left"/>
      <w:lvlText w:val="(%1)"/>
      <w:numFmt w:val="lowerLetter"/>
      <w:start w:val="1"/>
    </w:lvl>
    <w:lvl w:ilvl="1">
      <w:lvlJc w:val="left"/>
      <w:lvlText w:val="(%2)"/>
      <w:numFmt w:val="lowerRoman"/>
      <w:start w:val="1"/>
    </w:lvl>
  </w:abstractNum>
  <w:abstractNum w:abstractNumId="236">
    <w:nsid w:val="5A0201C7"/>
    <w:multiLevelType w:val="hybridMultilevel"/>
    <w:lvl w:ilvl="0">
      <w:lvlJc w:val="left"/>
      <w:lvlText w:val="(%1)"/>
      <w:numFmt w:val="lowerLetter"/>
      <w:start w:val="1"/>
    </w:lvl>
  </w:abstractNum>
  <w:abstractNum w:abstractNumId="237">
    <w:nsid w:val="2A9C34E2"/>
    <w:multiLevelType w:val="hybridMultilevel"/>
    <w:lvl w:ilvl="0">
      <w:lvlJc w:val="left"/>
      <w:lvlText w:val="%1"/>
      <w:numFmt w:val="decimal"/>
      <w:start w:val="14"/>
    </w:lvl>
    <w:lvl w:ilvl="1">
      <w:lvlJc w:val="left"/>
      <w:lvlText w:val="(%2)"/>
      <w:numFmt w:val="lowerLetter"/>
      <w:start w:val="1"/>
    </w:lvl>
  </w:abstractNum>
  <w:abstractNum w:abstractNumId="238">
    <w:nsid w:val="1B7585AB"/>
    <w:multiLevelType w:val="hybridMultilevel"/>
    <w:lvl w:ilvl="0">
      <w:lvlJc w:val="left"/>
      <w:lvlText w:val="(%1)"/>
      <w:numFmt w:val="lowerLetter"/>
      <w:start w:val="1"/>
    </w:lvl>
  </w:abstractNum>
  <w:abstractNum w:abstractNumId="239">
    <w:nsid w:val="612DBDDD"/>
    <w:multiLevelType w:val="hybridMultilevel"/>
    <w:lvl w:ilvl="0">
      <w:lvlJc w:val="left"/>
      <w:lvlText w:val="(%1)"/>
      <w:numFmt w:val="lowerLetter"/>
      <w:start w:val="1"/>
    </w:lvl>
  </w:abstractNum>
  <w:abstractNum w:abstractNumId="240">
    <w:nsid w:val="2109CDA4"/>
    <w:multiLevelType w:val="hybridMultilevel"/>
    <w:lvl w:ilvl="0">
      <w:lvlJc w:val="left"/>
      <w:lvlText w:val="(%1)"/>
      <w:numFmt w:val="lowerLetter"/>
      <w:start w:val="2"/>
    </w:lvl>
  </w:abstractNum>
  <w:abstractNum w:abstractNumId="241">
    <w:nsid w:val="577F5A4D"/>
    <w:multiLevelType w:val="hybridMultilevel"/>
    <w:lvl w:ilvl="0">
      <w:lvlJc w:val="left"/>
      <w:lvlText w:val="(%1)"/>
      <w:numFmt w:val="lowerLetter"/>
      <w:start w:val="1"/>
    </w:lvl>
  </w:abstractNum>
  <w:abstractNum w:abstractNumId="242">
    <w:nsid w:val="2121A81"/>
    <w:multiLevelType w:val="hybridMultilevel"/>
    <w:lvl w:ilvl="0">
      <w:lvlJc w:val="left"/>
      <w:lvlText w:val="1"/>
      <w:numFmt w:val="bullet"/>
      <w:start w:val="1"/>
    </w:lvl>
  </w:abstractNum>
  <w:abstractNum w:abstractNumId="243">
    <w:nsid w:val="6C2CFC88"/>
    <w:multiLevelType w:val="hybridMultilevel"/>
    <w:lvl w:ilvl="0">
      <w:lvlJc w:val="left"/>
      <w:lvlText w:val="(%1)"/>
      <w:numFmt w:val="lowerLetter"/>
      <w:start w:val="1"/>
    </w:lvl>
  </w:abstractNum>
  <w:abstractNum w:abstractNumId="244">
    <w:nsid w:val="6D1BCF1C"/>
    <w:multiLevelType w:val="hybridMultilevel"/>
    <w:lvl w:ilvl="0">
      <w:lvlJc w:val="left"/>
      <w:lvlText w:val="|"/>
      <w:numFmt w:val="bullet"/>
      <w:start w:val="1"/>
    </w:lvl>
  </w:abstractNum>
  <w:abstractNum w:abstractNumId="245">
    <w:nsid w:val="4CE5CA53"/>
    <w:multiLevelType w:val="hybridMultilevel"/>
    <w:lvl w:ilvl="0">
      <w:lvlJc w:val="left"/>
      <w:lvlText w:val="(%1)"/>
      <w:numFmt w:val="lowerLetter"/>
      <w:start w:val="1"/>
    </w:lvl>
  </w:abstractNum>
  <w:abstractNum w:abstractNumId="246">
    <w:nsid w:val="29262D1A"/>
    <w:multiLevelType w:val="hybridMultilevel"/>
    <w:lvl w:ilvl="0">
      <w:lvlJc w:val="left"/>
      <w:lvlText w:val="2"/>
      <w:numFmt w:val="bullet"/>
      <w:start w:val="1"/>
    </w:lvl>
  </w:abstractNum>
  <w:abstractNum w:abstractNumId="247">
    <w:nsid w:val="557FB7EE"/>
    <w:multiLevelType w:val="hybridMultilevel"/>
    <w:lvl w:ilvl="0">
      <w:lvlJc w:val="left"/>
      <w:lvlText w:val="3"/>
      <w:numFmt w:val="bullet"/>
      <w:start w:val="1"/>
    </w:lvl>
  </w:abstractNum>
  <w:abstractNum w:abstractNumId="248">
    <w:nsid w:val="436F2BEB"/>
    <w:multiLevelType w:val="hybridMultilevel"/>
    <w:lvl w:ilvl="0">
      <w:lvlJc w:val="left"/>
      <w:lvlText w:val="4"/>
      <w:numFmt w:val="bullet"/>
      <w:start w:val="1"/>
    </w:lvl>
  </w:abstractNum>
  <w:abstractNum w:abstractNumId="249">
    <w:nsid w:val="6C8B4466"/>
    <w:multiLevelType w:val="hybridMultilevel"/>
    <w:lvl w:ilvl="0">
      <w:lvlJc w:val="left"/>
      <w:lvlText w:val="(%1)"/>
      <w:numFmt w:val="lowerLetter"/>
      <w:start w:val="1"/>
    </w:lvl>
  </w:abstractNum>
  <w:abstractNum w:abstractNumId="250">
    <w:nsid w:val="2006E424"/>
    <w:multiLevelType w:val="hybridMultilevel"/>
    <w:lvl w:ilvl="0">
      <w:lvlJc w:val="left"/>
      <w:lvlText w:val="(%1)"/>
      <w:numFmt w:val="lowerLetter"/>
      <w:start w:val="1"/>
    </w:lvl>
  </w:abstractNum>
  <w:abstractNum w:abstractNumId="251">
    <w:nsid w:val="20CC134C"/>
    <w:multiLevelType w:val="hybridMultilevel"/>
    <w:lvl w:ilvl="0">
      <w:lvlJc w:val="left"/>
      <w:lvlText w:val="(%1)"/>
      <w:numFmt w:val="lowerLetter"/>
      <w:start w:val="1"/>
    </w:lvl>
  </w:abstractNum>
  <w:abstractNum w:abstractNumId="252">
    <w:nsid w:val="95FC93B"/>
    <w:multiLevelType w:val="hybridMultilevel"/>
    <w:lvl w:ilvl="0">
      <w:lvlJc w:val="left"/>
      <w:lvlText w:val="(%1)"/>
      <w:numFmt w:val="lowerRoman"/>
      <w:start w:val="1"/>
    </w:lvl>
  </w:abstractNum>
  <w:abstractNum w:abstractNumId="253">
    <w:nsid w:val="41D74679"/>
    <w:multiLevelType w:val="hybridMultilevel"/>
    <w:lvl w:ilvl="0">
      <w:lvlJc w:val="left"/>
      <w:lvlText w:val="(%1)"/>
      <w:numFmt w:val="lowerLetter"/>
      <w:start w:val="5"/>
    </w:lvl>
  </w:abstractNum>
  <w:abstractNum w:abstractNumId="254">
    <w:nsid w:val="71E5621E"/>
    <w:multiLevelType w:val="hybridMultilevel"/>
    <w:lvl w:ilvl="0">
      <w:lvlJc w:val="left"/>
      <w:lvlText w:val="(%1)"/>
      <w:numFmt w:val="lowerLetter"/>
      <w:start w:val="1"/>
    </w:lvl>
  </w:abstractNum>
  <w:abstractNum w:abstractNumId="255">
    <w:nsid w:val="4E42B6A8"/>
    <w:multiLevelType w:val="hybridMultilevel"/>
    <w:lvl w:ilvl="0">
      <w:lvlJc w:val="left"/>
      <w:lvlText w:val="(%1)"/>
      <w:numFmt w:val="lowerLetter"/>
      <w:start w:val="3"/>
    </w:lvl>
  </w:abstractNum>
  <w:abstractNum w:abstractNumId="256">
    <w:nsid w:val="43F8E1AC"/>
    <w:multiLevelType w:val="hybridMultilevel"/>
    <w:lvl w:ilvl="0">
      <w:lvlJc w:val="left"/>
      <w:lvlText w:val="(%1)"/>
      <w:numFmt w:val="lowerLetter"/>
      <w:start w:val="1"/>
    </w:lvl>
  </w:abstractNum>
  <w:abstractNum w:abstractNumId="257">
    <w:nsid w:val="69215DFB"/>
    <w:multiLevelType w:val="hybridMultilevel"/>
    <w:lvl w:ilvl="0">
      <w:lvlJc w:val="left"/>
      <w:lvlText w:val="5"/>
      <w:numFmt w:val="bullet"/>
      <w:start w:val="1"/>
    </w:lvl>
  </w:abstractNum>
  <w:abstractNum w:abstractNumId="258">
    <w:nsid w:val="7ABF196A"/>
    <w:multiLevelType w:val="hybridMultilevel"/>
    <w:lvl w:ilvl="0">
      <w:lvlJc w:val="left"/>
      <w:lvlText w:val="(%1)"/>
      <w:numFmt w:val="lowerLetter"/>
      <w:start w:val="1"/>
    </w:lvl>
  </w:abstractNum>
  <w:abstractNum w:abstractNumId="259">
    <w:nsid w:val="5E4DB968"/>
    <w:multiLevelType w:val="hybridMultilevel"/>
    <w:lvl w:ilvl="0">
      <w:lvlJc w:val="left"/>
      <w:lvlText w:val="6"/>
      <w:numFmt w:val="bullet"/>
      <w:start w:val="1"/>
    </w:lvl>
  </w:abstractNum>
  <w:abstractNum w:abstractNumId="260">
    <w:nsid w:val="2C06DCF3"/>
    <w:multiLevelType w:val="hybridMultilevel"/>
    <w:lvl w:ilvl="0">
      <w:lvlJc w:val="left"/>
      <w:lvlText w:val="(%1)"/>
      <w:numFmt w:val="lowerLetter"/>
      <w:start w:val="1"/>
    </w:lvl>
  </w:abstractNum>
  <w:abstractNum w:abstractNumId="261">
    <w:nsid w:val="2E129658"/>
    <w:multiLevelType w:val="hybridMultilevel"/>
    <w:lvl w:ilvl="0">
      <w:lvlJc w:val="left"/>
      <w:lvlText w:val="(%1)"/>
      <w:numFmt w:val="lowerLetter"/>
      <w:start w:val="1"/>
    </w:lvl>
  </w:abstractNum>
  <w:abstractNum w:abstractNumId="262">
    <w:nsid w:val="59F0446"/>
    <w:multiLevelType w:val="hybridMultilevel"/>
    <w:lvl w:ilvl="0">
      <w:lvlJc w:val="left"/>
      <w:lvlText w:val="7"/>
      <w:numFmt w:val="bullet"/>
      <w:start w:val="1"/>
    </w:lvl>
  </w:abstractNum>
  <w:abstractNum w:abstractNumId="263">
    <w:nsid w:val="30DF306"/>
    <w:multiLevelType w:val="hybridMultilevel"/>
    <w:lvl w:ilvl="0">
      <w:lvlJc w:val="left"/>
      <w:lvlText w:val="8"/>
      <w:numFmt w:val="bullet"/>
      <w:start w:val="1"/>
    </w:lvl>
  </w:abstractNum>
  <w:abstractNum w:abstractNumId="264">
    <w:nsid w:val="A65647"/>
    <w:multiLevelType w:val="hybridMultilevel"/>
    <w:lvl w:ilvl="0">
      <w:lvlJc w:val="left"/>
      <w:lvlText w:val="(%1)"/>
      <w:numFmt w:val="lowerLetter"/>
      <w:start w:val="1"/>
    </w:lvl>
  </w:abstractNum>
  <w:abstractNum w:abstractNumId="265">
    <w:nsid w:val="3E5E582B"/>
    <w:multiLevelType w:val="hybridMultilevel"/>
    <w:lvl w:ilvl="0">
      <w:lvlJc w:val="left"/>
      <w:lvlText w:val="(%1)"/>
      <w:numFmt w:val="lowerLetter"/>
      <w:start w:val="1"/>
    </w:lvl>
  </w:abstractNum>
  <w:abstractNum w:abstractNumId="266">
    <w:nsid w:val="257D4626"/>
    <w:multiLevelType w:val="hybridMultilevel"/>
    <w:lvl w:ilvl="0">
      <w:lvlJc w:val="left"/>
      <w:lvlText w:val="(%1)"/>
      <w:numFmt w:val="lowerLetter"/>
      <w:start w:val="1"/>
    </w:lvl>
  </w:abstractNum>
  <w:abstractNum w:abstractNumId="267">
    <w:nsid w:val="5AA8580E"/>
    <w:multiLevelType w:val="hybridMultilevel"/>
    <w:lvl w:ilvl="0">
      <w:lvlJc w:val="left"/>
      <w:lvlText w:val="9"/>
      <w:numFmt w:val="bullet"/>
      <w:start w:val="1"/>
    </w:lvl>
  </w:abstractNum>
  <w:abstractNum w:abstractNumId="268">
    <w:nsid w:val="68FA8D0D"/>
    <w:multiLevelType w:val="hybridMultilevel"/>
    <w:lvl w:ilvl="0">
      <w:lvlJc w:val="left"/>
      <w:lvlText w:val="(%1)"/>
      <w:numFmt w:val="lowerLetter"/>
      <w:start w:val="1"/>
    </w:lvl>
    <w:lvl w:ilvl="1">
      <w:lvlJc w:val="left"/>
      <w:lvlText w:val="(%2)"/>
      <w:numFmt w:val="lowerLetter"/>
      <w:start w:val="9"/>
    </w:lvl>
  </w:abstractNum>
  <w:abstractNum w:abstractNumId="269">
    <w:nsid w:val="40F2CBD2"/>
    <w:multiLevelType w:val="hybridMultilevel"/>
    <w:lvl w:ilvl="0">
      <w:lvlJc w:val="left"/>
      <w:lvlText w:val="(%1)"/>
      <w:numFmt w:val="lowerRoman"/>
      <w:start w:val="2"/>
    </w:lvl>
  </w:abstractNum>
  <w:abstractNum w:abstractNumId="270">
    <w:nsid w:val="3BD615EB"/>
    <w:multiLevelType w:val="hybridMultilevel"/>
    <w:lvl w:ilvl="0">
      <w:lvlJc w:val="left"/>
      <w:lvlText w:val="%1"/>
      <w:numFmt w:val="decimal"/>
      <w:start w:val="12"/>
    </w:lvl>
  </w:abstractNum>
  <w:abstractNum w:abstractNumId="271">
    <w:nsid w:val="A045AB2"/>
    <w:multiLevelType w:val="hybridMultilevel"/>
    <w:lvl w:ilvl="0">
      <w:lvlJc w:val="left"/>
      <w:lvlText w:val="(%1)"/>
      <w:numFmt w:val="lowerLetter"/>
      <w:start w:val="1"/>
    </w:lvl>
  </w:abstractNum>
  <w:abstractNum w:abstractNumId="272">
    <w:nsid w:val="1872261F"/>
    <w:multiLevelType w:val="hybridMultilevel"/>
    <w:lvl w:ilvl="0">
      <w:lvlJc w:val="left"/>
      <w:lvlText w:val="(%1)"/>
      <w:numFmt w:val="lowerRoman"/>
      <w:start w:val="1"/>
    </w:lvl>
  </w:abstractNum>
  <w:abstractNum w:abstractNumId="273">
    <w:nsid w:val="3DE8306C"/>
    <w:multiLevelType w:val="hybridMultilevel"/>
    <w:lvl w:ilvl="0">
      <w:lvlJc w:val="left"/>
      <w:lvlText w:val="(%1)"/>
      <w:numFmt w:val="lowerLetter"/>
      <w:start w:val="2"/>
    </w:lvl>
  </w:abstractNum>
  <w:abstractNum w:abstractNumId="274">
    <w:nsid w:val="7631573A"/>
    <w:multiLevelType w:val="hybridMultilevel"/>
    <w:lvl w:ilvl="0">
      <w:lvlJc w:val="left"/>
      <w:lvlText w:val="%1"/>
      <w:numFmt w:val="decimal"/>
      <w:start w:val="13"/>
    </w:lvl>
  </w:abstractNum>
  <w:abstractNum w:abstractNumId="275">
    <w:nsid w:val="58DF53B"/>
    <w:multiLevelType w:val="hybridMultilevel"/>
    <w:lvl w:ilvl="0">
      <w:lvlJc w:val="left"/>
      <w:lvlText w:val="(%1)"/>
      <w:numFmt w:val="lowerLetter"/>
      <w:start w:val="1"/>
    </w:lvl>
  </w:abstractNum>
  <w:abstractNum w:abstractNumId="276">
    <w:nsid w:val="ACDFAC0"/>
    <w:multiLevelType w:val="hybridMultilevel"/>
    <w:lvl w:ilvl="0">
      <w:lvlJc w:val="left"/>
      <w:lvlText w:val="%1"/>
      <w:numFmt w:val="decimal"/>
      <w:start w:val="15"/>
    </w:lvl>
    <w:lvl w:ilvl="1">
      <w:lvlJc w:val="left"/>
      <w:lvlText w:val="(%2)"/>
      <w:numFmt w:val="lowerLetter"/>
      <w:start w:val="1"/>
    </w:lvl>
  </w:abstractNum>
  <w:abstractNum w:abstractNumId="277">
    <w:nsid w:val="1F578454"/>
    <w:multiLevelType w:val="hybridMultilevel"/>
    <w:lvl w:ilvl="0">
      <w:lvlJc w:val="left"/>
      <w:lvlText w:val="(%1)"/>
      <w:numFmt w:val="lowerLetter"/>
      <w:start w:val="1"/>
    </w:lvl>
  </w:abstractNum>
  <w:abstractNum w:abstractNumId="278">
    <w:nsid w:val="5B0DAD2A"/>
    <w:multiLevelType w:val="hybridMultilevel"/>
    <w:lvl w:ilvl="0">
      <w:lvlJc w:val="left"/>
      <w:lvlText w:val="(%1)"/>
      <w:numFmt w:val="lowerLetter"/>
      <w:start w:val="1"/>
    </w:lvl>
  </w:abstractNum>
  <w:abstractNum w:abstractNumId="279">
    <w:nsid w:val="4E3D26AB"/>
    <w:multiLevelType w:val="hybridMultilevel"/>
    <w:lvl w:ilvl="0">
      <w:lvlJc w:val="left"/>
      <w:lvlText w:val="(%1)"/>
      <w:numFmt w:val="lowerLetter"/>
      <w:start w:val="1"/>
    </w:lvl>
  </w:abstractNum>
  <w:abstractNum w:abstractNumId="280">
    <w:nsid w:val="BE2C8BA"/>
    <w:multiLevelType w:val="hybridMultilevel"/>
    <w:lvl w:ilvl="0">
      <w:lvlJc w:val="left"/>
      <w:lvlText w:val="%1."/>
      <w:numFmt w:val="decimal"/>
      <w:start w:val="1"/>
    </w:lvl>
  </w:abstractNum>
  <w:abstractNum w:abstractNumId="281">
    <w:nsid w:val="7B14914E"/>
    <w:multiLevelType w:val="hybridMultilevel"/>
    <w:lvl w:ilvl="0">
      <w:lvlJc w:val="left"/>
      <w:lvlText w:val="%1."/>
      <w:numFmt w:val="decimal"/>
      <w:start w:val="4"/>
    </w:lvl>
    <w:lvl w:ilvl="1">
      <w:lvlJc w:val="left"/>
      <w:lvlText w:val="(%2)"/>
      <w:numFmt w:val="lowerLetter"/>
      <w:start w:val="1"/>
    </w:lvl>
  </w:abstractNum>
  <w:abstractNum w:abstractNumId="282">
    <w:nsid w:val="6F0939F8"/>
    <w:multiLevelType w:val="hybridMultilevel"/>
    <w:lvl w:ilvl="0">
      <w:lvlJc w:val="left"/>
      <w:lvlText w:val="(%1)"/>
      <w:numFmt w:val="lowerLetter"/>
      <w:start w:val="2"/>
    </w:lvl>
  </w:abstractNum>
  <w:abstractNum w:abstractNumId="283">
    <w:nsid w:val="154291F6"/>
    <w:multiLevelType w:val="hybridMultilevel"/>
    <w:lvl w:ilvl="0">
      <w:lvlJc w:val="left"/>
      <w:lvlText w:val="(%1)"/>
      <w:numFmt w:val="lowerLetter"/>
      <w:start w:val="4"/>
    </w:lvl>
  </w:abstractNum>
  <w:abstractNum w:abstractNumId="284">
    <w:nsid w:val="3CEBD7C7"/>
    <w:multiLevelType w:val="hybridMultilevel"/>
    <w:lvl w:ilvl="0">
      <w:lvlJc w:val="left"/>
      <w:lvlText w:val="(%1)"/>
      <w:numFmt w:val="lowerLetter"/>
      <w:start w:val="7"/>
    </w:lvl>
  </w:abstractNum>
  <w:abstractNum w:abstractNumId="285">
    <w:nsid w:val="60EE9C16"/>
    <w:multiLevelType w:val="hybridMultilevel"/>
    <w:lvl w:ilvl="0">
      <w:lvlJc w:val="left"/>
      <w:lvlText w:val="(%1)"/>
      <w:numFmt w:val="lowerLetter"/>
      <w:start w:val="11"/>
    </w:lvl>
  </w:abstractNum>
  <w:abstractNum w:abstractNumId="286">
    <w:nsid w:val="6385489E"/>
    <w:multiLevelType w:val="hybridMultilevel"/>
    <w:lvl w:ilvl="0">
      <w:lvlJc w:val="left"/>
      <w:lvlText w:val="%1"/>
      <w:numFmt w:val="decimal"/>
      <w:start w:val="1"/>
    </w:lvl>
    <w:lvl w:ilvl="1">
      <w:lvlJc w:val="left"/>
      <w:lvlText w:val="(%2)"/>
      <w:numFmt w:val="decimal"/>
      <w:start w:val="1"/>
    </w:lvl>
  </w:abstractNum>
  <w:abstractNum w:abstractNumId="287">
    <w:nsid w:val="E4B973"/>
    <w:multiLevelType w:val="hybridMultilevel"/>
    <w:lvl w:ilvl="0">
      <w:lvlJc w:val="left"/>
      <w:lvlText w:val="%1."/>
      <w:numFmt w:val="decimal"/>
      <w:start w:val="5"/>
    </w:lvl>
    <w:lvl w:ilvl="1">
      <w:lvlJc w:val="left"/>
      <w:lvlText w:val="%2"/>
      <w:numFmt w:val="decimal"/>
      <w:start w:val="1"/>
    </w:lvl>
  </w:abstractNum>
  <w:abstractNum w:abstractNumId="288">
    <w:nsid w:val="4A0FFA11"/>
    <w:multiLevelType w:val="hybridMultilevel"/>
    <w:lvl w:ilvl="0">
      <w:lvlJc w:val="left"/>
      <w:lvlText w:val="%1."/>
      <w:numFmt w:val="decimal"/>
      <w:start w:val="6"/>
    </w:lvl>
    <w:lvl w:ilvl="1">
      <w:lvlJc w:val="left"/>
      <w:lvlText w:val="(%2)"/>
      <w:numFmt w:val="lowerLetter"/>
      <w:start w:val="1"/>
    </w:lvl>
  </w:abstractNum>
  <w:abstractNum w:abstractNumId="289">
    <w:nsid w:val="5E446208"/>
    <w:multiLevelType w:val="hybridMultilevel"/>
    <w:lvl w:ilvl="0">
      <w:lvlJc w:val="left"/>
      <w:lvlText w:val="(%1)"/>
      <w:numFmt w:val="lowerLetter"/>
      <w:start w:val="5"/>
    </w:lvl>
  </w:abstractNum>
  <w:abstractNum w:abstractNumId="290">
    <w:nsid w:val="5F3272DB"/>
    <w:multiLevelType w:val="hybridMultilevel"/>
    <w:lvl w:ilvl="0">
      <w:lvlJc w:val="left"/>
      <w:lvlText w:val="(%1)"/>
      <w:numFmt w:val="decimal"/>
      <w:start w:val="1"/>
    </w:lvl>
  </w:abstractNum>
  <w:abstractNum w:abstractNumId="291">
    <w:nsid w:val="7616D704"/>
    <w:multiLevelType w:val="hybridMultilevel"/>
    <w:lvl w:ilvl="0">
      <w:lvlJc w:val="left"/>
      <w:lvlText w:val="(%1)"/>
      <w:numFmt w:val="lowerLetter"/>
      <w:start w:val="13"/>
    </w:lvl>
  </w:abstractNum>
  <w:abstractNum w:abstractNumId="292">
    <w:nsid w:val="C56F860"/>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293">
    <w:nsid w:val="64D1772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4">
    <w:nsid w:val="7924CA0A"/>
    <w:multiLevelType w:val="hybridMultilevel"/>
    <w:lvl w:ilvl="0">
      <w:lvlJc w:val="left"/>
      <w:lvlText w:val="%1"/>
      <w:numFmt w:val="decimal"/>
      <w:start w:val="1"/>
    </w:lvl>
    <w:lvl w:ilvl="1">
      <w:lvlJc w:val="left"/>
      <w:lvlText w:val="(%2)"/>
      <w:numFmt w:val="lowerLetter"/>
      <w:start w:val="4"/>
    </w:lvl>
  </w:abstractNum>
  <w:abstractNum w:abstractNumId="295">
    <w:nsid w:val="CFD4EA7"/>
    <w:multiLevelType w:val="hybridMultilevel"/>
    <w:lvl w:ilvl="0">
      <w:lvlJc w:val="left"/>
      <w:lvlText w:val="%1."/>
      <w:numFmt w:val="decimal"/>
      <w:start w:val="9"/>
    </w:lvl>
    <w:lvl w:ilvl="1">
      <w:lvlJc w:val="left"/>
      <w:lvlText w:val="(%2)"/>
      <w:numFmt w:val="lowerLetter"/>
      <w:start w:val="1"/>
    </w:lvl>
  </w:abstractNum>
  <w:abstractNum w:abstractNumId="296">
    <w:nsid w:val="232FCF4D"/>
    <w:multiLevelType w:val="hybridMultilevel"/>
    <w:lvl w:ilvl="0">
      <w:lvlJc w:val="left"/>
      <w:lvlText w:val="(%1)"/>
      <w:numFmt w:val="lowerLetter"/>
      <w:start w:val="3"/>
    </w:lvl>
  </w:abstractNum>
  <w:abstractNum w:abstractNumId="297">
    <w:nsid w:val="1EA21031"/>
    <w:multiLevelType w:val="hybridMultilevel"/>
    <w:lvl w:ilvl="0">
      <w:lvlJc w:val="left"/>
      <w:lvlText w:val="(%1)"/>
      <w:numFmt w:val="lowerLetter"/>
      <w:start w:val="10"/>
    </w:lvl>
  </w:abstractNum>
  <w:abstractNum w:abstractNumId="298">
    <w:nsid w:val="67A5A6B5"/>
    <w:multiLevelType w:val="hybridMultilevel"/>
    <w:lvl w:ilvl="0">
      <w:lvlJc w:val="left"/>
      <w:lvlText w:val="(%1)"/>
      <w:numFmt w:val="decimal"/>
      <w:start w:val="1"/>
    </w:lvl>
  </w:abstractNum>
  <w:abstractNum w:abstractNumId="299">
    <w:nsid w:val="C2A5C5B"/>
    <w:multiLevelType w:val="hybridMultilevel"/>
    <w:lvl w:ilvl="0">
      <w:lvlJc w:val="left"/>
      <w:lvlText w:val="(%1)"/>
      <w:numFmt w:val="lowerLetter"/>
      <w:start w:val="13"/>
    </w:lvl>
  </w:abstractNum>
  <w:abstractNum w:abstractNumId="300">
    <w:nsid w:val="5F94DC03"/>
    <w:multiLevelType w:val="hybridMultilevel"/>
    <w:lvl w:ilvl="0">
      <w:lvlJc w:val="left"/>
      <w:lvlText w:val="%1."/>
      <w:numFmt w:val="decimal"/>
      <w:start w:val="11"/>
    </w:lvl>
    <w:lvl w:ilvl="1">
      <w:lvlJc w:val="left"/>
      <w:lvlText w:val="(%2)"/>
      <w:numFmt w:val="lowerLetter"/>
      <w:start w:val="1"/>
    </w:lvl>
  </w:abstractNum>
  <w:abstractNum w:abstractNumId="301">
    <w:nsid w:val="237BBCA0"/>
    <w:multiLevelType w:val="hybridMultilevel"/>
    <w:lvl w:ilvl="0">
      <w:lvlJc w:val="left"/>
      <w:lvlText w:val="%1"/>
      <w:numFmt w:val="decimal"/>
      <w:start w:val="1"/>
    </w:lvl>
    <w:lvl w:ilvl="1">
      <w:lvlJc w:val="left"/>
      <w:lvlText w:val="(%2)"/>
      <w:numFmt w:val="lowerLetter"/>
      <w:start w:val="3"/>
    </w:lvl>
  </w:abstractNum>
  <w:abstractNum w:abstractNumId="302">
    <w:nsid w:val="162EB70D"/>
    <w:multiLevelType w:val="hybridMultilevel"/>
    <w:lvl w:ilvl="0">
      <w:lvlJc w:val="left"/>
      <w:lvlText w:val="%1."/>
      <w:numFmt w:val="decimal"/>
      <w:start w:val="13"/>
    </w:lvl>
    <w:lvl w:ilvl="1">
      <w:lvlJc w:val="left"/>
      <w:lvlText w:val="(%2)"/>
      <w:numFmt w:val="lowerLetter"/>
      <w:start w:val="1"/>
    </w:lvl>
  </w:abstractNum>
  <w:abstractNum w:abstractNumId="303">
    <w:nsid w:val="78070222"/>
    <w:multiLevelType w:val="hybridMultilevel"/>
    <w:lvl w:ilvl="0">
      <w:lvlJc w:val="left"/>
      <w:lvlText w:val="%1"/>
      <w:numFmt w:val="decimal"/>
      <w:start w:val="1"/>
    </w:lvl>
    <w:lvl w:ilvl="1">
      <w:lvlJc w:val="left"/>
      <w:lvlText w:val="(%2)"/>
      <w:numFmt w:val="lowerLetter"/>
      <w:start w:val="3"/>
    </w:lvl>
  </w:abstractNum>
  <w:abstractNum w:abstractNumId="304">
    <w:nsid w:val="6163ED0D"/>
    <w:multiLevelType w:val="hybridMultilevel"/>
    <w:lvl w:ilvl="0">
      <w:lvlJc w:val="left"/>
      <w:lvlText w:val="%1."/>
      <w:numFmt w:val="decimal"/>
      <w:start w:val="16"/>
    </w:lvl>
    <w:lvl w:ilvl="1">
      <w:lvlJc w:val="left"/>
      <w:lvlText w:val="%2"/>
      <w:numFmt w:val="lowerLetter"/>
      <w:start w:val="1"/>
    </w:lvl>
  </w:abstractNum>
  <w:abstractNum w:abstractNumId="305">
    <w:nsid w:val="C600E47"/>
    <w:multiLevelType w:val="hybridMultilevel"/>
    <w:lvl w:ilvl="0">
      <w:lvlJc w:val="left"/>
      <w:lvlText w:val="%1."/>
      <w:numFmt w:val="decimal"/>
      <w:start w:val="20"/>
    </w:lvl>
    <w:lvl w:ilvl="1">
      <w:lvlJc w:val="left"/>
      <w:lvlText w:val="(%2)"/>
      <w:numFmt w:val="lowerLetter"/>
      <w:start w:val="1"/>
    </w:lvl>
  </w:abstractNum>
  <w:abstractNum w:abstractNumId="306">
    <w:nsid w:val="7D94F75D"/>
    <w:multiLevelType w:val="hybridMultilevel"/>
    <w:lvl w:ilvl="0">
      <w:lvlJc w:val="left"/>
      <w:lvlText w:val="(%1)"/>
      <w:numFmt w:val="lowerLetter"/>
      <w:start w:val="6"/>
    </w:lvl>
  </w:abstractNum>
  <w:abstractNum w:abstractNumId="307">
    <w:nsid w:val="6C31E7CD"/>
    <w:multiLevelType w:val="hybridMultilevel"/>
    <w:lvl w:ilvl="0">
      <w:lvlJc w:val="left"/>
      <w:lvlText w:val="(%1)"/>
      <w:numFmt w:val="lowerLetter"/>
      <w:start w:val="7"/>
    </w:lvl>
  </w:abstractNum>
  <w:abstractNum w:abstractNumId="308">
    <w:nsid w:val="2BB7929B"/>
    <w:multiLevelType w:val="hybridMultilevel"/>
    <w:lvl w:ilvl="0">
      <w:lvlJc w:val="left"/>
      <w:lvlText w:val="(%1)"/>
      <w:numFmt w:val="decimal"/>
      <w:start w:val="1"/>
    </w:lvl>
  </w:abstractNum>
  <w:abstractNum w:abstractNumId="309">
    <w:nsid w:val="58A2A487"/>
    <w:multiLevelType w:val="hybridMultilevel"/>
    <w:lvl w:ilvl="0">
      <w:lvlJc w:val="left"/>
      <w:lvlText w:val="(%1)"/>
      <w:numFmt w:val="lowerLetter"/>
      <w:start w:val="13"/>
    </w:lvl>
  </w:abstractNum>
  <w:abstractNum w:abstractNumId="310">
    <w:nsid w:val="3A6F0E78"/>
    <w:multiLevelType w:val="hybridMultilevel"/>
    <w:lvl w:ilvl="0">
      <w:lvlJc w:val="left"/>
      <w:lvlText w:val="(%1)"/>
      <w:numFmt w:val="lowerLetter"/>
      <w:start w:val="14"/>
    </w:lvl>
  </w:abstractNum>
  <w:abstractNum w:abstractNumId="311">
    <w:nsid w:val="379A5B56"/>
    <w:multiLevelType w:val="hybridMultilevel"/>
    <w:lvl w:ilvl="0">
      <w:lvlJc w:val="left"/>
      <w:lvlText w:val="%1."/>
      <w:numFmt w:val="decimal"/>
      <w:start w:val="1"/>
    </w:lvl>
  </w:abstractNum>
  <w:abstractNum w:abstractNumId="312">
    <w:nsid w:val="53B735D5"/>
    <w:multiLevelType w:val="hybridMultilevel"/>
    <w:lvl w:ilvl="0">
      <w:lvlJc w:val="left"/>
      <w:lvlText w:val="%1."/>
      <w:numFmt w:val="decimal"/>
      <w:start w:val="12"/>
    </w:lvl>
    <w:lvl w:ilvl="1">
      <w:lvlJc w:val="left"/>
      <w:lvlText w:val="%2."/>
      <w:numFmt w:val="decimal"/>
      <w:start w:val="14"/>
    </w:lvl>
  </w:abstractNum>
  <w:abstractNum w:abstractNumId="313">
    <w:nsid w:val="29784870"/>
    <w:multiLevelType w:val="hybridMultilevel"/>
    <w:lvl w:ilvl="0">
      <w:lvlJc w:val="left"/>
      <w:lvlText w:val="%1."/>
      <w:numFmt w:val="decimal"/>
      <w:start w:val="15"/>
    </w:lvl>
  </w:abstractNum>
  <w:abstractNum w:abstractNumId="314">
    <w:nsid w:val="4CDCED4C"/>
    <w:multiLevelType w:val="hybridMultilevel"/>
    <w:lvl w:ilvl="0">
      <w:lvlJc w:val="left"/>
      <w:lvlText w:val="%1."/>
      <w:numFmt w:val="decimal"/>
      <w:start w:val="1"/>
    </w:lvl>
  </w:abstractNum>
  <w:abstractNum w:abstractNumId="315">
    <w:nsid w:val="10A30D9C"/>
    <w:multiLevelType w:val="hybridMultilevel"/>
    <w:lvl w:ilvl="0">
      <w:lvlJc w:val="left"/>
      <w:lvlText w:val="%1."/>
      <w:numFmt w:val="decimal"/>
      <w:start w:val="3"/>
    </w:lvl>
  </w:abstractNum>
  <w:abstractNum w:abstractNumId="316">
    <w:nsid w:val="A66E486"/>
    <w:multiLevelType w:val="hybridMultilevel"/>
    <w:lvl w:ilvl="0">
      <w:lvlJc w:val="left"/>
      <w:lvlText w:val="%1."/>
      <w:numFmt w:val="decimal"/>
      <w:start w:val="4"/>
    </w:lvl>
  </w:abstractNum>
  <w:abstractNum w:abstractNumId="317">
    <w:nsid w:val="306235EA"/>
    <w:multiLevelType w:val="hybridMultilevel"/>
    <w:lvl w:ilvl="0">
      <w:lvlJc w:val="left"/>
      <w:lvlText w:val="%1."/>
      <w:numFmt w:val="decimal"/>
      <w:start w:val="1"/>
    </w:lvl>
  </w:abstractNum>
  <w:abstractNum w:abstractNumId="318">
    <w:nsid w:val="1187C70F"/>
    <w:multiLevelType w:val="hybridMultilevel"/>
    <w:lvl w:ilvl="0">
      <w:lvlJc w:val="left"/>
      <w:lvlText w:val="%1."/>
      <w:numFmt w:val="decimal"/>
      <w:start w:val="1"/>
    </w:lvl>
  </w:abstractNum>
  <w:abstractNum w:abstractNumId="319">
    <w:nsid w:val="5476DE98"/>
    <w:multiLevelType w:val="hybridMultilevel"/>
    <w:lvl w:ilvl="0">
      <w:lvlJc w:val="left"/>
      <w:lvlText w:val="(%1)"/>
      <w:numFmt w:val="lowerRoman"/>
      <w:start w:val="1"/>
    </w:lvl>
  </w:abstractNum>
  <w:abstractNum w:abstractNumId="320">
    <w:nsid w:val="EA697F2"/>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321">
    <w:nsid w:val="70BA39E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22">
    <w:nsid w:val="4A8DB59C"/>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23">
    <w:nsid w:val="1AFD9053"/>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324">
    <w:nsid w:val="558BB10D"/>
    <w:multiLevelType w:val="hybridMultilevel"/>
    <w:lvl w:ilvl="0">
      <w:lvlJc w:val="left"/>
      <w:lvlText w:val="(%1)"/>
      <w:numFmt w:val="upperLetter"/>
      <w:start w:val="1"/>
    </w:lvl>
  </w:abstractNum>
  <w:abstractNum w:abstractNumId="325">
    <w:nsid w:val="43B27FA7"/>
    <w:multiLevelType w:val="hybridMultilevel"/>
    <w:lvl w:ilvl="0">
      <w:lvlJc w:val="left"/>
      <w:lvlText w:val="(%1)"/>
      <w:numFmt w:val="upperLetter"/>
      <w:start w:val="3"/>
    </w:lvl>
  </w:abstractNum>
  <w:abstractNum w:abstractNumId="326">
    <w:nsid w:val="27FADEFA"/>
    <w:multiLevelType w:val="hybridMultilevel"/>
    <w:lvl w:ilvl="0">
      <w:lvlJc w:val="left"/>
      <w:lvlText w:val="(%1)"/>
      <w:numFmt w:val="upperLetter"/>
      <w:start w:val="2"/>
    </w:lvl>
  </w:abstractNum>
  <w:abstractNum w:abstractNumId="327">
    <w:nsid w:val="78BB805A"/>
    <w:multiLevelType w:val="hybridMultilevel"/>
    <w:lvl w:ilvl="0">
      <w:lvlJc w:val="left"/>
      <w:lvlText w:val="(%1)"/>
      <w:numFmt w:val="lowerRoman"/>
      <w:start w:val="1"/>
    </w:lvl>
  </w:abstractNum>
  <w:abstractNum w:abstractNumId="328">
    <w:nsid w:val="62548FD8"/>
    <w:multiLevelType w:val="hybridMultilevel"/>
    <w:lvl w:ilvl="0">
      <w:lvlJc w:val="left"/>
      <w:lvlText w:val="(%1)"/>
      <w:numFmt w:val="lowerRoman"/>
      <w:start w:val="10"/>
    </w:lvl>
  </w:abstractNum>
  <w:abstractNum w:abstractNumId="329">
    <w:nsid w:val="FA085B0"/>
    <w:multiLevelType w:val="hybridMultilevel"/>
    <w:lvl w:ilvl="0">
      <w:lvlJc w:val="left"/>
      <w:lvlText w:val="(%1)"/>
      <w:numFmt w:val="lowerLetter"/>
      <w:start w:val="1"/>
    </w:lvl>
  </w:abstractNum>
  <w:abstractNum w:abstractNumId="330">
    <w:nsid w:val="4E5DCB5"/>
    <w:multiLevelType w:val="hybridMultilevel"/>
    <w:lvl w:ilvl="0">
      <w:lvlJc w:val="left"/>
      <w:lvlText w:val="(%1)"/>
      <w:numFmt w:val="lowerLetter"/>
      <w:start w:val="1"/>
    </w:lvl>
    <w:lvl w:ilvl="1">
      <w:lvlJc w:val="left"/>
      <w:lvlText w:val="(%2)"/>
      <w:numFmt w:val="lowerRoman"/>
      <w:start w:val="1"/>
    </w:lvl>
  </w:abstractNum>
  <w:abstractNum w:abstractNumId="331">
    <w:nsid w:val="41E96BDB"/>
    <w:multiLevelType w:val="hybridMultilevel"/>
    <w:lvl w:ilvl="0">
      <w:lvlJc w:val="left"/>
      <w:lvlText w:val="(%1)"/>
      <w:numFmt w:val="lowerRoman"/>
      <w:start w:val="3"/>
    </w:lvl>
    <w:lvl w:ilvl="1">
      <w:lvlJc w:val="left"/>
      <w:lvlText w:val="(%2)"/>
      <w:numFmt w:val="upperLetter"/>
      <w:start w:val="1"/>
    </w:lvl>
  </w:abstractNum>
  <w:abstractNum w:abstractNumId="332">
    <w:nsid w:val="331C4250"/>
    <w:multiLevelType w:val="hybridMultilevel"/>
    <w:lvl w:ilvl="0">
      <w:lvlJc w:val="left"/>
      <w:lvlText w:val="%1"/>
      <w:numFmt w:val="lowerLetter"/>
      <w:start w:val="1"/>
    </w:lvl>
    <w:lvl w:ilvl="1">
      <w:lvlJc w:val="left"/>
      <w:lvlText w:val="(%2)"/>
      <w:numFmt w:val="upperLetter"/>
      <w:start w:val="7"/>
    </w:lvl>
  </w:abstractNum>
  <w:abstractNum w:abstractNumId="333">
    <w:nsid w:val="1B1493C2"/>
    <w:multiLevelType w:val="hybridMultilevel"/>
    <w:lvl w:ilvl="0">
      <w:lvlJc w:val="left"/>
      <w:lvlText w:val="(%1)"/>
      <w:numFmt w:val="lowerLetter"/>
      <w:start w:val="2"/>
    </w:lvl>
    <w:lvl w:ilvl="1">
      <w:lvlJc w:val="left"/>
      <w:lvlText w:val="%2"/>
      <w:numFmt w:val="upperLetter"/>
      <w:start w:val="1"/>
    </w:lvl>
  </w:abstractNum>
  <w:abstractNum w:abstractNumId="334">
    <w:nsid w:val="39F06DFD"/>
    <w:multiLevelType w:val="hybridMultilevel"/>
    <w:lvl w:ilvl="0">
      <w:lvlJc w:val="left"/>
      <w:lvlText w:val="(%1)"/>
      <w:numFmt w:val="lowerLetter"/>
      <w:start w:val="1"/>
    </w:lvl>
  </w:abstractNum>
  <w:abstractNum w:abstractNumId="335">
    <w:nsid w:val="14802F5D"/>
    <w:multiLevelType w:val="hybridMultilevel"/>
    <w:lvl w:ilvl="0">
      <w:lvlJc w:val="left"/>
      <w:lvlText w:val="(%1)"/>
      <w:numFmt w:val="lowerLetter"/>
      <w:start w:val="1"/>
    </w:lvl>
  </w:abstractNum>
  <w:abstractNum w:abstractNumId="336">
    <w:nsid w:val="2774A209"/>
    <w:multiLevelType w:val="hybridMultilevel"/>
    <w:lvl w:ilvl="0">
      <w:lvlJc w:val="left"/>
      <w:lvlText w:val="(%1)"/>
      <w:numFmt w:val="lowerLetter"/>
      <w:start w:val="3"/>
    </w:lvl>
  </w:abstractNum>
  <w:abstractNum w:abstractNumId="337">
    <w:nsid w:val="3785655A"/>
    <w:multiLevelType w:val="hybridMultilevel"/>
    <w:lvl w:ilvl="0">
      <w:lvlJc w:val="left"/>
      <w:lvlText w:val="(%1)"/>
      <w:numFmt w:val="lowerLetter"/>
      <w:start w:val="1"/>
    </w:lvl>
  </w:abstractNum>
  <w:abstractNum w:abstractNumId="338">
    <w:nsid w:val="B2172A"/>
    <w:multiLevelType w:val="hybridMultilevel"/>
    <w:lvl w:ilvl="0">
      <w:lvlJc w:val="left"/>
      <w:lvlText w:val="%1"/>
      <w:numFmt w:val="decimal"/>
      <w:start w:val="1"/>
    </w:lvl>
    <w:lvl w:ilvl="1">
      <w:lvlJc w:val="left"/>
      <w:lvlText w:val="(%2)"/>
      <w:numFmt w:val="lowerLetter"/>
      <w:start w:val="1"/>
    </w:lvl>
  </w:abstractNum>
  <w:abstractNum w:abstractNumId="339">
    <w:nsid w:val="532C34A5"/>
    <w:multiLevelType w:val="hybridMultilevel"/>
    <w:lvl w:ilvl="0">
      <w:lvlJc w:val="left"/>
      <w:lvlText w:val="(%1)"/>
      <w:numFmt w:val="decimal"/>
      <w:start w:val="240"/>
    </w:lvl>
    <w:lvl w:ilvl="1">
      <w:lvlJc w:val="left"/>
      <w:lvlText w:val="%2"/>
      <w:numFmt w:val="lowerLetter"/>
      <w:start w:val="1"/>
    </w:lvl>
  </w:abstractNum>
  <w:abstractNum w:abstractNumId="340">
    <w:nsid w:val="102809E2"/>
    <w:multiLevelType w:val="hybridMultilevel"/>
    <w:lvl w:ilvl="0">
      <w:lvlJc w:val="left"/>
      <w:lvlText w:val="(%1)"/>
      <w:numFmt w:val="lowerRoman"/>
      <w:start w:val="4"/>
    </w:lvl>
  </w:abstractNum>
  <w:abstractNum w:abstractNumId="341">
    <w:nsid w:val="3B2125A3"/>
    <w:multiLevelType w:val="hybridMultilevel"/>
    <w:lvl w:ilvl="0">
      <w:lvlJc w:val="left"/>
      <w:lvlText w:val="(%1)"/>
      <w:numFmt w:val="lowerLetter"/>
      <w:start w:val="1"/>
    </w:lvl>
  </w:abstractNum>
  <w:abstractNum w:abstractNumId="342">
    <w:nsid w:val="AC68FFB"/>
    <w:multiLevelType w:val="hybridMultilevel"/>
    <w:lvl w:ilvl="0">
      <w:lvlJc w:val="left"/>
      <w:lvlText w:val="(%1)"/>
      <w:numFmt w:val="lowerLetter"/>
      <w:start w:val="8"/>
    </w:lvl>
  </w:abstractNum>
  <w:abstractNum w:abstractNumId="343">
    <w:nsid w:val="63DF3FB7"/>
    <w:multiLevelType w:val="hybridMultilevel"/>
    <w:lvl w:ilvl="0">
      <w:lvlJc w:val="left"/>
      <w:lvlText w:val="(%1)"/>
      <w:numFmt w:val="lowerRoman"/>
      <w:start w:val="2"/>
    </w:lvl>
  </w:abstractNum>
  <w:abstractNum w:abstractNumId="344">
    <w:nsid w:val="64996E13"/>
    <w:multiLevelType w:val="hybridMultilevel"/>
    <w:lvl w:ilvl="0">
      <w:lvlJc w:val="left"/>
      <w:lvlText w:val="(%1)"/>
      <w:numFmt w:val="lowerRoman"/>
      <w:start w:val="7"/>
    </w:lvl>
  </w:abstractNum>
  <w:abstractNum w:abstractNumId="345">
    <w:nsid w:val="57A37D47"/>
    <w:multiLevelType w:val="hybridMultilevel"/>
    <w:lvl w:ilvl="0">
      <w:lvlJc w:val="left"/>
      <w:lvlText w:val="(%1)"/>
      <w:numFmt w:val="lowerRoman"/>
      <w:start w:val="1"/>
    </w:lvl>
  </w:abstractNum>
  <w:abstractNum w:abstractNumId="346">
    <w:nsid w:val="74824D54"/>
    <w:multiLevelType w:val="hybridMultilevel"/>
    <w:lvl w:ilvl="0">
      <w:lvlJc w:val="left"/>
      <w:lvlText w:val="(%1)"/>
      <w:numFmt w:val="decimal"/>
      <w:start w:val="3"/>
    </w:lvl>
  </w:abstractNum>
  <w:abstractNum w:abstractNumId="347">
    <w:nsid w:val="6F00529A"/>
    <w:multiLevelType w:val="hybridMultilevel"/>
    <w:lvl w:ilvl="0">
      <w:lvlJc w:val="left"/>
      <w:lvlText w:val="(%1)"/>
      <w:numFmt w:val="lowerRoman"/>
      <w:start w:val="3"/>
    </w:lvl>
  </w:abstractNum>
  <w:abstractNum w:abstractNumId="348">
    <w:nsid w:val="805B331"/>
    <w:multiLevelType w:val="hybridMultilevel"/>
    <w:lvl w:ilvl="0">
      <w:lvlJc w:val="left"/>
      <w:lvlText w:val="(%1)"/>
      <w:numFmt w:val="lowerRoman"/>
      <w:start w:val="1"/>
    </w:lvl>
  </w:abstractNum>
  <w:abstractNum w:abstractNumId="349">
    <w:nsid w:val="60A1463"/>
    <w:multiLevelType w:val="hybridMultilevel"/>
    <w:lvl w:ilvl="0">
      <w:lvlJc w:val="left"/>
      <w:lvlText w:val="(%1)"/>
      <w:numFmt w:val="lowerLetter"/>
      <w:start w:val="1"/>
    </w:lvl>
  </w:abstractNum>
  <w:abstractNum w:abstractNumId="350">
    <w:nsid w:val="43773132"/>
    <w:multiLevelType w:val="hybridMultilevel"/>
    <w:lvl w:ilvl="0">
      <w:lvlJc w:val="left"/>
      <w:lvlText w:val="(%1)"/>
      <w:numFmt w:val="lowerLetter"/>
      <w:start w:val="2"/>
    </w:lvl>
  </w:abstractNum>
  <w:abstractNum w:abstractNumId="351">
    <w:nsid w:val="16AC4B23"/>
    <w:multiLevelType w:val="hybridMultilevel"/>
    <w:lvl w:ilvl="0">
      <w:lvlJc w:val="left"/>
      <w:lvlText w:val="(%1)"/>
      <w:numFmt w:val="lowerLetter"/>
      <w:start w:val="1"/>
    </w:lvl>
  </w:abstractNum>
  <w:abstractNum w:abstractNumId="352">
    <w:nsid w:val="76C44E4E"/>
    <w:multiLevelType w:val="hybridMultilevel"/>
    <w:lvl w:ilvl="0">
      <w:lvlJc w:val="left"/>
      <w:lvlText w:val="(%1)"/>
      <w:numFmt w:val="lowerLetter"/>
      <w:start w:val="4"/>
    </w:lvl>
    <w:lvl w:ilvl="1">
      <w:lvlJc w:val="left"/>
      <w:lvlText w:val="(%2)"/>
      <w:numFmt w:val="lowerRoman"/>
      <w:start w:val="1"/>
    </w:lvl>
  </w:abstractNum>
  <w:abstractNum w:abstractNumId="353">
    <w:nsid w:val="E04E6CE"/>
    <w:multiLevelType w:val="hybridMultilevel"/>
    <w:lvl w:ilvl="0">
      <w:lvlJc w:val="left"/>
      <w:lvlText w:val="(%1)"/>
      <w:numFmt w:val="lowerRoman"/>
      <w:start w:val="2"/>
    </w:lvl>
  </w:abstractNum>
  <w:abstractNum w:abstractNumId="354">
    <w:nsid w:val="31A9DB76"/>
    <w:multiLevelType w:val="hybridMultilevel"/>
    <w:lvl w:ilvl="0">
      <w:lvlJc w:val="left"/>
      <w:lvlText w:val="(%1)"/>
      <w:numFmt w:val="lowerRoman"/>
      <w:start w:val="1"/>
    </w:lvl>
  </w:abstractNum>
  <w:abstractNum w:abstractNumId="355">
    <w:nsid w:val="4C4FFF5B"/>
    <w:multiLevelType w:val="hybridMultilevel"/>
    <w:lvl w:ilvl="0">
      <w:lvlJc w:val="left"/>
      <w:lvlText w:val="(%1)"/>
      <w:numFmt w:val="lowerLetter"/>
      <w:start w:val="2"/>
    </w:lvl>
  </w:abstractNum>
  <w:abstractNum w:abstractNumId="356">
    <w:nsid w:val="51B76675"/>
    <w:multiLevelType w:val="hybridMultilevel"/>
    <w:lvl w:ilvl="0">
      <w:lvlJc w:val="left"/>
      <w:lvlText w:val="(%1)"/>
      <w:numFmt w:val="lowerLetter"/>
      <w:start w:val="3"/>
    </w:lvl>
  </w:abstractNum>
  <w:abstractNum w:abstractNumId="357">
    <w:nsid w:val="59A4BA71"/>
    <w:multiLevelType w:val="hybridMultilevel"/>
    <w:lvl w:ilvl="0">
      <w:lvlJc w:val="left"/>
      <w:lvlText w:val="(%1)"/>
      <w:numFmt w:val="lowerRoman"/>
      <w:start w:val="2"/>
    </w:lvl>
  </w:abstractNum>
  <w:abstractNum w:abstractNumId="358">
    <w:nsid w:val="450B7FB6"/>
    <w:multiLevelType w:val="hybridMultilevel"/>
    <w:lvl w:ilvl="0">
      <w:lvlJc w:val="left"/>
      <w:lvlText w:val="(%1)"/>
      <w:numFmt w:val="lowerRoman"/>
      <w:start w:val="2"/>
    </w:lvl>
  </w:abstractNum>
  <w:abstractNum w:abstractNumId="359">
    <w:nsid w:val="340BF64D"/>
    <w:multiLevelType w:val="hybridMultilevel"/>
    <w:lvl w:ilvl="0">
      <w:lvlJc w:val="left"/>
      <w:lvlText w:val="(%1)"/>
      <w:numFmt w:val="lowerLetter"/>
      <w:start w:val="1"/>
    </w:lvl>
  </w:abstractNum>
  <w:abstractNum w:abstractNumId="360">
    <w:nsid w:val="69454021"/>
    <w:multiLevelType w:val="hybridMultilevel"/>
    <w:lvl w:ilvl="0">
      <w:lvlJc w:val="left"/>
      <w:lvlText w:val="(%1)"/>
      <w:numFmt w:val="lowerLetter"/>
      <w:start w:val="1"/>
    </w:lvl>
  </w:abstractNum>
  <w:abstractNum w:abstractNumId="361">
    <w:nsid w:val="49F15C6B"/>
    <w:multiLevelType w:val="hybridMultilevel"/>
    <w:lvl w:ilvl="0">
      <w:lvlJc w:val="left"/>
      <w:lvlText w:val="%1"/>
      <w:numFmt w:val="lowerRoman"/>
      <w:start w:val="1"/>
    </w:lvl>
    <w:lvl w:ilvl="1">
      <w:lvlJc w:val="left"/>
      <w:lvlText w:val="(%2)"/>
      <w:numFmt w:val="lowerLetter"/>
      <w:start w:val="1"/>
    </w:lvl>
  </w:abstractNum>
  <w:abstractNum w:abstractNumId="362">
    <w:nsid w:val="75F56228"/>
    <w:multiLevelType w:val="hybridMultilevel"/>
    <w:lvl w:ilvl="0">
      <w:lvlJc w:val="left"/>
      <w:lvlText w:val="(%1)"/>
      <w:numFmt w:val="lowerRoman"/>
      <w:start w:val="4"/>
    </w:lvl>
    <w:lvl w:ilvl="1">
      <w:lvlJc w:val="left"/>
      <w:lvlText w:val="%2"/>
      <w:numFmt w:val="lowerLetter"/>
      <w:start w:val="1"/>
    </w:lvl>
  </w:abstractNum>
  <w:abstractNum w:abstractNumId="363">
    <w:nsid w:val="1C618271"/>
    <w:multiLevelType w:val="hybridMultilevel"/>
    <w:lvl w:ilvl="0">
      <w:lvlJc w:val="left"/>
      <w:lvlText w:val="(%1)"/>
      <w:numFmt w:val="lowerLetter"/>
      <w:start w:val="2"/>
    </w:lvl>
  </w:abstractNum>
  <w:abstractNum w:abstractNumId="364">
    <w:nsid w:val="6505F02E"/>
    <w:multiLevelType w:val="hybridMultilevel"/>
    <w:lvl w:ilvl="0">
      <w:lvlJc w:val="left"/>
      <w:lvlText w:val="(%1)"/>
      <w:numFmt w:val="lowerLetter"/>
      <w:start w:val="4"/>
    </w:lvl>
  </w:abstractNum>
  <w:abstractNum w:abstractNumId="365">
    <w:nsid w:val="2FE5D025"/>
    <w:multiLevelType w:val="hybridMultilevel"/>
    <w:lvl w:ilvl="0">
      <w:lvlJc w:val="left"/>
      <w:lvlText w:val="(%1)"/>
      <w:numFmt w:val="decimal"/>
      <w:start w:val="30"/>
    </w:lvl>
  </w:abstractNum>
  <w:abstractNum w:abstractNumId="366">
    <w:nsid w:val="30E1B1CF"/>
    <w:multiLevelType w:val="hybridMultilevel"/>
    <w:lvl w:ilvl="0">
      <w:lvlJc w:val="left"/>
      <w:lvlText w:val="(%1)"/>
      <w:numFmt w:val="lowerLetter"/>
      <w:start w:val="1"/>
    </w:lvl>
  </w:abstractNum>
  <w:abstractNum w:abstractNumId="367">
    <w:nsid w:val="C7A9237"/>
    <w:multiLevelType w:val="hybridMultilevel"/>
    <w:lvl w:ilvl="0">
      <w:lvlJc w:val="left"/>
      <w:lvlText w:val="(%1)"/>
      <w:numFmt w:val="lowerLetter"/>
      <w:start w:val="1"/>
    </w:lvl>
  </w:abstractNum>
  <w:abstractNum w:abstractNumId="368">
    <w:nsid w:val="676B3580"/>
    <w:multiLevelType w:val="hybridMultilevel"/>
    <w:lvl w:ilvl="0">
      <w:lvlJc w:val="left"/>
      <w:lvlText w:val="(%1)"/>
      <w:numFmt w:val="lowerLetter"/>
      <w:start w:val="3"/>
    </w:lvl>
  </w:abstractNum>
  <w:abstractNum w:abstractNumId="369">
    <w:nsid w:val="3193C8F9"/>
    <w:multiLevelType w:val="hybridMultilevel"/>
    <w:lvl w:ilvl="0">
      <w:lvlJc w:val="left"/>
      <w:lvlText w:val="(%1)"/>
      <w:numFmt w:val="lowerLetter"/>
      <w:start w:val="1"/>
    </w:lvl>
  </w:abstractNum>
  <w:abstractNum w:abstractNumId="370">
    <w:nsid w:val="5FA6C6DC"/>
    <w:multiLevelType w:val="hybridMultilevel"/>
    <w:lvl w:ilvl="0">
      <w:lvlJc w:val="left"/>
      <w:lvlText w:val="(%1)"/>
      <w:numFmt w:val="lowerLetter"/>
      <w:start w:val="3"/>
    </w:lvl>
  </w:abstractNum>
  <w:abstractNum w:abstractNumId="371">
    <w:nsid w:val="77933F62"/>
    <w:multiLevelType w:val="hybridMultilevel"/>
    <w:lvl w:ilvl="0">
      <w:lvlJc w:val="left"/>
      <w:lvlText w:val="(%1)"/>
      <w:numFmt w:val="lowerLetter"/>
      <w:start w:val="1"/>
    </w:lvl>
  </w:abstractNum>
  <w:abstractNum w:abstractNumId="372">
    <w:nsid w:val="6CB4EE9C"/>
    <w:multiLevelType w:val="hybridMultilevel"/>
    <w:lvl w:ilvl="0">
      <w:lvlJc w:val="left"/>
      <w:lvlText w:val="(%1)"/>
      <w:numFmt w:val="lowerLetter"/>
      <w:start w:val="3"/>
    </w:lvl>
  </w:abstractNum>
  <w:abstractNum w:abstractNumId="373">
    <w:nsid w:val="6A6D56D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4">
    <w:nsid w:val="5B727F1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5">
    <w:nsid w:val="514E5CB0"/>
    <w:multiLevelType w:val="hybridMultilevel"/>
    <w:lvl w:ilvl="0">
      <w:lvlJc w:val="left"/>
      <w:lvlText w:val="(%1)"/>
      <w:numFmt w:val="lowerLetter"/>
      <w:start w:val="4"/>
    </w:lvl>
  </w:abstractNum>
  <w:abstractNum w:abstractNumId="376">
    <w:nsid w:val="4210D41E"/>
    <w:multiLevelType w:val="hybridMultilevel"/>
    <w:lvl w:ilvl="0">
      <w:lvlJc w:val="left"/>
      <w:lvlText w:val="%1"/>
      <w:numFmt w:val="decimal"/>
      <w:start w:val="1"/>
    </w:lvl>
    <w:lvl w:ilvl="1">
      <w:lvlJc w:val="left"/>
      <w:lvlText w:val="(%2)"/>
      <w:numFmt w:val="lowerLetter"/>
      <w:start w:val="7"/>
    </w:lvl>
  </w:abstractNum>
  <w:abstractNum w:abstractNumId="377">
    <w:nsid w:val="4FF4CC6D"/>
    <w:multiLevelType w:val="hybridMultilevel"/>
    <w:lvl w:ilvl="0">
      <w:lvlJc w:val="left"/>
      <w:lvlText w:val="(%1)"/>
      <w:numFmt w:val="decimal"/>
      <w:start w:val="10"/>
    </w:lvl>
    <w:lvl w:ilvl="1">
      <w:lvlJc w:val="left"/>
      <w:lvlText w:val="%2"/>
      <w:numFmt w:val="lowerLetter"/>
      <w:start w:val="1"/>
    </w:lvl>
  </w:abstractNum>
  <w:abstractNum w:abstractNumId="378">
    <w:nsid w:val="404EAF4A"/>
    <w:multiLevelType w:val="hybridMultilevel"/>
    <w:lvl w:ilvl="0">
      <w:lvlJc w:val="left"/>
      <w:lvlText w:val="(%1)"/>
      <w:numFmt w:val="decimal"/>
      <w:start w:val="180"/>
    </w:lvl>
  </w:abstractNum>
  <w:abstractNum w:abstractNumId="379">
    <w:nsid w:val="4A16874F"/>
    <w:multiLevelType w:val="hybridMultilevel"/>
    <w:lvl w:ilvl="0">
      <w:lvlJc w:val="left"/>
      <w:lvlText w:val="(%1)"/>
      <w:numFmt w:val="lowerLetter"/>
      <w:start w:val="1"/>
    </w:lvl>
  </w:abstractNum>
  <w:abstractNum w:abstractNumId="380">
    <w:nsid w:val="55FEE0D1"/>
    <w:multiLevelType w:val="hybridMultilevel"/>
    <w:lvl w:ilvl="0">
      <w:lvlJc w:val="left"/>
      <w:lvlText w:val="(%1)"/>
      <w:numFmt w:val="lowerLetter"/>
      <w:start w:val="2"/>
    </w:lvl>
  </w:abstractNum>
  <w:abstractNum w:abstractNumId="381">
    <w:nsid w:val="3C5E07C"/>
    <w:multiLevelType w:val="hybridMultilevel"/>
    <w:lvl w:ilvl="0">
      <w:lvlJc w:val="left"/>
      <w:lvlText w:val="(%1)"/>
      <w:numFmt w:val="lowerLetter"/>
      <w:start w:val="1"/>
    </w:lvl>
    <w:lvl w:ilvl="1">
      <w:lvlJc w:val="left"/>
      <w:lvlText w:val="(%2)"/>
      <w:numFmt w:val="lowerLetter"/>
      <w:start w:val="9"/>
    </w:lvl>
  </w:abstractNum>
  <w:abstractNum w:abstractNumId="382">
    <w:nsid w:val="60C2D273"/>
    <w:multiLevelType w:val="hybridMultilevel"/>
    <w:lvl w:ilvl="0">
      <w:lvlJc w:val="left"/>
      <w:lvlText w:val="(%1)"/>
      <w:numFmt w:val="lowerRoman"/>
      <w:start w:val="2"/>
    </w:lvl>
  </w:abstractNum>
  <w:abstractNum w:abstractNumId="383">
    <w:nsid w:val="4CC32F1F"/>
    <w:multiLevelType w:val="hybridMultilevel"/>
    <w:lvl w:ilvl="0">
      <w:lvlJc w:val="left"/>
      <w:lvlText w:val="%1"/>
      <w:numFmt w:val="lowerLetter"/>
      <w:start w:val="1"/>
    </w:lvl>
    <w:lvl w:ilvl="1">
      <w:lvlJc w:val="left"/>
      <w:lvlText w:val="(%2)"/>
      <w:numFmt w:val="lowerRoman"/>
      <w:start w:val="4"/>
    </w:lvl>
  </w:abstractNum>
  <w:abstractNum w:abstractNumId="384">
    <w:nsid w:val="11CAC74A"/>
    <w:multiLevelType w:val="hybridMultilevel"/>
    <w:lvl w:ilvl="0">
      <w:lvlJc w:val="left"/>
      <w:lvlText w:val="(%1)"/>
      <w:numFmt w:val="lowerLetter"/>
      <w:start w:val="2"/>
    </w:lvl>
    <w:lvl w:ilvl="1">
      <w:lvlJc w:val="left"/>
      <w:lvlText w:val="%2"/>
      <w:numFmt w:val="lowerRoman"/>
      <w:start w:val="1"/>
    </w:lvl>
  </w:abstractNum>
  <w:abstractNum w:abstractNumId="385">
    <w:nsid w:val="126CADE9"/>
    <w:multiLevelType w:val="hybridMultilevel"/>
    <w:lvl w:ilvl="0">
      <w:lvlJc w:val="left"/>
      <w:lvlText w:val="(%1)"/>
      <w:numFmt w:val="lowerLetter"/>
      <w:start w:val="3"/>
    </w:lvl>
    <w:lvl w:ilvl="1">
      <w:lvlJc w:val="left"/>
      <w:lvlText w:val="(%2)"/>
      <w:numFmt w:val="lowerRoman"/>
      <w:start w:val="1"/>
    </w:lvl>
  </w:abstractNum>
  <w:abstractNum w:abstractNumId="386">
    <w:nsid w:val="19132E7B"/>
    <w:multiLevelType w:val="hybridMultilevel"/>
    <w:lvl w:ilvl="0">
      <w:lvlJc w:val="left"/>
      <w:lvlText w:val="%1"/>
      <w:numFmt w:val="lowerLetter"/>
      <w:start w:val="1"/>
    </w:lvl>
    <w:lvl w:ilvl="1">
      <w:lvlJc w:val="left"/>
      <w:lvlText w:val="(%2)"/>
      <w:numFmt w:val="lowerLetter"/>
      <w:start w:val="61"/>
    </w:lvl>
  </w:abstractNum>
  <w:abstractNum w:abstractNumId="387">
    <w:nsid w:val="63822DC0"/>
    <w:multiLevelType w:val="hybridMultilevel"/>
    <w:lvl w:ilvl="0">
      <w:lvlJc w:val="left"/>
      <w:lvlText w:val="(%1)"/>
      <w:numFmt w:val="lowerLetter"/>
      <w:start w:val="6"/>
    </w:lvl>
    <w:lvl w:ilvl="1">
      <w:lvlJc w:val="left"/>
      <w:lvlText w:val="%2"/>
      <w:numFmt w:val="lowerLetter"/>
      <w:start w:val="1"/>
    </w:lvl>
  </w:abstractNum>
  <w:abstractNum w:abstractNumId="388">
    <w:nsid w:val="6C11685A"/>
    <w:multiLevelType w:val="hybridMultilevel"/>
    <w:lvl w:ilvl="0">
      <w:lvlJc w:val="left"/>
      <w:lvlText w:val="(%1)"/>
      <w:numFmt w:val="lowerLetter"/>
      <w:start w:val="10"/>
    </w:lvl>
  </w:abstractNum>
  <w:abstractNum w:abstractNumId="389">
    <w:nsid w:val="5E1EAE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0">
    <w:nsid w:val="178E240D"/>
    <w:multiLevelType w:val="hybridMultilevel"/>
    <w:lvl w:ilvl="0">
      <w:lvlJc w:val="left"/>
      <w:lvlText w:val="%1"/>
      <w:numFmt w:val="decimal"/>
      <w:start w:val="1"/>
    </w:lvl>
    <w:lvl w:ilvl="1">
      <w:lvlJc w:val="left"/>
      <w:lvlText w:val="(%2)"/>
      <w:numFmt w:val="upperLetter"/>
      <w:start w:val="3"/>
    </w:lvl>
  </w:abstractNum>
  <w:abstractNum w:abstractNumId="391">
    <w:nsid w:val="5556A87B"/>
    <w:multiLevelType w:val="hybridMultilevel"/>
    <w:lvl w:ilvl="0">
      <w:lvlJc w:val="left"/>
      <w:lvlText w:val="(%1)"/>
      <w:numFmt w:val="decimal"/>
      <w:start w:val="60"/>
    </w:lvl>
    <w:lvl w:ilvl="1">
      <w:lvlJc w:val="left"/>
      <w:lvlText w:val="(%2)"/>
      <w:numFmt w:val="upperLetter"/>
      <w:start w:val="5"/>
    </w:lvl>
  </w:abstractNum>
  <w:abstractNum w:abstractNumId="392">
    <w:nsid w:val="28100A9C"/>
    <w:multiLevelType w:val="hybridMultilevel"/>
    <w:lvl w:ilvl="0">
      <w:lvlJc w:val="left"/>
      <w:lvlText w:val="%1"/>
      <w:numFmt w:val="lowerRoman"/>
      <w:start w:val="1"/>
    </w:lvl>
    <w:lvl w:ilvl="1">
      <w:lvlJc w:val="left"/>
      <w:lvlText w:val="(%2)"/>
      <w:numFmt w:val="upperLetter"/>
      <w:start w:val="12"/>
    </w:lvl>
  </w:abstractNum>
  <w:abstractNum w:abstractNumId="393">
    <w:nsid w:val="D838636"/>
    <w:multiLevelType w:val="hybridMultilevel"/>
    <w:lvl w:ilvl="0">
      <w:lvlJc w:val="left"/>
      <w:lvlText w:val="(%1)"/>
      <w:numFmt w:val="lowerRoman"/>
      <w:start w:val="2"/>
    </w:lvl>
    <w:lvl w:ilvl="1">
      <w:lvlJc w:val="left"/>
      <w:lvlText w:val="%2"/>
      <w:numFmt w:val="upperLetter"/>
      <w:start w:val="1"/>
    </w:lvl>
  </w:abstractNum>
  <w:abstractNum w:abstractNumId="394">
    <w:nsid w:val="71B82AED"/>
    <w:multiLevelType w:val="hybridMultilevel"/>
    <w:lvl w:ilvl="0">
      <w:lvlJc w:val="left"/>
      <w:lvlText w:val="(%1)"/>
      <w:numFmt w:val="lowerRoman"/>
      <w:start w:val="5"/>
    </w:lvl>
  </w:abstractNum>
  <w:abstractNum w:abstractNumId="395">
    <w:nsid w:val="D15FACA"/>
    <w:multiLevelType w:val="hybridMultilevel"/>
    <w:lvl w:ilvl="0">
      <w:lvlJc w:val="left"/>
      <w:lvlText w:val="(%1)"/>
      <w:numFmt w:val="lowerRoman"/>
      <w:start w:val="6"/>
    </w:lvl>
  </w:abstractNum>
  <w:abstractNum w:abstractNumId="396">
    <w:nsid w:val="3D69565B"/>
    <w:multiLevelType w:val="hybridMultilevel"/>
    <w:lvl w:ilvl="0">
      <w:lvlJc w:val="left"/>
      <w:lvlText w:val="(%1)"/>
      <w:numFmt w:val="lowerLetter"/>
      <w:start w:val="3"/>
    </w:lvl>
  </w:abstractNum>
  <w:abstractNum w:abstractNumId="397">
    <w:nsid w:val="2299DCBC"/>
    <w:multiLevelType w:val="hybridMultilevel"/>
    <w:lvl w:ilvl="0">
      <w:lvlJc w:val="left"/>
      <w:lvlText w:val="(%1)"/>
      <w:numFmt w:val="lowerLetter"/>
      <w:start w:val="1"/>
    </w:lvl>
    <w:lvl w:ilvl="1">
      <w:lvlJc w:val="left"/>
      <w:lvlText w:val="(%2)"/>
      <w:numFmt w:val="lowerLetter"/>
      <w:start w:val="9"/>
    </w:lvl>
  </w:abstractNum>
  <w:abstractNum w:abstractNumId="398">
    <w:nsid w:val="19908D02"/>
    <w:multiLevelType w:val="hybridMultilevel"/>
    <w:lvl w:ilvl="0">
      <w:lvlJc w:val="left"/>
      <w:lvlText w:val="(%1)"/>
      <w:numFmt w:val="lowerRoman"/>
      <w:start w:val="2"/>
    </w:lvl>
  </w:abstractNum>
  <w:abstractNum w:abstractNumId="399">
    <w:nsid w:val="24D48BDB"/>
    <w:multiLevelType w:val="hybridMultilevel"/>
    <w:lvl w:ilvl="0">
      <w:lvlJc w:val="left"/>
      <w:lvlText w:val="(%1)"/>
      <w:numFmt w:val="lowerLetter"/>
      <w:start w:val="2"/>
    </w:lvl>
  </w:abstractNum>
  <w:abstractNum w:abstractNumId="400">
    <w:nsid w:val="542DA5B5"/>
    <w:multiLevelType w:val="hybridMultilevel"/>
    <w:lvl w:ilvl="0">
      <w:lvlJc w:val="left"/>
      <w:lvlText w:val="(%1)"/>
      <w:numFmt w:val="lowerLetter"/>
      <w:start w:val="1"/>
    </w:lvl>
  </w:abstractNum>
  <w:abstractNum w:abstractNumId="401">
    <w:nsid w:val="793753DE"/>
    <w:multiLevelType w:val="hybridMultilevel"/>
    <w:lvl w:ilvl="0">
      <w:lvlJc w:val="left"/>
      <w:lvlText w:val="(%1)"/>
      <w:numFmt w:val="lowerLetter"/>
      <w:start w:val="1"/>
    </w:lvl>
  </w:abstractNum>
  <w:abstractNum w:abstractNumId="402">
    <w:nsid w:val="1C67CB3D"/>
    <w:multiLevelType w:val="hybridMultilevel"/>
    <w:lvl w:ilvl="0">
      <w:lvlJc w:val="left"/>
      <w:lvlText w:val="(%1)"/>
      <w:numFmt w:val="lowerLetter"/>
      <w:start w:val="1"/>
    </w:lvl>
  </w:abstractNum>
  <w:abstractNum w:abstractNumId="403">
    <w:nsid w:val="40E29452"/>
    <w:multiLevelType w:val="hybridMultilevel"/>
    <w:lvl w:ilvl="0">
      <w:lvlJc w:val="left"/>
      <w:lvlText w:val="(%1)"/>
      <w:numFmt w:val="lowerLetter"/>
      <w:start w:val="2"/>
    </w:lvl>
    <w:lvl w:ilvl="1">
      <w:lvlJc w:val="left"/>
      <w:lvlText w:val="(%2)"/>
      <w:numFmt w:val="lowerRoman"/>
      <w:start w:val="1"/>
    </w:lvl>
  </w:abstractNum>
  <w:abstractNum w:abstractNumId="404">
    <w:nsid w:val="63A4AAB6"/>
    <w:multiLevelType w:val="hybridMultilevel"/>
    <w:lvl w:ilvl="0">
      <w:lvlJc w:val="left"/>
      <w:lvlText w:val="(%1)"/>
      <w:numFmt w:val="lowerRoman"/>
      <w:start w:val="1"/>
    </w:lvl>
    <w:lvl w:ilvl="1">
      <w:lvlJc w:val="left"/>
      <w:lvlText w:val="(%2)"/>
      <w:numFmt w:val="upperLetter"/>
      <w:start w:val="1"/>
    </w:lvl>
  </w:abstractNum>
  <w:abstractNum w:abstractNumId="405">
    <w:nsid w:val="77DA4A57"/>
    <w:multiLevelType w:val="hybridMultilevel"/>
    <w:lvl w:ilvl="0">
      <w:lvlJc w:val="left"/>
      <w:lvlText w:val="(%1)"/>
      <w:numFmt w:val="upperLetter"/>
      <w:start w:val="2"/>
    </w:lvl>
  </w:abstractNum>
  <w:abstractNum w:abstractNumId="406">
    <w:nsid w:val="1230F102"/>
    <w:multiLevelType w:val="hybridMultilevel"/>
    <w:lvl w:ilvl="0">
      <w:lvlJc w:val="left"/>
      <w:lvlText w:val="(%1)"/>
      <w:numFmt w:val="lowerLetter"/>
      <w:start w:val="1"/>
    </w:lvl>
    <w:lvl w:ilvl="1">
      <w:lvlJc w:val="left"/>
      <w:lvlText w:val="(%2)"/>
      <w:numFmt w:val="lowerRoman"/>
      <w:start w:val="1"/>
    </w:lvl>
  </w:abstractNum>
  <w:abstractNum w:abstractNumId="407">
    <w:nsid w:val="25B57ED4"/>
    <w:multiLevelType w:val="hybridMultilevel"/>
    <w:lvl w:ilvl="0">
      <w:lvlJc w:val="left"/>
      <w:lvlText w:val="(%1)"/>
      <w:numFmt w:val="lowerRoman"/>
      <w:start w:val="8"/>
    </w:lvl>
  </w:abstractNum>
  <w:abstractNum w:abstractNumId="408">
    <w:nsid w:val="47CF16C4"/>
    <w:multiLevelType w:val="hybridMultilevel"/>
    <w:lvl w:ilvl="0">
      <w:lvlJc w:val="left"/>
      <w:lvlText w:val="(%1)"/>
      <w:numFmt w:val="lowerRoman"/>
      <w:start w:val="14"/>
    </w:lvl>
  </w:abstractNum>
  <w:abstractNum w:abstractNumId="409">
    <w:nsid w:val="527FA04C"/>
    <w:multiLevelType w:val="hybridMultilevel"/>
    <w:lvl w:ilvl="0">
      <w:lvlJc w:val="left"/>
      <w:lvlText w:val="(%1)"/>
      <w:numFmt w:val="lowerLetter"/>
      <w:start w:val="1"/>
    </w:lvl>
    <w:lvl w:ilvl="1">
      <w:lvlJc w:val="left"/>
      <w:lvlText w:val="(%2)"/>
      <w:numFmt w:val="lowerLetter"/>
      <w:start w:val="9"/>
    </w:lvl>
  </w:abstractNum>
  <w:abstractNum w:abstractNumId="410">
    <w:nsid w:val="6FCC0624"/>
    <w:multiLevelType w:val="hybridMultilevel"/>
    <w:lvl w:ilvl="0">
      <w:lvlJc w:val="left"/>
      <w:lvlText w:val="(%1)"/>
      <w:numFmt w:val="lowerRoman"/>
      <w:start w:val="2"/>
    </w:lvl>
  </w:abstractNum>
  <w:abstractNum w:abstractNumId="411">
    <w:nsid w:val="1DCDF795"/>
    <w:multiLevelType w:val="hybridMultilevel"/>
    <w:lvl w:ilvl="0">
      <w:lvlJc w:val="left"/>
      <w:lvlText w:val="(%1)"/>
      <w:numFmt w:val="lowerLetter"/>
      <w:start w:val="1"/>
    </w:lvl>
  </w:abstractNum>
  <w:abstractNum w:abstractNumId="412">
    <w:nsid w:val="564580C8"/>
    <w:multiLevelType w:val="hybridMultilevel"/>
    <w:lvl w:ilvl="0">
      <w:lvlJc w:val="left"/>
      <w:lvlText w:val="(%1)"/>
      <w:numFmt w:val="lowerLetter"/>
      <w:start w:val="2"/>
    </w:lvl>
  </w:abstractNum>
  <w:abstractNum w:abstractNumId="413">
    <w:nsid w:val="508ED897"/>
    <w:multiLevelType w:val="hybridMultilevel"/>
    <w:lvl w:ilvl="0">
      <w:lvlJc w:val="left"/>
      <w:lvlText w:val="%1"/>
      <w:numFmt w:val="upperLetter"/>
      <w:start w:val="1"/>
    </w:lvl>
    <w:lvl w:ilvl="1">
      <w:lvlJc w:val="left"/>
      <w:lvlText w:val="(%2)"/>
      <w:numFmt w:val="lowerRoman"/>
      <w:start w:val="1"/>
    </w:lvl>
  </w:abstractNum>
  <w:abstractNum w:abstractNumId="414">
    <w:nsid w:val="6A9126B5"/>
    <w:multiLevelType w:val="hybridMultilevel"/>
    <w:lvl w:ilvl="0">
      <w:lvlJc w:val="left"/>
      <w:lvlText w:val="(%1)"/>
      <w:numFmt w:val="upperLetter"/>
      <w:start w:val="6"/>
    </w:lvl>
    <w:lvl w:ilvl="1">
      <w:lvlJc w:val="left"/>
      <w:lvlText w:val="(%2)"/>
      <w:numFmt w:val="lowerRoman"/>
      <w:start w:val="2"/>
    </w:lvl>
  </w:abstractNum>
  <w:abstractNum w:abstractNumId="415">
    <w:nsid w:val="68104812"/>
    <w:multiLevelType w:val="hybridMultilevel"/>
    <w:lvl w:ilvl="0">
      <w:lvlJc w:val="left"/>
      <w:lvlText w:val="(%1)"/>
      <w:numFmt w:val="lowerRoman"/>
      <w:start w:val="6"/>
    </w:lvl>
  </w:abstractNum>
  <w:abstractNum w:abstractNumId="416">
    <w:nsid w:val="62FB8680"/>
    <w:multiLevelType w:val="hybridMultilevel"/>
    <w:lvl w:ilvl="0">
      <w:lvlJc w:val="left"/>
      <w:lvlText w:val="(%1)"/>
      <w:numFmt w:val="lowerRoman"/>
      <w:start w:val="8"/>
    </w:lvl>
  </w:abstractNum>
  <w:abstractNum w:abstractNumId="417">
    <w:nsid w:val="3A45530"/>
    <w:multiLevelType w:val="hybridMultilevel"/>
    <w:lvl w:ilvl="0">
      <w:lvlJc w:val="left"/>
      <w:lvlText w:val="(%1)"/>
      <w:numFmt w:val="lowerRoman"/>
      <w:start w:val="16"/>
    </w:lvl>
  </w:abstractNum>
  <w:abstractNum w:abstractNumId="418">
    <w:nsid w:val="4B9275D2"/>
    <w:multiLevelType w:val="hybridMultilevel"/>
    <w:lvl w:ilvl="0">
      <w:lvlJc w:val="left"/>
      <w:lvlText w:val="(%1)"/>
      <w:numFmt w:val="lowerRoman"/>
      <w:start w:val="19"/>
    </w:lvl>
  </w:abstractNum>
  <w:abstractNum w:abstractNumId="419">
    <w:nsid w:val="4F0CEEDB"/>
    <w:multiLevelType w:val="hybridMultilevel"/>
    <w:lvl w:ilvl="0">
      <w:lvlJc w:val="left"/>
      <w:lvlText w:val="(%1)"/>
      <w:numFmt w:val="lowerRoman"/>
      <w:start w:val="21"/>
    </w:lvl>
  </w:abstractNum>
  <w:abstractNum w:abstractNumId="420">
    <w:nsid w:val="61C30361"/>
    <w:multiLevelType w:val="hybridMultilevel"/>
    <w:lvl w:ilvl="0">
      <w:lvlJc w:val="left"/>
      <w:lvlText w:val="(%1)"/>
      <w:numFmt w:val="lowerRoman"/>
      <w:start w:val="24"/>
    </w:lvl>
  </w:abstractNum>
  <w:abstractNum w:abstractNumId="421">
    <w:nsid w:val="632099E0"/>
    <w:multiLevelType w:val="hybridMultilevel"/>
    <w:lvl w:ilvl="0">
      <w:lvlJc w:val="left"/>
      <w:lvlText w:val="(%1)"/>
      <w:numFmt w:val="lowerRoman"/>
      <w:start w:val="9"/>
    </w:lvl>
  </w:abstractNum>
  <w:abstractNum w:abstractNumId="422">
    <w:nsid w:val="24639756"/>
    <w:multiLevelType w:val="hybridMultilevel"/>
    <w:lvl w:ilvl="0">
      <w:lvlJc w:val="left"/>
      <w:lvlText w:val="(%1)"/>
      <w:numFmt w:val="lowerLetter"/>
      <w:start w:val="1"/>
    </w:lvl>
  </w:abstractNum>
  <w:abstractNum w:abstractNumId="423">
    <w:nsid w:val="9D30DFD"/>
    <w:multiLevelType w:val="hybridMultilevel"/>
    <w:lvl w:ilvl="0">
      <w:lvlJc w:val="left"/>
      <w:lvlText w:val="(%1)"/>
      <w:numFmt w:val="lowerLetter"/>
      <w:start w:val="3"/>
    </w:lvl>
  </w:abstractNum>
  <w:abstractNum w:abstractNumId="424">
    <w:nsid w:val="70A42016"/>
    <w:multiLevelType w:val="hybridMultilevel"/>
    <w:lvl w:ilvl="0">
      <w:lvlJc w:val="left"/>
      <w:lvlText w:val="(%1)"/>
      <w:numFmt w:val="lowerLetter"/>
      <w:start w:val="1"/>
    </w:lvl>
  </w:abstractNum>
  <w:abstractNum w:abstractNumId="425">
    <w:nsid w:val="161BC243"/>
    <w:multiLevelType w:val="hybridMultilevel"/>
    <w:lvl w:ilvl="0">
      <w:lvlJc w:val="left"/>
      <w:lvlText w:val="(%1)"/>
      <w:numFmt w:val="lowerLetter"/>
      <w:start w:val="2"/>
    </w:lvl>
    <w:lvl w:ilvl="1">
      <w:lvlJc w:val="left"/>
      <w:lvlText w:val="(%2)"/>
      <w:numFmt w:val="lowerRoman"/>
      <w:start w:val="1"/>
    </w:lvl>
  </w:abstractNum>
  <w:abstractNum w:abstractNumId="426">
    <w:nsid w:val="16E908C8"/>
    <w:multiLevelType w:val="hybridMultilevel"/>
    <w:lvl w:ilvl="0">
      <w:lvlJc w:val="left"/>
      <w:lvlText w:val="(%1)"/>
      <w:numFmt w:val="lowerLetter"/>
      <w:start w:val="3"/>
    </w:lvl>
    <w:lvl w:ilvl="1">
      <w:lvlJc w:val="left"/>
      <w:lvlText w:val="(%2)"/>
      <w:numFmt w:val="lowerRoman"/>
      <w:start w:val="1"/>
    </w:lvl>
  </w:abstractNum>
  <w:abstractNum w:abstractNumId="427">
    <w:nsid w:val="2E0D7671"/>
    <w:multiLevelType w:val="hybridMultilevel"/>
    <w:lvl w:ilvl="0">
      <w:lvlJc w:val="left"/>
      <w:lvlText w:val="(%1)"/>
      <w:numFmt w:val="lowerLetter"/>
      <w:start w:val="5"/>
    </w:lvl>
    <w:lvl w:ilvl="1">
      <w:lvlJc w:val="left"/>
      <w:lvlText w:val="(%2)"/>
      <w:numFmt w:val="lowerRoman"/>
      <w:start w:val="1"/>
    </w:lvl>
  </w:abstractNum>
  <w:abstractNum w:abstractNumId="428">
    <w:nsid w:val="38B59EFF"/>
    <w:multiLevelType w:val="hybridMultilevel"/>
    <w:lvl w:ilvl="0">
      <w:lvlJc w:val="left"/>
      <w:lvlText w:val="(%1)"/>
      <w:numFmt w:val="lowerLetter"/>
      <w:start w:val="10"/>
    </w:lvl>
  </w:abstractNum>
  <w:abstractNum w:abstractNumId="429">
    <w:nsid w:val="307995CA"/>
    <w:multiLevelType w:val="hybridMultilevel"/>
    <w:lvl w:ilvl="0">
      <w:lvlJc w:val="left"/>
      <w:lvlText w:val="(%1)"/>
      <w:numFmt w:val="lowerLetter"/>
      <w:start w:val="1"/>
    </w:lvl>
  </w:abstractNum>
  <w:abstractNum w:abstractNumId="430">
    <w:nsid w:val="52E2024D"/>
    <w:multiLevelType w:val="hybridMultilevel"/>
    <w:lvl w:ilvl="0">
      <w:lvlJc w:val="left"/>
      <w:lvlText w:val="(%1)"/>
      <w:numFmt w:val="lowerLetter"/>
      <w:start w:val="2"/>
    </w:lvl>
  </w:abstractNum>
  <w:abstractNum w:abstractNumId="431">
    <w:nsid w:val="CE344B5"/>
    <w:multiLevelType w:val="hybridMultilevel"/>
    <w:lvl w:ilvl="0">
      <w:lvlJc w:val="left"/>
      <w:lvlText w:val="(%1)"/>
      <w:numFmt w:val="lowerLetter"/>
      <w:start w:val="4"/>
    </w:lvl>
  </w:abstractNum>
  <w:abstractNum w:abstractNumId="432">
    <w:nsid w:val="29B0E9A8"/>
    <w:multiLevelType w:val="hybridMultilevel"/>
    <w:lvl w:ilvl="0">
      <w:lvlJc w:val="left"/>
      <w:lvlText w:val="(%1)"/>
      <w:numFmt w:val="lowerLetter"/>
      <w:start w:val="6"/>
    </w:lvl>
  </w:abstractNum>
  <w:abstractNum w:abstractNumId="433">
    <w:nsid w:val="6F49CD8A"/>
    <w:multiLevelType w:val="hybridMultilevel"/>
    <w:lvl w:ilvl="0">
      <w:lvlJc w:val="left"/>
      <w:lvlText w:val="(%1)"/>
      <w:numFmt w:val="lowerRoman"/>
      <w:start w:val="1"/>
    </w:lvl>
  </w:abstractNum>
  <w:abstractNum w:abstractNumId="434">
    <w:nsid w:val="4DC5D907"/>
    <w:multiLevelType w:val="hybridMultilevel"/>
    <w:lvl w:ilvl="0">
      <w:lvlJc w:val="left"/>
      <w:lvlText w:val="(%1)"/>
      <w:numFmt w:val="lowerRoman"/>
      <w:start w:val="7"/>
    </w:lvl>
  </w:abstractNum>
  <w:abstractNum w:abstractNumId="435">
    <w:nsid w:val="D55945E"/>
    <w:multiLevelType w:val="hybridMultilevel"/>
    <w:lvl w:ilvl="0">
      <w:lvlJc w:val="left"/>
      <w:lvlText w:val="(%1)"/>
      <w:numFmt w:val="lowerRoman"/>
      <w:start w:val="1"/>
    </w:lvl>
  </w:abstractNum>
  <w:abstractNum w:abstractNumId="436">
    <w:nsid w:val="672417E1"/>
    <w:multiLevelType w:val="hybridMultilevel"/>
    <w:lvl w:ilvl="0">
      <w:lvlJc w:val="left"/>
      <w:lvlText w:val="(%1)"/>
      <w:numFmt w:val="lowerRoman"/>
      <w:start w:val="9"/>
    </w:lvl>
  </w:abstractNum>
  <w:abstractNum w:abstractNumId="437">
    <w:nsid w:val="5FF6CA09"/>
    <w:multiLevelType w:val="hybridMultilevel"/>
    <w:lvl w:ilvl="0">
      <w:lvlJc w:val="left"/>
      <w:lvlText w:val="(%1)"/>
      <w:numFmt w:val="lowerRoman"/>
      <w:start w:val="18"/>
    </w:lvl>
  </w:abstractNum>
  <w:abstractNum w:abstractNumId="438">
    <w:nsid w:val="330B1333"/>
    <w:multiLevelType w:val="hybridMultilevel"/>
    <w:lvl w:ilvl="0">
      <w:lvlJc w:val="left"/>
      <w:lvlText w:val="(%1)"/>
      <w:numFmt w:val="lowerLetter"/>
      <w:start w:val="1"/>
    </w:lvl>
  </w:abstractNum>
  <w:abstractNum w:abstractNumId="439">
    <w:nsid w:val="2EF32EA6"/>
    <w:multiLevelType w:val="hybridMultilevel"/>
    <w:lvl w:ilvl="0">
      <w:lvlJc w:val="left"/>
      <w:lvlText w:val="(%1)"/>
      <w:numFmt w:val="lowerLetter"/>
      <w:start w:val="1"/>
    </w:lvl>
  </w:abstractNum>
  <w:abstractNum w:abstractNumId="440">
    <w:nsid w:val="32766A55"/>
    <w:multiLevelType w:val="hybridMultilevel"/>
    <w:lvl w:ilvl="0">
      <w:lvlJc w:val="left"/>
      <w:lvlText w:val="(%1)"/>
      <w:numFmt w:val="upperLetter"/>
      <w:start w:val="61"/>
    </w:lvl>
  </w:abstractNum>
  <w:abstractNum w:abstractNumId="441">
    <w:nsid w:val="22D71957"/>
    <w:multiLevelType w:val="hybridMultilevel"/>
    <w:lvl w:ilvl="0">
      <w:lvlJc w:val="left"/>
      <w:lvlText w:val="(%1)"/>
      <w:numFmt w:val="lowerLetter"/>
      <w:start w:val="1"/>
    </w:lvl>
  </w:abstractNum>
  <w:abstractNum w:abstractNumId="442">
    <w:nsid w:val="4CC1263B"/>
    <w:multiLevelType w:val="hybridMultilevel"/>
    <w:lvl w:ilvl="0">
      <w:lvlJc w:val="left"/>
      <w:lvlText w:val="(%1)"/>
      <w:numFmt w:val="lowerLetter"/>
      <w:start w:val="1"/>
    </w:lvl>
  </w:abstractNum>
  <w:abstractNum w:abstractNumId="443">
    <w:nsid w:val="8BBEB1D"/>
    <w:multiLevelType w:val="hybridMultilevel"/>
    <w:lvl w:ilvl="0">
      <w:lvlJc w:val="left"/>
      <w:lvlText w:val="(%1)"/>
      <w:numFmt w:val="lowerLetter"/>
      <w:start w:val="1"/>
    </w:lvl>
  </w:abstractNum>
  <w:abstractNum w:abstractNumId="444">
    <w:nsid w:val="7365F1EE"/>
    <w:multiLevelType w:val="hybridMultilevel"/>
    <w:lvl w:ilvl="0">
      <w:lvlJc w:val="left"/>
      <w:lvlText w:val="(%1)"/>
      <w:numFmt w:val="lowerLetter"/>
      <w:start w:val="1"/>
    </w:lvl>
  </w:abstractNum>
  <w:abstractNum w:abstractNumId="445">
    <w:nsid w:val="37524CF0"/>
    <w:multiLevelType w:val="hybridMultilevel"/>
    <w:lvl w:ilvl="0">
      <w:lvlJc w:val="left"/>
      <w:lvlText w:val="(%1)"/>
      <w:numFmt w:val="lowerRoman"/>
      <w:start w:val="2"/>
    </w:lvl>
  </w:abstractNum>
  <w:abstractNum w:abstractNumId="446">
    <w:nsid w:val="70CC33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7">
    <w:nsid w:val="5661786E"/>
    <w:multiLevelType w:val="hybridMultilevel"/>
    <w:lvl w:ilvl="0">
      <w:lvlJc w:val="left"/>
      <w:lvlText w:val="*"/>
      <w:numFmt w:val="bullet"/>
      <w:start w:val="1"/>
    </w:lvl>
  </w:abstractNum>
  <w:abstractNum w:abstractNumId="448">
    <w:nsid w:val="3AF6A220"/>
    <w:multiLevelType w:val="hybridMultilevel"/>
    <w:lvl w:ilvl="0">
      <w:lvlJc w:val="left"/>
      <w:lvlText w:val="(%1)"/>
      <w:numFmt w:val="lowerLetter"/>
      <w:start w:val="1"/>
    </w:lvl>
  </w:abstractNum>
  <w:abstractNum w:abstractNumId="449">
    <w:nsid w:val="3C5EA902"/>
    <w:multiLevelType w:val="hybridMultilevel"/>
    <w:lvl w:ilvl="0">
      <w:lvlJc w:val="left"/>
      <w:lvlText w:val="(%1)"/>
      <w:numFmt w:val="lowerLetter"/>
      <w:start w:val="8"/>
    </w:lvl>
  </w:abstractNum>
  <w:abstractNum w:abstractNumId="450">
    <w:nsid w:val="256E6749"/>
    <w:multiLevelType w:val="hybridMultilevel"/>
    <w:lvl w:ilvl="0">
      <w:lvlJc w:val="left"/>
      <w:lvlText w:val="(%1)"/>
      <w:numFmt w:val="lowerLetter"/>
      <w:start w:val="12"/>
    </w:lvl>
  </w:abstractNum>
  <w:abstractNum w:abstractNumId="451">
    <w:nsid w:val="1CB9A581"/>
    <w:multiLevelType w:val="hybridMultilevel"/>
    <w:lvl w:ilvl="0">
      <w:lvlJc w:val="left"/>
      <w:lvlText w:val="(%1)"/>
      <w:numFmt w:val="lowerLetter"/>
      <w:start w:val="18"/>
    </w:lvl>
  </w:abstractNum>
  <w:abstractNum w:abstractNumId="452">
    <w:nsid w:val="1F7F42E2"/>
    <w:multiLevelType w:val="hybridMultilevel"/>
    <w:lvl w:ilvl="0">
      <w:lvlJc w:val="left"/>
      <w:lvlText w:val="(%1)"/>
      <w:numFmt w:val="lowerLetter"/>
      <w:start w:val="20"/>
    </w:lvl>
  </w:abstractNum>
  <w:abstractNum w:abstractNumId="453">
    <w:nsid w:val="49D1FEA0"/>
    <w:multiLevelType w:val="hybridMultilevel"/>
    <w:lvl w:ilvl="0">
      <w:lvlJc w:val="left"/>
      <w:lvlText w:val="(%1)"/>
      <w:numFmt w:val="lowerLetter"/>
      <w:start w:val="23"/>
    </w:lvl>
  </w:abstractNum>
  <w:abstractNum w:abstractNumId="454">
    <w:nsid w:val="268CB37F"/>
    <w:multiLevelType w:val="hybridMultilevel"/>
    <w:lvl w:ilvl="0">
      <w:lvlJc w:val="left"/>
      <w:lvlText w:val="(%1)"/>
      <w:numFmt w:val="lowerLetter"/>
      <w:start w:val="27"/>
    </w:lvl>
  </w:abstractNum>
  <w:abstractNum w:abstractNumId="455">
    <w:nsid w:val="102362F8"/>
    <w:multiLevelType w:val="hybridMultilevel"/>
    <w:lvl w:ilvl="0">
      <w:lvlJc w:val="left"/>
      <w:lvlText w:val="(%1)"/>
      <w:numFmt w:val="lowerRoman"/>
      <w:start w:val="1"/>
    </w:lvl>
  </w:abstractNum>
  <w:abstractNum w:abstractNumId="456">
    <w:nsid w:val="5FEDC0E3"/>
    <w:multiLevelType w:val="hybridMultilevel"/>
    <w:lvl w:ilvl="0">
      <w:lvlJc w:val="left"/>
      <w:lvlText w:val="%1."/>
      <w:numFmt w:val="decimal"/>
      <w:start w:val="1"/>
    </w:lvl>
  </w:abstractNum>
  <w:abstractNum w:abstractNumId="457">
    <w:nsid w:val="3D75BC47"/>
    <w:multiLevelType w:val="hybridMultilevel"/>
    <w:lvl w:ilvl="0">
      <w:lvlJc w:val="left"/>
      <w:lvlText w:val="●"/>
      <w:numFmt w:val="bullet"/>
      <w:start w:val="1"/>
    </w:lvl>
  </w:abstractNum>
  <w:abstractNum w:abstractNumId="458">
    <w:nsid w:val="3E30D969"/>
    <w:multiLevelType w:val="hybridMultilevel"/>
    <w:lvl w:ilvl="0">
      <w:lvlJc w:val="left"/>
      <w:lvlText w:val="●"/>
      <w:numFmt w:val="bullet"/>
      <w:start w:val="1"/>
    </w:lvl>
  </w:abstractNum>
  <w:abstractNum w:abstractNumId="459">
    <w:nsid w:val="18A35FE3"/>
    <w:multiLevelType w:val="hybridMultilevel"/>
    <w:lvl w:ilvl="0">
      <w:lvlJc w:val="left"/>
      <w:lvlText w:val="●"/>
      <w:numFmt w:val="bullet"/>
      <w:start w:val="1"/>
    </w:lvl>
  </w:abstractNum>
  <w:abstractNum w:abstractNumId="460">
    <w:nsid w:val="6DEF5211"/>
    <w:multiLevelType w:val="hybridMultilevel"/>
    <w:lvl w:ilvl="0">
      <w:lvlJc w:val="left"/>
      <w:lvlText w:val="●"/>
      <w:numFmt w:val="bullet"/>
      <w:start w:val="1"/>
    </w:lvl>
  </w:abstractNum>
  <w:abstractNum w:abstractNumId="461">
    <w:nsid w:val="1112DBB6"/>
    <w:multiLevelType w:val="hybridMultilevel"/>
    <w:lvl w:ilvl="0">
      <w:lvlJc w:val="left"/>
      <w:lvlText w:val="●"/>
      <w:numFmt w:val="bullet"/>
      <w:start w:val="1"/>
    </w:lvl>
  </w:abstractNum>
  <w:abstractNum w:abstractNumId="462">
    <w:nsid w:val="2586A498"/>
    <w:multiLevelType w:val="hybridMultilevel"/>
    <w:lvl w:ilvl="0">
      <w:lvlJc w:val="left"/>
      <w:lvlText w:val="●"/>
      <w:numFmt w:val="bullet"/>
      <w:start w:val="1"/>
    </w:lvl>
    <w:lvl w:ilvl="1">
      <w:lvlJc w:val="left"/>
      <w:lvlText w:val="-"/>
      <w:numFmt w:val="bullet"/>
      <w:start w:val="1"/>
    </w:lvl>
  </w:abstractNum>
  <w:abstractNum w:abstractNumId="463">
    <w:nsid w:val="17A03BB9"/>
    <w:multiLevelType w:val="hybridMultilevel"/>
    <w:lvl w:ilvl="0">
      <w:lvlJc w:val="left"/>
      <w:lvlText w:val="●"/>
      <w:numFmt w:val="bullet"/>
      <w:start w:val="1"/>
    </w:lvl>
    <w:lvl w:ilvl="1">
      <w:lvlJc w:val="left"/>
      <w:lvlText w:val="-"/>
      <w:numFmt w:val="bullet"/>
      <w:start w:val="1"/>
    </w:lvl>
  </w:abstractNum>
  <w:abstractNum w:abstractNumId="464">
    <w:nsid w:val="5CA941"/>
    <w:multiLevelType w:val="hybridMultilevel"/>
    <w:lvl w:ilvl="0">
      <w:lvlJc w:val="left"/>
      <w:lvlText w:val="●"/>
      <w:numFmt w:val="bullet"/>
      <w:start w:val="1"/>
    </w:lvl>
    <w:lvl w:ilvl="1">
      <w:lvlJc w:val="left"/>
      <w:lvlText w:val="-"/>
      <w:numFmt w:val="bullet"/>
      <w:start w:val="1"/>
    </w:lvl>
  </w:abstractNum>
  <w:abstractNum w:abstractNumId="465">
    <w:nsid w:val="734C7D9F"/>
    <w:multiLevelType w:val="hybridMultilevel"/>
    <w:lvl w:ilvl="0">
      <w:lvlJc w:val="left"/>
      <w:lvlText w:val="●"/>
      <w:numFmt w:val="bullet"/>
      <w:start w:val="1"/>
    </w:lvl>
  </w:abstractNum>
  <w:abstractNum w:abstractNumId="466">
    <w:nsid w:val="24F5D018"/>
    <w:multiLevelType w:val="hybridMultilevel"/>
    <w:lvl w:ilvl="0">
      <w:lvlJc w:val="left"/>
      <w:lvlText w:val="●"/>
      <w:numFmt w:val="bullet"/>
      <w:start w:val="1"/>
    </w:lvl>
    <w:lvl w:ilvl="1">
      <w:lvlJc w:val="left"/>
      <w:lvlText w:val="-"/>
      <w:numFmt w:val="bullet"/>
      <w:start w:val="1"/>
    </w:lvl>
  </w:abstractNum>
  <w:abstractNum w:abstractNumId="467">
    <w:nsid w:val="6780C122"/>
    <w:multiLevelType w:val="hybridMultilevel"/>
    <w:lvl w:ilvl="0">
      <w:lvlJc w:val="left"/>
      <w:lvlText w:val="%1."/>
      <w:numFmt w:val="decimal"/>
      <w:start w:val="1"/>
    </w:lvl>
  </w:abstractNum>
  <w:abstractNum w:abstractNumId="468">
    <w:nsid w:val="534347A8"/>
    <w:multiLevelType w:val="hybridMultilevel"/>
    <w:lvl w:ilvl="0">
      <w:lvlJc w:val="left"/>
      <w:lvlText w:val="(%1)"/>
      <w:numFmt w:val="upperLetter"/>
      <w:start w:val="1"/>
    </w:lvl>
    <w:lvl w:ilvl="1">
      <w:lvlJc w:val="left"/>
      <w:lvlText w:val="(%2)"/>
      <w:numFmt w:val="decimal"/>
      <w:start w:val="1"/>
    </w:lvl>
  </w:abstractNum>
  <w:abstractNum w:abstractNumId="469">
    <w:nsid w:val="5800E34B"/>
    <w:multiLevelType w:val="hybridMultilevel"/>
    <w:lvl w:ilvl="0">
      <w:lvlJc w:val="left"/>
      <w:lvlText w:val="%1."/>
      <w:numFmt w:val="decimal"/>
      <w:start w:val="1"/>
    </w:lvl>
  </w:abstractNum>
  <w:abstractNum w:abstractNumId="470">
    <w:nsid w:val="1673EFC8"/>
    <w:multiLevelType w:val="hybridMultilevel"/>
    <w:lvl w:ilvl="0">
      <w:lvlJc w:val="left"/>
      <w:lvlText w:val="%1"/>
      <w:numFmt w:val="decimal"/>
      <w:start w:val="1"/>
    </w:lvl>
    <w:lvl w:ilvl="1">
      <w:lvlJc w:val="left"/>
      <w:lvlText w:val="(%2)"/>
      <w:numFmt w:val="lowerLetter"/>
      <w:start w:val="2"/>
    </w:lvl>
  </w:abstractNum>
  <w:abstractNum w:abstractNumId="471">
    <w:nsid w:val="5B9B1FD"/>
    <w:multiLevelType w:val="hybridMultilevel"/>
    <w:lvl w:ilvl="0">
      <w:lvlJc w:val="left"/>
      <w:lvlText w:val="%1."/>
      <w:numFmt w:val="decimal"/>
      <w:start w:val="5"/>
    </w:lvl>
    <w:lvl w:ilvl="1">
      <w:lvlJc w:val="left"/>
      <w:lvlText w:val="%2"/>
      <w:numFmt w:val="lowerLetter"/>
      <w:start w:val="1"/>
    </w:lvl>
  </w:abstractNum>
  <w:abstractNum w:abstractNumId="472">
    <w:nsid w:val="7AD7FCA2"/>
    <w:multiLevelType w:val="hybridMultilevel"/>
    <w:lvl w:ilvl="0">
      <w:lvlJc w:val="left"/>
      <w:lvlText w:val="%1."/>
      <w:numFmt w:val="decimal"/>
      <w:start w:val="8"/>
    </w:lvl>
  </w:abstractNum>
  <w:abstractNum w:abstractNumId="473">
    <w:nsid w:val="63351604"/>
    <w:multiLevelType w:val="hybridMultilevel"/>
    <w:lvl w:ilvl="0">
      <w:lvlJc w:val="left"/>
      <w:lvlText w:val="1"/>
      <w:numFmt w:val="bullet"/>
      <w:start w:val="1"/>
    </w:lvl>
  </w:abstractNum>
  <w:abstractNum w:abstractNumId="474">
    <w:nsid w:val="E759D1A"/>
    <w:multiLevelType w:val="hybridMultilevel"/>
    <w:lvl w:ilvl="0">
      <w:lvlJc w:val="left"/>
      <w:lvlText w:val="2"/>
      <w:numFmt w:val="bullet"/>
      <w:start w:val="1"/>
    </w:lvl>
  </w:abstractNum>
  <w:abstractNum w:abstractNumId="475">
    <w:nsid w:val="6E3DEE90"/>
    <w:multiLevelType w:val="hybridMultilevel"/>
    <w:lvl w:ilvl="0">
      <w:lvlJc w:val="left"/>
      <w:lvlText w:val="1"/>
      <w:numFmt w:val="bullet"/>
      <w:start w:val="1"/>
    </w:lvl>
  </w:abstractNum>
  <w:abstractNum w:abstractNumId="476">
    <w:nsid w:val="1A8762F4"/>
    <w:multiLevelType w:val="hybridMultilevel"/>
    <w:lvl w:ilvl="0">
      <w:lvlJc w:val="left"/>
      <w:lvlText w:val="(%1)"/>
      <w:numFmt w:val="lowerLetter"/>
      <w:start w:val="1"/>
    </w:lvl>
  </w:abstractNum>
  <w:abstractNum w:abstractNumId="477">
    <w:nsid w:val="7F41D049"/>
    <w:multiLevelType w:val="hybridMultilevel"/>
    <w:lvl w:ilvl="0">
      <w:lvlJc w:val="left"/>
      <w:lvlText w:val="(%1)"/>
      <w:numFmt w:val="lowerLetter"/>
      <w:start w:val="1"/>
    </w:lvl>
    <w:lvl w:ilvl="1">
      <w:lvlJc w:val="left"/>
      <w:lvlText w:val="(%2)"/>
      <w:numFmt w:val="lowerLetter"/>
      <w:start w:val="9"/>
    </w:lvl>
  </w:abstractNum>
  <w:abstractNum w:abstractNumId="478">
    <w:nsid w:val="449F66FE"/>
    <w:multiLevelType w:val="hybridMultilevel"/>
    <w:lvl w:ilvl="0">
      <w:lvlJc w:val="left"/>
      <w:lvlText w:val="(%1)"/>
      <w:numFmt w:val="lowerRoman"/>
      <w:start w:val="2"/>
    </w:lvl>
  </w:abstractNum>
  <w:abstractNum w:abstractNumId="479">
    <w:nsid w:val="557E0515"/>
    <w:multiLevelType w:val="hybridMultilevel"/>
    <w:lvl w:ilvl="0">
      <w:lvlJc w:val="left"/>
      <w:lvlText w:val="(%1)"/>
      <w:numFmt w:val="lowerLetter"/>
      <w:start w:val="1"/>
    </w:lvl>
  </w:abstractNum>
  <w:abstractNum w:abstractNumId="480">
    <w:nsid w:val="3BA0794B"/>
    <w:multiLevelType w:val="hybridMultilevel"/>
    <w:lvl w:ilvl="0">
      <w:lvlJc w:val="left"/>
      <w:lvlText w:val="2"/>
      <w:numFmt w:val="bullet"/>
      <w:start w:val="1"/>
    </w:lvl>
  </w:abstractNum>
  <w:abstractNum w:abstractNumId="481">
    <w:nsid w:val="6A0DCE48"/>
    <w:multiLevelType w:val="hybridMultilevel"/>
    <w:lvl w:ilvl="0">
      <w:lvlJc w:val="left"/>
      <w:lvlText w:val="(%1)"/>
      <w:numFmt w:val="lowerLetter"/>
      <w:start w:val="1"/>
    </w:lvl>
    <w:lvl w:ilvl="1">
      <w:lvlJc w:val="left"/>
      <w:lvlText w:val="(%2)"/>
      <w:numFmt w:val="lowerRoman"/>
      <w:start w:val="1"/>
    </w:lvl>
  </w:abstractNum>
  <w:abstractNum w:abstractNumId="482">
    <w:nsid w:val="7237AA96"/>
    <w:multiLevelType w:val="hybridMultilevel"/>
    <w:lvl w:ilvl="0">
      <w:lvlJc w:val="left"/>
      <w:lvlText w:val="(%1)"/>
      <w:numFmt w:val="lowerLetter"/>
      <w:start w:val="1"/>
    </w:lvl>
  </w:abstractNum>
  <w:abstractNum w:abstractNumId="483">
    <w:nsid w:val="5B1FBC2D"/>
    <w:multiLevelType w:val="hybridMultilevel"/>
    <w:lvl w:ilvl="0">
      <w:lvlJc w:val="left"/>
      <w:lvlText w:val="3"/>
      <w:numFmt w:val="bullet"/>
      <w:start w:val="1"/>
    </w:lvl>
  </w:abstractNum>
  <w:abstractNum w:abstractNumId="484">
    <w:nsid w:val="33DFCCE8"/>
    <w:multiLevelType w:val="hybridMultilevel"/>
    <w:lvl w:ilvl="0">
      <w:lvlJc w:val="left"/>
      <w:lvlText w:val="(%1)"/>
      <w:numFmt w:val="lowerLetter"/>
      <w:start w:val="1"/>
    </w:lvl>
  </w:abstractNum>
  <w:abstractNum w:abstractNumId="485">
    <w:nsid w:val="18C45E15"/>
    <w:multiLevelType w:val="hybridMultilevel"/>
    <w:lvl w:ilvl="0">
      <w:lvlJc w:val="left"/>
      <w:lvlText w:val="(%1)"/>
      <w:numFmt w:val="lowerLetter"/>
      <w:start w:val="1"/>
    </w:lvl>
  </w:abstractNum>
  <w:abstractNum w:abstractNumId="486">
    <w:nsid w:val="6B431F25"/>
    <w:multiLevelType w:val="hybridMultilevel"/>
    <w:lvl w:ilvl="0">
      <w:lvlJc w:val="left"/>
      <w:lvlText w:val="4"/>
      <w:numFmt w:val="bullet"/>
      <w:start w:val="1"/>
    </w:lvl>
  </w:abstractNum>
  <w:abstractNum w:abstractNumId="487">
    <w:nsid w:val="13CD8DCB"/>
    <w:multiLevelType w:val="hybridMultilevel"/>
    <w:lvl w:ilvl="0">
      <w:lvlJc w:val="left"/>
      <w:lvlText w:val="(%1)"/>
      <w:numFmt w:val="lowerLetter"/>
      <w:start w:val="1"/>
    </w:lvl>
  </w:abstractNum>
  <w:abstractNum w:abstractNumId="488">
    <w:nsid w:val="563A1A5C"/>
    <w:multiLevelType w:val="hybridMultilevel"/>
    <w:lvl w:ilvl="0">
      <w:lvlJc w:val="left"/>
      <w:lvlText w:val="(%1)"/>
      <w:numFmt w:val="lowerLetter"/>
      <w:start w:val="4"/>
    </w:lvl>
  </w:abstractNum>
  <w:abstractNum w:abstractNumId="489">
    <w:nsid w:val="2973F88F"/>
    <w:multiLevelType w:val="hybridMultilevel"/>
    <w:lvl w:ilvl="0">
      <w:lvlJc w:val="left"/>
      <w:lvlText w:val="5"/>
      <w:numFmt w:val="bullet"/>
      <w:start w:val="1"/>
    </w:lvl>
    <w:lvl w:ilvl="1">
      <w:lvlJc w:val="left"/>
      <w:lvlText w:val="(%2)"/>
      <w:numFmt w:val="lowerLetter"/>
      <w:start w:val="1"/>
    </w:lvl>
  </w:abstractNum>
  <w:abstractNum w:abstractNumId="490">
    <w:nsid w:val="2C70EDAE"/>
    <w:multiLevelType w:val="hybridMultilevel"/>
    <w:lvl w:ilvl="0">
      <w:lvlJc w:val="left"/>
      <w:lvlText w:val="(%1)"/>
      <w:numFmt w:val="lowerLetter"/>
      <w:start w:val="4"/>
    </w:lvl>
    <w:lvl w:ilvl="1">
      <w:lvlJc w:val="left"/>
      <w:lvlText w:val="(%2)"/>
      <w:numFmt w:val="lowerRoman"/>
      <w:start w:val="1"/>
    </w:lvl>
  </w:abstractNum>
  <w:abstractNum w:abstractNumId="491">
    <w:nsid w:val="44296C6D"/>
    <w:multiLevelType w:val="hybridMultilevel"/>
    <w:lvl w:ilvl="0">
      <w:lvlJc w:val="left"/>
      <w:lvlText w:val="(%1)"/>
      <w:numFmt w:val="lowerLetter"/>
      <w:start w:val="5"/>
    </w:lvl>
    <w:lvl w:ilvl="1">
      <w:lvlJc w:val="left"/>
      <w:lvlText w:val="(%2)"/>
      <w:numFmt w:val="lowerRoman"/>
      <w:start w:val="1"/>
    </w:lvl>
  </w:abstractNum>
  <w:abstractNum w:abstractNumId="492">
    <w:nsid w:val="3A86D445"/>
    <w:multiLevelType w:val="hybridMultilevel"/>
    <w:lvl w:ilvl="0">
      <w:lvlJc w:val="left"/>
      <w:lvlText w:val="6"/>
      <w:numFmt w:val="bullet"/>
      <w:start w:val="1"/>
    </w:lvl>
    <w:lvl w:ilvl="1">
      <w:lvlJc w:val="left"/>
      <w:lvlText w:val="(%2)"/>
      <w:numFmt w:val="lowerLetter"/>
      <w:start w:val="1"/>
    </w:lvl>
  </w:abstractNum>
  <w:abstractNum w:abstractNumId="493">
    <w:nsid w:val="51F79246"/>
    <w:multiLevelType w:val="hybridMultilevel"/>
    <w:lvl w:ilvl="0">
      <w:lvlJc w:val="left"/>
      <w:lvlText w:val="(%1)"/>
      <w:numFmt w:val="lowerLetter"/>
      <w:start w:val="3"/>
    </w:lvl>
    <w:lvl w:ilvl="1">
      <w:lvlJc w:val="left"/>
      <w:lvlText w:val="(%2)"/>
      <w:numFmt w:val="lowerRoman"/>
      <w:start w:val="1"/>
    </w:lvl>
  </w:abstractNum>
  <w:abstractNum w:abstractNumId="494">
    <w:nsid w:val="5BC9A827"/>
    <w:multiLevelType w:val="hybridMultilevel"/>
    <w:lvl w:ilvl="0">
      <w:lvlJc w:val="left"/>
      <w:lvlText w:val="7"/>
      <w:numFmt w:val="bullet"/>
      <w:start w:val="1"/>
    </w:lvl>
  </w:abstractNum>
  <w:abstractNum w:abstractNumId="495">
    <w:nsid w:val="3AE37D86"/>
    <w:multiLevelType w:val="hybridMultilevel"/>
    <w:lvl w:ilvl="0">
      <w:lvlJc w:val="left"/>
      <w:lvlText w:val="(%1)"/>
      <w:numFmt w:val="lowerLetter"/>
      <w:start w:val="1"/>
    </w:lvl>
  </w:abstractNum>
  <w:abstractNum w:abstractNumId="496">
    <w:nsid w:val="45440FE5"/>
    <w:multiLevelType w:val="hybridMultilevel"/>
    <w:lvl w:ilvl="0">
      <w:lvlJc w:val="left"/>
      <w:lvlText w:val="(%1)"/>
      <w:numFmt w:val="lowerLetter"/>
      <w:start w:val="5"/>
    </w:lvl>
    <w:lvl w:ilvl="1">
      <w:lvlJc w:val="left"/>
      <w:lvlText w:val="(%2)"/>
      <w:numFmt w:val="lowerRoman"/>
      <w:start w:val="1"/>
    </w:lvl>
  </w:abstractNum>
  <w:abstractNum w:abstractNumId="497">
    <w:nsid w:val="BF783F"/>
    <w:multiLevelType w:val="hybridMultilevel"/>
    <w:lvl w:ilvl="0">
      <w:lvlJc w:val="left"/>
      <w:lvlText w:val="(%1)"/>
      <w:numFmt w:val="lowerLetter"/>
      <w:start w:val="10"/>
    </w:lvl>
  </w:abstractNum>
  <w:abstractNum w:abstractNumId="498">
    <w:nsid w:val="22643EA9"/>
    <w:multiLevelType w:val="hybridMultilevel"/>
    <w:lvl w:ilvl="0">
      <w:lvlJc w:val="left"/>
      <w:lvlText w:val="(%1)"/>
      <w:numFmt w:val="lowerLetter"/>
      <w:start w:val="1"/>
    </w:lvl>
  </w:abstractNum>
  <w:abstractNum w:abstractNumId="499">
    <w:nsid w:val="1887578D"/>
    <w:multiLevelType w:val="hybridMultilevel"/>
    <w:lvl w:ilvl="0">
      <w:lvlJc w:val="left"/>
      <w:lvlText w:val="(%1)"/>
      <w:numFmt w:val="lowerLetter"/>
      <w:start w:val="2"/>
    </w:lvl>
    <w:lvl w:ilvl="1">
      <w:lvlJc w:val="left"/>
      <w:lvlText w:val="(%2)"/>
      <w:numFmt w:val="lowerLetter"/>
      <w:start w:val="9"/>
    </w:lvl>
  </w:abstractNum>
  <w:abstractNum w:abstractNumId="500">
    <w:nsid w:val="58C05B8A"/>
    <w:multiLevelType w:val="hybridMultilevel"/>
    <w:lvl w:ilvl="0">
      <w:lvlJc w:val="left"/>
      <w:lvlText w:val="(%1)"/>
      <w:numFmt w:val="lowerRoman"/>
      <w:start w:val="1"/>
    </w:lvl>
  </w:abstractNum>
  <w:abstractNum w:abstractNumId="501">
    <w:nsid w:val="38D82E71"/>
    <w:multiLevelType w:val="hybridMultilevel"/>
    <w:lvl w:ilvl="0">
      <w:lvlJc w:val="left"/>
      <w:lvlText w:val="8"/>
      <w:numFmt w:val="bullet"/>
      <w:start w:val="1"/>
    </w:lvl>
  </w:abstractNum>
  <w:abstractNum w:abstractNumId="502">
    <w:nsid w:val="1E41098A"/>
    <w:multiLevelType w:val="hybridMultilevel"/>
    <w:lvl w:ilvl="0">
      <w:lvlJc w:val="left"/>
      <w:lvlText w:val="9"/>
      <w:numFmt w:val="bullet"/>
      <w:start w:val="1"/>
    </w:lvl>
  </w:abstractNum>
  <w:abstractNum w:abstractNumId="503">
    <w:nsid w:val="5398582C"/>
    <w:multiLevelType w:val="hybridMultilevel"/>
    <w:lvl w:ilvl="0">
      <w:lvlJc w:val="left"/>
      <w:lvlText w:val="(%1)"/>
      <w:numFmt w:val="lowerLetter"/>
      <w:start w:val="1"/>
    </w:lvl>
  </w:abstractNum>
  <w:abstractNum w:abstractNumId="504">
    <w:nsid w:val="1C0D4475"/>
    <w:multiLevelType w:val="hybridMultilevel"/>
    <w:lvl w:ilvl="0">
      <w:lvlJc w:val="left"/>
      <w:lvlText w:val="(%1)"/>
      <w:numFmt w:val="lowerLetter"/>
      <w:start w:val="2"/>
    </w:lvl>
  </w:abstractNum>
  <w:abstractNum w:abstractNumId="505">
    <w:nsid w:val="2CB6A6A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06">
    <w:nsid w:val="41D646BC"/>
    <w:multiLevelType w:val="hybridMultilevel"/>
    <w:lvl w:ilvl="0">
      <w:lvlJc w:val="left"/>
      <w:lvlText w:val="(%1)"/>
      <w:numFmt w:val="upperLetter"/>
      <w:start w:val="3"/>
    </w:lvl>
  </w:abstractNum>
  <w:abstractNum w:abstractNumId="507">
    <w:nsid w:val="3694A76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jpe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jpe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jpeg"/><Relationship Id="rId863" Type="http://schemas.openxmlformats.org/officeDocument/2006/relationships/image" Target="media/image856.png"/><Relationship Id="rId864" Type="http://schemas.openxmlformats.org/officeDocument/2006/relationships/image" Target="media/image857.jpe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jpe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jpe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jpe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jpe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jpe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jpeg"/><Relationship Id="rId951" Type="http://schemas.openxmlformats.org/officeDocument/2006/relationships/image" Target="media/image944.jpeg"/><Relationship Id="rId952" Type="http://schemas.openxmlformats.org/officeDocument/2006/relationships/image" Target="media/image9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2022-01-10T23:37:38Z</dcterms:created>
  <dcterms:modified xsi:type="dcterms:W3CDTF">2022-01-10T23:37:38Z</dcterms:modified>
</cp:coreProperties>
</file>