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June,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6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100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0000FF"/>
              </w:rPr>
              <w:t>Appendix 2A (Application for quotation of securities) dated June 19, 2026.</w:t>
            </w:r>
          </w:p>
        </w:tc>
      </w:tr>
      <w:tr>
        <w:trPr>
          <w:trHeight w:val="527"/>
        </w:trPr>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4520" w:type="dxa"/>
            <w:vAlign w:val="bottom"/>
            <w:tcBorders>
              <w:top w:val="single" w:sz="8" w:color="0000FF"/>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Robert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Long</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 w:name="page4"/>
    <w:bookmarkEnd w:id="3"/>
    <w:p>
      <w:pPr>
        <w:ind w:left="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208915</wp:posOffset>
            </wp:positionV>
            <wp:extent cx="23114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99.1</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Announcement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508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Entity name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Announcement Type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 announcement</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Date of this announcement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Friday June 19, 2026</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The +securities to be quoted are:</w:t>
      </w:r>
    </w:p>
    <w:p>
      <w:pPr>
        <w:spacing w:after="0" w:line="21" w:lineRule="exact"/>
        <w:rPr>
          <w:sz w:val="20"/>
          <w:szCs w:val="20"/>
          <w:color w:val="auto"/>
        </w:rPr>
      </w:pPr>
    </w:p>
    <w:p>
      <w:pPr>
        <w:ind w:left="600" w:right="2560"/>
        <w:spacing w:after="0" w:line="328" w:lineRule="auto"/>
        <w:rPr>
          <w:sz w:val="20"/>
          <w:szCs w:val="20"/>
          <w:color w:val="auto"/>
        </w:rPr>
      </w:pPr>
      <w:r>
        <w:rPr>
          <w:rFonts w:ascii="Arial" w:cs="Arial" w:eastAsia="Arial" w:hAnsi="Arial"/>
          <w:sz w:val="16"/>
          <w:szCs w:val="16"/>
          <w:color w:val="auto"/>
        </w:rPr>
        <w:t xml:space="preserve">+Securities issued as part of a transaction or transactions previously announced to the market in an Appendix 3B </w:t>
      </w:r>
      <w:r>
        <w:rPr>
          <w:rFonts w:ascii="Arial" w:cs="Arial" w:eastAsia="Arial" w:hAnsi="Arial"/>
          <w:sz w:val="16"/>
          <w:szCs w:val="16"/>
          <w:b w:val="1"/>
          <w:bCs w:val="1"/>
          <w:color w:val="auto"/>
        </w:rPr>
        <w:t>Total number of +securities to be quoted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 w:type="dxa"/>
            <w:vAlign w:val="bottom"/>
            <w:tcBorders>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20" w:type="dxa"/>
            <w:vAlign w:val="bottom"/>
            <w:tcBorders>
              <w:top w:val="single" w:sz="8" w:color="auto"/>
            </w:tcBorders>
          </w:tcPr>
          <w:p>
            <w:pPr>
              <w:ind w:left="520"/>
              <w:spacing w:after="0"/>
              <w:rPr>
                <w:sz w:val="20"/>
                <w:szCs w:val="20"/>
                <w:color w:val="auto"/>
              </w:rPr>
            </w:pPr>
            <w:r>
              <w:rPr>
                <w:rFonts w:ascii="Arial" w:cs="Arial" w:eastAsia="Arial" w:hAnsi="Arial"/>
                <w:sz w:val="16"/>
                <w:szCs w:val="16"/>
                <w:b w:val="1"/>
                <w:bCs w:val="1"/>
                <w:color w:val="auto"/>
              </w:rPr>
              <w:t>ASX +security</w:t>
            </w:r>
          </w:p>
        </w:tc>
        <w:tc>
          <w:tcPr>
            <w:tcW w:w="3620" w:type="dxa"/>
            <w:vAlign w:val="bottom"/>
            <w:tcBorders>
              <w:top w:val="single" w:sz="8" w:color="auto"/>
            </w:tcBorders>
          </w:tcPr>
          <w:p>
            <w:pPr>
              <w:spacing w:after="0"/>
              <w:rPr>
                <w:sz w:val="22"/>
                <w:szCs w:val="22"/>
                <w:color w:val="auto"/>
              </w:rPr>
            </w:pPr>
          </w:p>
        </w:tc>
        <w:tc>
          <w:tcPr>
            <w:tcW w:w="5440" w:type="dxa"/>
            <w:vAlign w:val="bottom"/>
            <w:tcBorders>
              <w:top w:val="single" w:sz="8" w:color="auto"/>
              <w:right w:val="single" w:sz="8" w:color="auto"/>
            </w:tcBorders>
          </w:tcPr>
          <w:p>
            <w:pPr>
              <w:jc w:val="right"/>
              <w:ind w:right="2180"/>
              <w:spacing w:after="0"/>
              <w:rPr>
                <w:sz w:val="20"/>
                <w:szCs w:val="20"/>
                <w:color w:val="auto"/>
              </w:rPr>
            </w:pPr>
            <w:r>
              <w:rPr>
                <w:rFonts w:ascii="Arial" w:cs="Arial" w:eastAsia="Arial" w:hAnsi="Arial"/>
                <w:sz w:val="16"/>
                <w:szCs w:val="16"/>
                <w:b w:val="1"/>
                <w:bCs w:val="1"/>
                <w:color w:val="auto"/>
              </w:rPr>
              <w:t>Number of +securities to</w:t>
            </w:r>
          </w:p>
        </w:tc>
        <w:tc>
          <w:tcPr>
            <w:tcW w:w="40" w:type="dxa"/>
            <w:vAlign w:val="bottom"/>
            <w:gridSpan w:val="2"/>
          </w:tcPr>
          <w:p>
            <w:pPr>
              <w:spacing w:after="0"/>
              <w:rPr>
                <w:sz w:val="22"/>
                <w:szCs w:val="22"/>
                <w:color w:val="auto"/>
              </w:rPr>
            </w:pPr>
          </w:p>
        </w:tc>
      </w:tr>
      <w:tr>
        <w:trPr>
          <w:trHeight w:val="223"/>
        </w:trPr>
        <w:tc>
          <w:tcPr>
            <w:tcW w:w="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ind w:left="520"/>
              <w:spacing w:after="0"/>
              <w:rPr>
                <w:sz w:val="20"/>
                <w:szCs w:val="20"/>
                <w:color w:val="auto"/>
              </w:rPr>
            </w:pPr>
            <w:r>
              <w:rPr>
                <w:rFonts w:ascii="Arial" w:cs="Arial" w:eastAsia="Arial" w:hAnsi="Arial"/>
                <w:sz w:val="16"/>
                <w:szCs w:val="16"/>
                <w:b w:val="1"/>
                <w:bCs w:val="1"/>
                <w:color w:val="auto"/>
              </w:rPr>
              <w:t>code</w:t>
            </w:r>
          </w:p>
        </w:tc>
        <w:tc>
          <w:tcPr>
            <w:tcW w:w="3620" w:type="dxa"/>
            <w:vAlign w:val="bottom"/>
          </w:tcPr>
          <w:p>
            <w:pPr>
              <w:ind w:left="420"/>
              <w:spacing w:after="0"/>
              <w:rPr>
                <w:sz w:val="20"/>
                <w:szCs w:val="20"/>
                <w:color w:val="auto"/>
              </w:rPr>
            </w:pPr>
            <w:r>
              <w:rPr>
                <w:rFonts w:ascii="Arial" w:cs="Arial" w:eastAsia="Arial" w:hAnsi="Arial"/>
                <w:sz w:val="16"/>
                <w:szCs w:val="16"/>
                <w:b w:val="1"/>
                <w:bCs w:val="1"/>
                <w:color w:val="auto"/>
              </w:rPr>
              <w:t>Security description</w:t>
            </w:r>
          </w:p>
        </w:tc>
        <w:tc>
          <w:tcPr>
            <w:tcW w:w="5440" w:type="dxa"/>
            <w:vAlign w:val="bottom"/>
            <w:tcBorders>
              <w:right w:val="single" w:sz="8" w:color="auto"/>
            </w:tcBorders>
          </w:tcPr>
          <w:p>
            <w:pPr>
              <w:jc w:val="right"/>
              <w:ind w:right="2000"/>
              <w:spacing w:after="0"/>
              <w:rPr>
                <w:sz w:val="20"/>
                <w:szCs w:val="20"/>
                <w:color w:val="auto"/>
              </w:rPr>
            </w:pPr>
            <w:r>
              <w:rPr>
                <w:rFonts w:ascii="Arial" w:cs="Arial" w:eastAsia="Arial" w:hAnsi="Arial"/>
                <w:sz w:val="16"/>
                <w:szCs w:val="16"/>
                <w:b w:val="1"/>
                <w:bCs w:val="1"/>
                <w:color w:val="auto"/>
              </w:rPr>
              <w:t>be quoted Issue date</w:t>
            </w:r>
          </w:p>
        </w:tc>
        <w:tc>
          <w:tcPr>
            <w:tcW w:w="40" w:type="dxa"/>
            <w:vAlign w:val="bottom"/>
            <w:gridSpan w:val="2"/>
          </w:tcPr>
          <w:p>
            <w:pPr>
              <w:spacing w:after="0"/>
              <w:rPr>
                <w:sz w:val="19"/>
                <w:szCs w:val="19"/>
                <w:color w:val="auto"/>
              </w:rPr>
            </w:pPr>
          </w:p>
        </w:tc>
      </w:tr>
      <w:tr>
        <w:trPr>
          <w:trHeight w:val="397"/>
        </w:trPr>
        <w:tc>
          <w:tcPr>
            <w:tcW w:w="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ind w:left="520"/>
              <w:spacing w:after="0"/>
              <w:rPr>
                <w:sz w:val="20"/>
                <w:szCs w:val="20"/>
                <w:color w:val="auto"/>
              </w:rPr>
            </w:pPr>
            <w:r>
              <w:rPr>
                <w:rFonts w:ascii="Arial" w:cs="Arial" w:eastAsia="Arial" w:hAnsi="Arial"/>
                <w:sz w:val="16"/>
                <w:szCs w:val="16"/>
                <w:color w:val="auto"/>
              </w:rPr>
              <w:t>NVX</w:t>
            </w:r>
          </w:p>
        </w:tc>
        <w:tc>
          <w:tcPr>
            <w:tcW w:w="3620" w:type="dxa"/>
            <w:vAlign w:val="bottom"/>
          </w:tcPr>
          <w:p>
            <w:pPr>
              <w:ind w:left="420"/>
              <w:spacing w:after="0"/>
              <w:rPr>
                <w:sz w:val="20"/>
                <w:szCs w:val="20"/>
                <w:color w:val="auto"/>
              </w:rPr>
            </w:pPr>
            <w:r>
              <w:rPr>
                <w:rFonts w:ascii="Arial" w:cs="Arial" w:eastAsia="Arial" w:hAnsi="Arial"/>
                <w:sz w:val="16"/>
                <w:szCs w:val="16"/>
                <w:color w:val="auto"/>
              </w:rPr>
              <w:t>ORDINARY FULLY PAID</w:t>
            </w:r>
          </w:p>
        </w:tc>
        <w:tc>
          <w:tcPr>
            <w:tcW w:w="5440" w:type="dxa"/>
            <w:vAlign w:val="bottom"/>
            <w:tcBorders>
              <w:right w:val="single" w:sz="8" w:color="auto"/>
            </w:tcBorders>
          </w:tcPr>
          <w:p>
            <w:pPr>
              <w:jc w:val="right"/>
              <w:ind w:right="1760"/>
              <w:spacing w:after="0"/>
              <w:rPr>
                <w:sz w:val="20"/>
                <w:szCs w:val="20"/>
                <w:color w:val="auto"/>
              </w:rPr>
            </w:pPr>
            <w:r>
              <w:rPr>
                <w:rFonts w:ascii="Arial" w:cs="Arial" w:eastAsia="Arial" w:hAnsi="Arial"/>
                <w:sz w:val="16"/>
                <w:szCs w:val="16"/>
                <w:color w:val="auto"/>
              </w:rPr>
              <w:t>129,334,163  22/06/2026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100" w:type="dxa"/>
            <w:vAlign w:val="bottom"/>
            <w:tcBorders>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40" w:type="dxa"/>
            <w:vAlign w:val="bottom"/>
            <w:tcBorders>
              <w:bottom w:val="single" w:sz="8" w:color="auto"/>
            </w:tcBorders>
            <w:gridSpan w:val="2"/>
          </w:tcPr>
          <w:p>
            <w:pPr>
              <w:spacing w:after="0"/>
              <w:rPr>
                <w:sz w:val="15"/>
                <w:szCs w:val="15"/>
                <w:color w:val="auto"/>
              </w:rPr>
            </w:pPr>
          </w:p>
        </w:tc>
        <w:tc>
          <w:tcPr>
            <w:tcW w:w="544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8"/>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40" w:type="dxa"/>
            <w:vAlign w:val="bottom"/>
            <w:gridSpan w:val="2"/>
          </w:tcPr>
          <w:p>
            <w:pPr>
              <w:ind w:left="480"/>
              <w:spacing w:after="0"/>
              <w:rPr>
                <w:sz w:val="20"/>
                <w:szCs w:val="20"/>
                <w:color w:val="auto"/>
              </w:rPr>
            </w:pPr>
            <w:r>
              <w:rPr>
                <w:rFonts w:ascii="Arial" w:cs="Arial" w:eastAsia="Arial" w:hAnsi="Arial"/>
                <w:sz w:val="16"/>
                <w:szCs w:val="16"/>
                <w:color w:val="auto"/>
              </w:rPr>
              <w:t>Refer to next page for full details of the announcement</w:t>
            </w:r>
          </w:p>
        </w:tc>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7"/>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bottom w:val="single" w:sz="8" w:color="7F7F7F"/>
            </w:tcBorders>
            <w:gridSpan w:val="2"/>
          </w:tcPr>
          <w:p>
            <w:pPr>
              <w:spacing w:after="0"/>
              <w:rPr>
                <w:sz w:val="15"/>
                <w:szCs w:val="15"/>
                <w:color w:val="auto"/>
              </w:rPr>
            </w:pPr>
          </w:p>
        </w:tc>
        <w:tc>
          <w:tcPr>
            <w:tcW w:w="5440" w:type="dxa"/>
            <w:vAlign w:val="bottom"/>
            <w:tcBorders>
              <w:bottom w:val="single" w:sz="8" w:color="7F7F7F"/>
            </w:tcBorders>
          </w:tcPr>
          <w:p>
            <w:pPr>
              <w:spacing w:after="0"/>
              <w:rPr>
                <w:sz w:val="15"/>
                <w:szCs w:val="15"/>
                <w:color w:val="auto"/>
              </w:rPr>
            </w:pPr>
          </w:p>
        </w:tc>
        <w:tc>
          <w:tcPr>
            <w:tcW w:w="20" w:type="dxa"/>
            <w:vAlign w:val="bottom"/>
            <w:tcBorders>
              <w:bottom w:val="single" w:sz="8" w:color="7F7F7F"/>
            </w:tcBorders>
          </w:tcPr>
          <w:p>
            <w:pPr>
              <w:spacing w:after="0"/>
              <w:rPr>
                <w:sz w:val="15"/>
                <w:szCs w:val="15"/>
                <w:color w:val="auto"/>
              </w:rPr>
            </w:pPr>
          </w:p>
        </w:tc>
        <w:tc>
          <w:tcPr>
            <w:tcW w:w="20" w:type="dxa"/>
            <w:vAlign w:val="bottom"/>
          </w:tcPr>
          <w:p>
            <w:pPr>
              <w:spacing w:after="0"/>
              <w:rPr>
                <w:sz w:val="15"/>
                <w:szCs w:val="15"/>
                <w:color w:val="auto"/>
              </w:rPr>
            </w:pPr>
          </w:p>
        </w:tc>
      </w:tr>
      <w:tr>
        <w:trPr>
          <w:trHeight w:val="275"/>
        </w:trPr>
        <w:tc>
          <w:tcPr>
            <w:tcW w:w="100" w:type="dxa"/>
            <w:vAlign w:val="bottom"/>
          </w:tcPr>
          <w:p>
            <w:pPr>
              <w:spacing w:after="0"/>
              <w:rPr>
                <w:sz w:val="23"/>
                <w:szCs w:val="23"/>
                <w:color w:val="auto"/>
              </w:rPr>
            </w:pPr>
          </w:p>
        </w:tc>
        <w:tc>
          <w:tcPr>
            <w:tcW w:w="5660" w:type="dxa"/>
            <w:vAlign w:val="bottom"/>
            <w:gridSpan w:val="3"/>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5460" w:type="dxa"/>
            <w:vAlign w:val="bottom"/>
            <w:gridSpan w:val="2"/>
          </w:tcPr>
          <w:p>
            <w:pPr>
              <w:jc w:val="right"/>
              <w:spacing w:after="0"/>
              <w:rPr>
                <w:sz w:val="20"/>
                <w:szCs w:val="20"/>
                <w:color w:val="auto"/>
              </w:rPr>
            </w:pPr>
            <w:r>
              <w:rPr>
                <w:rFonts w:ascii="Arial" w:cs="Arial" w:eastAsia="Arial" w:hAnsi="Arial"/>
                <w:sz w:val="15"/>
                <w:szCs w:val="15"/>
                <w:color w:val="auto"/>
              </w:rPr>
              <w:t>1 / 5</w:t>
            </w:r>
          </w:p>
        </w:tc>
        <w:tc>
          <w:tcPr>
            <w:tcW w:w="20" w:type="dxa"/>
            <w:vAlign w:val="bottom"/>
          </w:tcPr>
          <w:p>
            <w:pPr>
              <w:spacing w:after="0"/>
              <w:rPr>
                <w:sz w:val="23"/>
                <w:szCs w:val="23"/>
                <w:color w:val="auto"/>
              </w:rPr>
            </w:pPr>
          </w:p>
        </w:tc>
      </w:tr>
      <w:tr>
        <w:trPr>
          <w:trHeight w:val="522"/>
        </w:trPr>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 w:name="page5"/>
    <w:bookmarkEnd w:id="4"/>
    <w:p>
      <w:pPr>
        <w:ind w:left="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208915</wp:posOffset>
            </wp:positionV>
            <wp:extent cx="23114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1 - Entity and announcement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2305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1.1 Name of entity</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right="340"/>
        <w:spacing w:after="0" w:line="286" w:lineRule="auto"/>
        <w:rPr>
          <w:sz w:val="20"/>
          <w:szCs w:val="20"/>
          <w:color w:val="auto"/>
        </w:rPr>
      </w:pPr>
      <w:r>
        <w:rPr>
          <w:rFonts w:ascii="Arial" w:cs="Arial" w:eastAsia="Arial" w:hAnsi="Arial"/>
          <w:sz w:val="16"/>
          <w:szCs w:val="16"/>
          <w:color w:val="auto"/>
        </w:rPr>
        <w:t>We (the entity named above) apply for +quotation of the following +securities and agree to the matters set out in Appendix 2A of the ASX Listing Rules.</w:t>
      </w:r>
    </w:p>
    <w:p>
      <w:pPr>
        <w:sectPr>
          <w:pgSz w:w="11900" w:h="16838" w:orient="portrait"/>
          <w:cols w:equalWidth="0" w:num="1">
            <w:col w:w="11240"/>
          </w:cols>
          <w:pgMar w:left="320" w:top="503" w:right="339" w:bottom="1440" w:gutter="0" w:footer="0" w:header="0"/>
        </w:sectPr>
      </w:pP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1.2 Registered number type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number</w:t>
      </w:r>
    </w:p>
    <w:p>
      <w:pPr>
        <w:spacing w:after="0" w:line="113" w:lineRule="exact"/>
        <w:rPr>
          <w:sz w:val="20"/>
          <w:szCs w:val="20"/>
          <w:color w:val="auto"/>
        </w:rPr>
      </w:pPr>
    </w:p>
    <w:p>
      <w:pPr>
        <w:sectPr>
          <w:pgSz w:w="11900" w:h="16838" w:orient="portrait"/>
          <w:cols w:equalWidth="0" w:num="2">
            <w:col w:w="5160" w:space="720"/>
            <w:col w:w="5360"/>
          </w:cols>
          <w:pgMar w:left="320" w:top="503" w:right="339" w:bottom="1440" w:gutter="0" w:footer="0" w:header="0"/>
          <w:type w:val="continuous"/>
        </w:sectPr>
      </w:pPr>
    </w:p>
    <w:p>
      <w:pPr>
        <w:ind w:left="600"/>
        <w:spacing w:after="0"/>
        <w:rPr>
          <w:sz w:val="20"/>
          <w:szCs w:val="20"/>
          <w:color w:val="auto"/>
        </w:rPr>
      </w:pPr>
      <w:r>
        <w:rPr>
          <w:rFonts w:ascii="Arial" w:cs="Arial" w:eastAsia="Arial" w:hAnsi="Arial"/>
          <w:sz w:val="15"/>
          <w:szCs w:val="15"/>
          <w:color w:val="auto"/>
        </w:rPr>
        <w:t>ABN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54157690830</w:t>
      </w:r>
    </w:p>
    <w:p>
      <w:pPr>
        <w:spacing w:after="0" w:line="200" w:lineRule="exact"/>
        <w:rPr>
          <w:sz w:val="20"/>
          <w:szCs w:val="20"/>
          <w:color w:val="auto"/>
        </w:rPr>
      </w:pPr>
    </w:p>
    <w:p>
      <w:pPr>
        <w:sectPr>
          <w:pgSz w:w="11900" w:h="16838" w:orient="portrait"/>
          <w:cols w:equalWidth="0" w:num="2">
            <w:col w:w="5160" w:space="720"/>
            <w:col w:w="5360"/>
          </w:cols>
          <w:pgMar w:left="320" w:top="503" w:right="339" w:bottom="1440" w:gutter="0" w:footer="0" w:header="0"/>
          <w:type w:val="continuous"/>
        </w:sectPr>
      </w:pPr>
    </w:p>
    <w:p>
      <w:pPr>
        <w:spacing w:after="0" w:line="4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1.3 ASX issuer code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w:t>
      </w:r>
    </w:p>
    <w:p>
      <w:pPr>
        <w:sectPr>
          <w:pgSz w:w="11900" w:h="16838" w:orient="portrait"/>
          <w:cols w:equalWidth="0" w:num="1">
            <w:col w:w="11240"/>
          </w:cols>
          <w:pgMar w:left="320" w:top="503" w:right="339" w:bottom="1440" w:gutter="0" w:footer="0" w:header="0"/>
          <w:type w:val="continuous"/>
        </w:sectPr>
      </w:pP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1.4 The announcement is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 announcement</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1.5 Date of this announcement</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19/6/2026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7054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ind w:left="120"/>
              <w:spacing w:after="0"/>
              <w:rPr>
                <w:sz w:val="20"/>
                <w:szCs w:val="20"/>
                <w:color w:val="auto"/>
              </w:rPr>
            </w:pPr>
            <w:r>
              <w:rPr>
                <w:rFonts w:ascii="Arial" w:cs="Arial" w:eastAsia="Arial" w:hAnsi="Arial"/>
                <w:sz w:val="16"/>
                <w:szCs w:val="16"/>
                <w:color w:val="auto"/>
              </w:rPr>
              <w:t>Appendix 2A - Application for quotation of securities</w:t>
            </w:r>
          </w:p>
        </w:tc>
        <w:tc>
          <w:tcPr>
            <w:tcW w:w="3860" w:type="dxa"/>
            <w:vAlign w:val="bottom"/>
          </w:tcPr>
          <w:p>
            <w:pPr>
              <w:jc w:val="right"/>
              <w:spacing w:after="0"/>
              <w:rPr>
                <w:sz w:val="20"/>
                <w:szCs w:val="20"/>
                <w:color w:val="auto"/>
              </w:rPr>
            </w:pPr>
            <w:r>
              <w:rPr>
                <w:rFonts w:ascii="Arial" w:cs="Arial" w:eastAsia="Arial" w:hAnsi="Arial"/>
                <w:sz w:val="15"/>
                <w:szCs w:val="15"/>
                <w:color w:val="auto"/>
              </w:rPr>
              <w:t>2 / 5</w:t>
            </w:r>
          </w:p>
        </w:tc>
      </w:tr>
      <w:tr>
        <w:trPr>
          <w:trHeight w:val="522"/>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5" w:name="page6"/>
    <w:bookmarkEnd w:id="5"/>
    <w:p>
      <w:pPr>
        <w:ind w:left="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208915</wp:posOffset>
            </wp:positionV>
            <wp:extent cx="23114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2 - Type of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354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2.1 The +securities to be quoted are:</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+Securities issued as part of a transaction or transactions previously announced to the market in an Appendix 3B</w:t>
      </w:r>
    </w:p>
    <w:p>
      <w:pPr>
        <w:spacing w:after="0" w:line="151"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2560" w:type="dxa"/>
            <w:vAlign w:val="bottom"/>
          </w:tcPr>
          <w:p>
            <w:pPr>
              <w:spacing w:after="0"/>
              <w:rPr>
                <w:sz w:val="20"/>
                <w:szCs w:val="20"/>
                <w:color w:val="auto"/>
              </w:rPr>
            </w:pPr>
            <w:r>
              <w:rPr>
                <w:rFonts w:ascii="Arial" w:cs="Arial" w:eastAsia="Arial" w:hAnsi="Arial"/>
                <w:sz w:val="16"/>
                <w:szCs w:val="16"/>
                <w:b w:val="1"/>
                <w:bCs w:val="1"/>
                <w:color w:val="auto"/>
              </w:rPr>
              <w:t>Previous Appendix 3B details:</w:t>
            </w:r>
          </w:p>
        </w:tc>
        <w:tc>
          <w:tcPr>
            <w:tcW w:w="41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36"/>
        </w:trPr>
        <w:tc>
          <w:tcPr>
            <w:tcW w:w="2560" w:type="dxa"/>
            <w:vAlign w:val="bottom"/>
          </w:tcPr>
          <w:p>
            <w:pPr>
              <w:spacing w:after="0"/>
              <w:rPr>
                <w:sz w:val="20"/>
                <w:szCs w:val="20"/>
                <w:color w:val="auto"/>
              </w:rPr>
            </w:pPr>
            <w:r>
              <w:rPr>
                <w:rFonts w:ascii="Arial" w:cs="Arial" w:eastAsia="Arial" w:hAnsi="Arial"/>
                <w:sz w:val="16"/>
                <w:szCs w:val="16"/>
                <w:b w:val="1"/>
                <w:bCs w:val="1"/>
                <w:color w:val="auto"/>
              </w:rPr>
              <w:t>Announcement Date and</w:t>
            </w:r>
          </w:p>
        </w:tc>
        <w:tc>
          <w:tcPr>
            <w:tcW w:w="4100" w:type="dxa"/>
            <w:vAlign w:val="bottom"/>
          </w:tcPr>
          <w:p>
            <w:pPr>
              <w:ind w:left="240"/>
              <w:spacing w:after="0"/>
              <w:rPr>
                <w:sz w:val="20"/>
                <w:szCs w:val="20"/>
                <w:color w:val="auto"/>
              </w:rPr>
            </w:pPr>
            <w:r>
              <w:rPr>
                <w:rFonts w:ascii="Arial" w:cs="Arial" w:eastAsia="Arial" w:hAnsi="Arial"/>
                <w:sz w:val="16"/>
                <w:szCs w:val="16"/>
                <w:b w:val="1"/>
                <w:bCs w:val="1"/>
                <w:color w:val="auto"/>
              </w:rPr>
              <w:t>Announcement Title</w:t>
            </w:r>
          </w:p>
        </w:tc>
        <w:tc>
          <w:tcPr>
            <w:tcW w:w="3900" w:type="dxa"/>
            <w:vAlign w:val="bottom"/>
          </w:tcPr>
          <w:p>
            <w:pPr>
              <w:spacing w:after="0"/>
              <w:rPr>
                <w:sz w:val="20"/>
                <w:szCs w:val="20"/>
                <w:color w:val="auto"/>
              </w:rPr>
            </w:pPr>
            <w:r>
              <w:rPr>
                <w:rFonts w:ascii="Arial" w:cs="Arial" w:eastAsia="Arial" w:hAnsi="Arial"/>
                <w:sz w:val="16"/>
                <w:szCs w:val="16"/>
                <w:b w:val="1"/>
                <w:bCs w:val="1"/>
                <w:color w:val="auto"/>
              </w:rPr>
              <w:t>Selected Appendix 3B to submit quotation</w:t>
            </w:r>
          </w:p>
        </w:tc>
      </w:tr>
      <w:tr>
        <w:trPr>
          <w:trHeight w:val="223"/>
        </w:trPr>
        <w:tc>
          <w:tcPr>
            <w:tcW w:w="2560" w:type="dxa"/>
            <w:vAlign w:val="bottom"/>
          </w:tcPr>
          <w:p>
            <w:pPr>
              <w:spacing w:after="0"/>
              <w:rPr>
                <w:sz w:val="20"/>
                <w:szCs w:val="20"/>
                <w:color w:val="auto"/>
              </w:rPr>
            </w:pPr>
            <w:r>
              <w:rPr>
                <w:rFonts w:ascii="Arial" w:cs="Arial" w:eastAsia="Arial" w:hAnsi="Arial"/>
                <w:sz w:val="16"/>
                <w:szCs w:val="16"/>
                <w:b w:val="1"/>
                <w:bCs w:val="1"/>
                <w:color w:val="auto"/>
              </w:rPr>
              <w:t>Time</w:t>
            </w:r>
          </w:p>
        </w:tc>
        <w:tc>
          <w:tcPr>
            <w:tcW w:w="41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6"/>
                <w:szCs w:val="16"/>
                <w:b w:val="1"/>
                <w:bCs w:val="1"/>
                <w:color w:val="auto"/>
              </w:rPr>
              <w:t>request</w:t>
            </w:r>
          </w:p>
        </w:tc>
      </w:tr>
      <w:tr>
        <w:trPr>
          <w:trHeight w:val="75"/>
        </w:trPr>
        <w:tc>
          <w:tcPr>
            <w:tcW w:w="2560" w:type="dxa"/>
            <w:vAlign w:val="bottom"/>
          </w:tcPr>
          <w:p>
            <w:pPr>
              <w:spacing w:after="0"/>
              <w:rPr>
                <w:sz w:val="6"/>
                <w:szCs w:val="6"/>
                <w:color w:val="auto"/>
              </w:rPr>
            </w:pPr>
          </w:p>
        </w:tc>
        <w:tc>
          <w:tcPr>
            <w:tcW w:w="4100" w:type="dxa"/>
            <w:vAlign w:val="bottom"/>
          </w:tcPr>
          <w:p>
            <w:pPr>
              <w:spacing w:after="0"/>
              <w:rPr>
                <w:sz w:val="6"/>
                <w:szCs w:val="6"/>
                <w:color w:val="auto"/>
              </w:rPr>
            </w:pPr>
          </w:p>
        </w:tc>
        <w:tc>
          <w:tcPr>
            <w:tcW w:w="3900" w:type="dxa"/>
            <w:vAlign w:val="bottom"/>
            <w:tcBorders>
              <w:bottom w:val="single" w:sz="8" w:color="999999"/>
            </w:tcBorders>
          </w:tcPr>
          <w:p>
            <w:pPr>
              <w:spacing w:after="0"/>
              <w:rPr>
                <w:sz w:val="6"/>
                <w:szCs w:val="6"/>
                <w:color w:val="auto"/>
              </w:rPr>
            </w:pPr>
          </w:p>
        </w:tc>
      </w:tr>
      <w:tr>
        <w:trPr>
          <w:trHeight w:val="248"/>
        </w:trPr>
        <w:tc>
          <w:tcPr>
            <w:tcW w:w="2560" w:type="dxa"/>
            <w:vAlign w:val="bottom"/>
          </w:tcPr>
          <w:p>
            <w:pPr>
              <w:spacing w:after="0"/>
              <w:rPr>
                <w:sz w:val="20"/>
                <w:szCs w:val="20"/>
                <w:color w:val="auto"/>
              </w:rPr>
            </w:pPr>
            <w:r>
              <w:rPr>
                <w:rFonts w:ascii="Arial" w:cs="Arial" w:eastAsia="Arial" w:hAnsi="Arial"/>
                <w:sz w:val="16"/>
                <w:szCs w:val="16"/>
                <w:color w:val="auto"/>
              </w:rPr>
              <w:t>17-Jun-2026 10:03</w:t>
            </w:r>
          </w:p>
        </w:tc>
        <w:tc>
          <w:tcPr>
            <w:tcW w:w="4100" w:type="dxa"/>
            <w:vAlign w:val="bottom"/>
            <w:tcBorders>
              <w:right w:val="single" w:sz="8" w:color="999999"/>
            </w:tcBorders>
          </w:tcPr>
          <w:p>
            <w:pPr>
              <w:ind w:left="240"/>
              <w:spacing w:after="0"/>
              <w:rPr>
                <w:sz w:val="20"/>
                <w:szCs w:val="20"/>
                <w:color w:val="auto"/>
              </w:rPr>
            </w:pPr>
            <w:r>
              <w:rPr>
                <w:rFonts w:ascii="Arial" w:cs="Arial" w:eastAsia="Arial" w:hAnsi="Arial"/>
                <w:sz w:val="16"/>
                <w:szCs w:val="16"/>
                <w:color w:val="auto"/>
              </w:rPr>
              <w:t>New - Proposed issue of securities - NVX</w:t>
            </w:r>
          </w:p>
        </w:tc>
        <w:tc>
          <w:tcPr>
            <w:tcW w:w="3900" w:type="dxa"/>
            <w:vAlign w:val="bottom"/>
            <w:tcBorders>
              <w:right w:val="single" w:sz="8" w:color="999999"/>
            </w:tcBorders>
          </w:tcPr>
          <w:p>
            <w:pPr>
              <w:spacing w:after="0"/>
              <w:rPr>
                <w:sz w:val="20"/>
                <w:szCs w:val="20"/>
                <w:color w:val="auto"/>
              </w:rPr>
            </w:pPr>
            <w:r>
              <w:rPr>
                <w:rFonts w:ascii="Arial" w:cs="Arial" w:eastAsia="Arial" w:hAnsi="Arial"/>
                <w:sz w:val="16"/>
                <w:szCs w:val="16"/>
                <w:color w:val="auto"/>
              </w:rPr>
              <w:t>A placement or other type of issue</w:t>
            </w:r>
          </w:p>
        </w:tc>
      </w:tr>
      <w:tr>
        <w:trPr>
          <w:trHeight w:val="43"/>
        </w:trPr>
        <w:tc>
          <w:tcPr>
            <w:tcW w:w="2560" w:type="dxa"/>
            <w:vAlign w:val="bottom"/>
          </w:tcPr>
          <w:p>
            <w:pPr>
              <w:spacing w:after="0"/>
              <w:rPr>
                <w:sz w:val="3"/>
                <w:szCs w:val="3"/>
                <w:color w:val="auto"/>
              </w:rPr>
            </w:pPr>
          </w:p>
        </w:tc>
        <w:tc>
          <w:tcPr>
            <w:tcW w:w="4100" w:type="dxa"/>
            <w:vAlign w:val="bottom"/>
            <w:tcBorders>
              <w:right w:val="single" w:sz="8" w:color="999999"/>
            </w:tcBorders>
          </w:tcPr>
          <w:p>
            <w:pPr>
              <w:spacing w:after="0"/>
              <w:rPr>
                <w:sz w:val="3"/>
                <w:szCs w:val="3"/>
                <w:color w:val="auto"/>
              </w:rPr>
            </w:pPr>
          </w:p>
        </w:tc>
        <w:tc>
          <w:tcPr>
            <w:tcW w:w="3900" w:type="dxa"/>
            <w:vAlign w:val="bottom"/>
            <w:tcBorders>
              <w:bottom w:val="single" w:sz="8" w:color="999999"/>
              <w:right w:val="single" w:sz="8" w:color="999999"/>
            </w:tcBorders>
          </w:tcPr>
          <w:p>
            <w:pPr>
              <w:spacing w:after="0"/>
              <w:rPr>
                <w:sz w:val="3"/>
                <w:szCs w:val="3"/>
                <w:color w:val="auto"/>
              </w:rPr>
            </w:pPr>
          </w:p>
        </w:tc>
      </w:tr>
    </w:tbl>
    <w:p>
      <w:pPr>
        <w:spacing w:after="0" w:line="200" w:lineRule="exact"/>
        <w:rPr>
          <w:sz w:val="20"/>
          <w:szCs w:val="20"/>
          <w:color w:val="auto"/>
        </w:rPr>
      </w:pPr>
    </w:p>
    <w:p>
      <w:pPr>
        <w:spacing w:after="0" w:line="231" w:lineRule="exact"/>
        <w:rPr>
          <w:sz w:val="20"/>
          <w:szCs w:val="20"/>
          <w:color w:val="auto"/>
        </w:rPr>
      </w:pPr>
    </w:p>
    <w:p>
      <w:pPr>
        <w:ind w:left="600" w:right="780"/>
        <w:spacing w:after="0" w:line="281" w:lineRule="auto"/>
        <w:rPr>
          <w:sz w:val="20"/>
          <w:szCs w:val="20"/>
          <w:color w:val="auto"/>
        </w:rPr>
      </w:pPr>
      <w:r>
        <w:rPr>
          <w:rFonts w:ascii="Arial" w:cs="Arial" w:eastAsia="Arial" w:hAnsi="Arial"/>
          <w:sz w:val="16"/>
          <w:szCs w:val="16"/>
          <w:b w:val="1"/>
          <w:bCs w:val="1"/>
          <w:color w:val="auto"/>
        </w:rPr>
        <w:t xml:space="preserve">2.3a.2 Are there any further issues of +securities yet to take place to complete the transaction(s) referred to in the Appendix 3B? </w:t>
      </w:r>
      <w:r>
        <w:rPr>
          <w:rFonts w:ascii="Arial" w:cs="Arial" w:eastAsia="Arial" w:hAnsi="Arial"/>
          <w:sz w:val="16"/>
          <w:szCs w:val="16"/>
          <w:color w:val="auto"/>
        </w:rPr>
        <w:t>Yes</w:t>
      </w:r>
    </w:p>
    <w:p>
      <w:pPr>
        <w:spacing w:after="0" w:line="1" w:lineRule="exact"/>
        <w:rPr>
          <w:sz w:val="20"/>
          <w:szCs w:val="20"/>
          <w:color w:val="auto"/>
        </w:rPr>
      </w:pPr>
    </w:p>
    <w:p>
      <w:pPr>
        <w:ind w:left="600" w:right="760"/>
        <w:spacing w:after="0" w:line="296" w:lineRule="auto"/>
        <w:rPr>
          <w:sz w:val="20"/>
          <w:szCs w:val="20"/>
          <w:color w:val="auto"/>
        </w:rPr>
      </w:pPr>
      <w:r>
        <w:rPr>
          <w:rFonts w:ascii="Arial" w:cs="Arial" w:eastAsia="Arial" w:hAnsi="Arial"/>
          <w:sz w:val="16"/>
          <w:szCs w:val="16"/>
          <w:b w:val="1"/>
          <w:bCs w:val="1"/>
          <w:color w:val="auto"/>
        </w:rPr>
        <w:t>2.3a.3 Please provide details of the further issues of +securities yet to take place to complete the transaction(s) referred to in the Appendix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-6350</wp:posOffset>
            </wp:positionV>
            <wp:extent cx="6707505" cy="209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7505" cy="209550"/>
                    </a:xfrm>
                    <a:prstGeom prst="rect">
                      <a:avLst/>
                    </a:prstGeom>
                    <a:noFill/>
                  </pic:spPr>
                </pic:pic>
              </a:graphicData>
            </a:graphic>
          </wp:anchor>
        </w:drawing>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Shares still to be issued under the securities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346710</wp:posOffset>
            </wp:positionV>
            <wp:extent cx="70548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ind w:left="120"/>
              <w:spacing w:after="0"/>
              <w:rPr>
                <w:sz w:val="20"/>
                <w:szCs w:val="20"/>
                <w:color w:val="auto"/>
              </w:rPr>
            </w:pPr>
            <w:r>
              <w:rPr>
                <w:rFonts w:ascii="Arial" w:cs="Arial" w:eastAsia="Arial" w:hAnsi="Arial"/>
                <w:sz w:val="16"/>
                <w:szCs w:val="16"/>
                <w:color w:val="auto"/>
              </w:rPr>
              <w:t>Appendix 2A - Application for quotation of securities</w:t>
            </w:r>
          </w:p>
        </w:tc>
        <w:tc>
          <w:tcPr>
            <w:tcW w:w="3860" w:type="dxa"/>
            <w:vAlign w:val="bottom"/>
          </w:tcPr>
          <w:p>
            <w:pPr>
              <w:jc w:val="right"/>
              <w:spacing w:after="0"/>
              <w:rPr>
                <w:sz w:val="20"/>
                <w:szCs w:val="20"/>
                <w:color w:val="auto"/>
              </w:rPr>
            </w:pPr>
            <w:r>
              <w:rPr>
                <w:rFonts w:ascii="Arial" w:cs="Arial" w:eastAsia="Arial" w:hAnsi="Arial"/>
                <w:sz w:val="15"/>
                <w:szCs w:val="15"/>
                <w:color w:val="auto"/>
              </w:rPr>
              <w:t>3 / 5</w:t>
            </w:r>
          </w:p>
        </w:tc>
      </w:tr>
      <w:tr>
        <w:trPr>
          <w:trHeight w:val="536"/>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 w:name="page7"/>
    <w:bookmarkEnd w:id="6"/>
    <w:p>
      <w:pPr>
        <w:ind w:left="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208915</wp:posOffset>
            </wp:positionV>
            <wp:extent cx="23114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3A - number and type of +securities to be quoted where issue has previously been notified to ASX in an Appendix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591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Placement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70637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ASX +security code and description</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 : ORDINARY FULLY PAID</w:t>
      </w:r>
    </w:p>
    <w:p>
      <w:pPr>
        <w:spacing w:after="0" w:line="30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Issue date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22/6/2026</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Issue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70637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Number of +securities to be quoted</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129,334,163</w:t>
      </w:r>
    </w:p>
    <w:p>
      <w:pPr>
        <w:sectPr>
          <w:pgSz w:w="11900" w:h="16838" w:orient="portrait"/>
          <w:cols w:equalWidth="0" w:num="1">
            <w:col w:w="11240"/>
          </w:cols>
          <w:pgMar w:left="320" w:top="503" w:right="339" w:bottom="1440" w:gutter="0" w:footer="0" w:header="0"/>
        </w:sectPr>
      </w:pP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Are the +securities being issued for a cash consideration?</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In what currency is the cash consideration being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issue price per +security?</w:t>
      </w:r>
    </w:p>
    <w:p>
      <w:pPr>
        <w:spacing w:after="0" w:line="200" w:lineRule="exact"/>
        <w:rPr>
          <w:sz w:val="20"/>
          <w:szCs w:val="20"/>
          <w:color w:val="auto"/>
        </w:rPr>
      </w:pPr>
    </w:p>
    <w:p>
      <w:pPr>
        <w:sectPr>
          <w:pgSz w:w="11900" w:h="16838" w:orient="portrait"/>
          <w:cols w:equalWidth="0" w:num="2">
            <w:col w:w="5380" w:space="720"/>
            <w:col w:w="5140"/>
          </w:cols>
          <w:pgMar w:left="320" w:top="503" w:right="339" w:bottom="1440" w:gutter="0" w:footer="0" w:header="0"/>
          <w:type w:val="continuous"/>
        </w:sectPr>
      </w:pPr>
    </w:p>
    <w:p>
      <w:pPr>
        <w:spacing w:after="0" w:line="89" w:lineRule="exact"/>
        <w:rPr>
          <w:sz w:val="20"/>
          <w:szCs w:val="20"/>
          <w:color w:val="auto"/>
        </w:rPr>
      </w:pPr>
    </w:p>
    <w:tbl>
      <w:tblPr>
        <w:tblLayout w:type="fixed"/>
        <w:tblInd w:w="600" w:type="dxa"/>
        <w:tblCellMar>
          <w:top w:w="0" w:type="dxa"/>
          <w:left w:w="0" w:type="dxa"/>
          <w:bottom w:w="0" w:type="dxa"/>
          <w:right w:w="0" w:type="dxa"/>
        </w:tblCellMar>
      </w:tblPr>
      <w:tr>
        <w:trPr>
          <w:trHeight w:val="215"/>
        </w:trPr>
        <w:tc>
          <w:tcPr>
            <w:tcW w:w="3580" w:type="dxa"/>
            <w:vAlign w:val="bottom"/>
          </w:tcPr>
          <w:p>
            <w:pPr>
              <w:spacing w:after="0"/>
              <w:rPr>
                <w:sz w:val="20"/>
                <w:szCs w:val="20"/>
                <w:color w:val="auto"/>
              </w:rPr>
            </w:pPr>
            <w:r>
              <w:rPr>
                <w:rFonts w:ascii="Arial" w:cs="Arial" w:eastAsia="Arial" w:hAnsi="Arial"/>
                <w:sz w:val="16"/>
                <w:szCs w:val="16"/>
                <w:color w:val="auto"/>
              </w:rPr>
              <w:t>AUD - Australian Dollar</w:t>
            </w:r>
          </w:p>
        </w:tc>
        <w:tc>
          <w:tcPr>
            <w:tcW w:w="3160" w:type="dxa"/>
            <w:vAlign w:val="bottom"/>
          </w:tcPr>
          <w:p>
            <w:pPr>
              <w:ind w:left="1920"/>
              <w:spacing w:after="0"/>
              <w:rPr>
                <w:sz w:val="20"/>
                <w:szCs w:val="20"/>
                <w:color w:val="auto"/>
              </w:rPr>
            </w:pPr>
            <w:r>
              <w:rPr>
                <w:rFonts w:ascii="Arial" w:cs="Arial" w:eastAsia="Arial" w:hAnsi="Arial"/>
                <w:sz w:val="16"/>
                <w:szCs w:val="16"/>
                <w:color w:val="auto"/>
                <w:w w:val="99"/>
              </w:rPr>
              <w:t>AUD 0.16000000</w:t>
            </w:r>
          </w:p>
        </w:tc>
      </w:tr>
    </w:tbl>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Any other information the entity wishes to provide about the +securities to be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758190</wp:posOffset>
            </wp:positionV>
            <wp:extent cx="70548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35560</wp:posOffset>
            </wp:positionV>
            <wp:extent cx="6707505" cy="209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2095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621030</wp:posOffset>
            </wp:positionV>
            <wp:extent cx="70637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ind w:left="120"/>
              <w:spacing w:after="0"/>
              <w:rPr>
                <w:sz w:val="20"/>
                <w:szCs w:val="20"/>
                <w:color w:val="auto"/>
              </w:rPr>
            </w:pPr>
            <w:r>
              <w:rPr>
                <w:rFonts w:ascii="Arial" w:cs="Arial" w:eastAsia="Arial" w:hAnsi="Arial"/>
                <w:sz w:val="16"/>
                <w:szCs w:val="16"/>
                <w:color w:val="auto"/>
              </w:rPr>
              <w:t>Appendix 2A - Application for quotation of securities</w:t>
            </w:r>
          </w:p>
        </w:tc>
        <w:tc>
          <w:tcPr>
            <w:tcW w:w="3860" w:type="dxa"/>
            <w:vAlign w:val="bottom"/>
          </w:tcPr>
          <w:p>
            <w:pPr>
              <w:jc w:val="right"/>
              <w:spacing w:after="0"/>
              <w:rPr>
                <w:sz w:val="20"/>
                <w:szCs w:val="20"/>
                <w:color w:val="auto"/>
              </w:rPr>
            </w:pPr>
            <w:r>
              <w:rPr>
                <w:rFonts w:ascii="Arial" w:cs="Arial" w:eastAsia="Arial" w:hAnsi="Arial"/>
                <w:sz w:val="15"/>
                <w:szCs w:val="15"/>
                <w:color w:val="auto"/>
              </w:rPr>
              <w:t>4 / 5</w:t>
            </w:r>
          </w:p>
        </w:tc>
      </w:tr>
      <w:tr>
        <w:trPr>
          <w:trHeight w:val="535"/>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7" w:name="page8"/>
    <w:bookmarkEnd w:id="7"/>
    <w:p>
      <w:pPr>
        <w:ind w:left="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208915</wp:posOffset>
            </wp:positionV>
            <wp:extent cx="23114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4 - Issued capital following quotation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23831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Following the quotation of the +securities the subject of this application, the issued capital of the entity will comprise:</w:t>
      </w:r>
    </w:p>
    <w:p>
      <w:pPr>
        <w:spacing w:after="0" w:line="86" w:lineRule="exact"/>
        <w:rPr>
          <w:sz w:val="20"/>
          <w:szCs w:val="20"/>
          <w:color w:val="auto"/>
        </w:rPr>
      </w:pPr>
    </w:p>
    <w:p>
      <w:pPr>
        <w:ind w:left="660" w:right="480"/>
        <w:spacing w:after="0" w:line="286" w:lineRule="auto"/>
        <w:rPr>
          <w:sz w:val="20"/>
          <w:szCs w:val="20"/>
          <w:color w:val="auto"/>
        </w:rPr>
      </w:pPr>
      <w:r>
        <w:rPr>
          <w:rFonts w:ascii="Arial" w:cs="Arial" w:eastAsia="Arial" w:hAnsi="Arial"/>
          <w:sz w:val="16"/>
          <w:szCs w:val="16"/>
          <w:color w:val="auto"/>
        </w:rPr>
        <w:t>The figures in parts 4.1 and 4.2 below are automatically generated and may not reflect the entity's current issued capital if other Appendix 2A, Appendix 3G or Appendix 3H forms are currently with ASX for processing.</w:t>
      </w:r>
    </w:p>
    <w:p>
      <w:pPr>
        <w:spacing w:after="0" w:line="48" w:lineRule="exact"/>
        <w:rPr>
          <w:sz w:val="20"/>
          <w:szCs w:val="20"/>
          <w:color w:val="auto"/>
        </w:rPr>
      </w:pPr>
    </w:p>
    <w:p>
      <w:pPr>
        <w:ind w:left="600" w:right="1960"/>
        <w:spacing w:after="0" w:line="296" w:lineRule="auto"/>
        <w:rPr>
          <w:sz w:val="20"/>
          <w:szCs w:val="20"/>
          <w:color w:val="auto"/>
        </w:rPr>
      </w:pPr>
      <w:r>
        <w:rPr>
          <w:rFonts w:ascii="Arial" w:cs="Arial" w:eastAsia="Arial" w:hAnsi="Arial"/>
          <w:sz w:val="16"/>
          <w:szCs w:val="16"/>
          <w:b w:val="1"/>
          <w:bCs w:val="1"/>
          <w:color w:val="auto"/>
        </w:rPr>
        <w:t>4.1 Quoted +securities (total number of each +class of +securities quoted on ASX following the +quotation of the +securities subject of this application)</w:t>
      </w:r>
    </w:p>
    <w:p>
      <w:pPr>
        <w:sectPr>
          <w:pgSz w:w="11900" w:h="16838" w:orient="portrait"/>
          <w:cols w:equalWidth="0" w:num="1">
            <w:col w:w="11240"/>
          </w:cols>
          <w:pgMar w:left="320" w:top="503" w:right="339" w:bottom="1440" w:gutter="0" w:footer="0" w:header="0"/>
        </w:sectPr>
      </w:pP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ASX +security code and description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 : ORDINARY FULLY PAID</w:t>
      </w:r>
    </w:p>
    <w:p>
      <w:pPr>
        <w:spacing w:after="0" w:line="200" w:lineRule="exact"/>
        <w:rPr>
          <w:sz w:val="20"/>
          <w:szCs w:val="20"/>
          <w:color w:val="auto"/>
        </w:rPr>
      </w:pPr>
    </w:p>
    <w:p>
      <w:pPr>
        <w:spacing w:after="0" w:line="39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4.2 Unquoted +securities (total number of each +class of +securities issued but not quoted on ASX)</w:t>
      </w:r>
    </w:p>
    <w:p>
      <w:pPr>
        <w:spacing w:after="0" w:line="34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ASX +security code and description</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NVXAD : PERFORMANCE RIGHTS</w:t>
      </w:r>
    </w:p>
    <w:p>
      <w:pPr>
        <w:spacing w:after="0" w:line="34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NVXAA : OPTION EXPIRING VARIOUS DATES EX VARIOUS PRICES</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NVXAM : SHARE RIGHTS</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NVXAL : CONVERTIBLE NOTES</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NVXAH : CONVERTIBLE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278130</wp:posOffset>
            </wp:positionV>
            <wp:extent cx="7054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20" w:firstLine="329"/>
        <w:spacing w:after="0" w:line="314" w:lineRule="auto"/>
        <w:rPr>
          <w:sz w:val="20"/>
          <w:szCs w:val="20"/>
          <w:color w:val="auto"/>
        </w:rPr>
      </w:pPr>
      <w:r>
        <w:rPr>
          <w:rFonts w:ascii="Arial" w:cs="Arial" w:eastAsia="Arial" w:hAnsi="Arial"/>
          <w:sz w:val="16"/>
          <w:szCs w:val="16"/>
          <w:b w:val="1"/>
          <w:bCs w:val="1"/>
          <w:color w:val="auto"/>
        </w:rPr>
        <w:t>Total number of +securities on issue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991,561,920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firstLine="329"/>
        <w:spacing w:after="0" w:line="314" w:lineRule="auto"/>
        <w:rPr>
          <w:sz w:val="20"/>
          <w:szCs w:val="20"/>
          <w:color w:val="auto"/>
        </w:rPr>
      </w:pPr>
      <w:r>
        <w:rPr>
          <w:rFonts w:ascii="Arial" w:cs="Arial" w:eastAsia="Arial" w:hAnsi="Arial"/>
          <w:sz w:val="16"/>
          <w:szCs w:val="16"/>
          <w:b w:val="1"/>
          <w:bCs w:val="1"/>
          <w:color w:val="auto"/>
        </w:rPr>
        <w:t>Total number of +securities on issue</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27,401,382</w:t>
      </w:r>
    </w:p>
    <w:p>
      <w:pPr>
        <w:spacing w:after="0" w:line="34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14,016,667</w:t>
      </w:r>
    </w:p>
    <w:p>
      <w:pPr>
        <w:spacing w:after="0" w:line="35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1,371,566</w:t>
      </w:r>
    </w:p>
    <w:p>
      <w:pPr>
        <w:spacing w:after="0" w:line="35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45,221,586</w:t>
      </w:r>
    </w:p>
    <w:p>
      <w:pPr>
        <w:spacing w:after="0" w:line="35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35,000,000</w:t>
      </w:r>
    </w:p>
    <w:p>
      <w:pPr>
        <w:spacing w:after="0" w:line="200" w:lineRule="exact"/>
        <w:rPr>
          <w:sz w:val="20"/>
          <w:szCs w:val="20"/>
          <w:color w:val="auto"/>
        </w:rPr>
      </w:pPr>
    </w:p>
    <w:p>
      <w:pPr>
        <w:sectPr>
          <w:pgSz w:w="11900" w:h="16838" w:orient="portrait"/>
          <w:cols w:equalWidth="0" w:num="2">
            <w:col w:w="8760" w:space="720"/>
            <w:col w:w="1760"/>
          </w:cols>
          <w:pgMar w:left="320" w:top="503" w:right="33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ind w:left="120"/>
              <w:spacing w:after="0"/>
              <w:rPr>
                <w:sz w:val="20"/>
                <w:szCs w:val="20"/>
                <w:color w:val="auto"/>
              </w:rPr>
            </w:pPr>
            <w:r>
              <w:rPr>
                <w:rFonts w:ascii="Arial" w:cs="Arial" w:eastAsia="Arial" w:hAnsi="Arial"/>
                <w:sz w:val="16"/>
                <w:szCs w:val="16"/>
                <w:color w:val="auto"/>
              </w:rPr>
              <w:t>Appendix 2A - Application for quotation of securities</w:t>
            </w:r>
          </w:p>
        </w:tc>
        <w:tc>
          <w:tcPr>
            <w:tcW w:w="3860" w:type="dxa"/>
            <w:vAlign w:val="bottom"/>
          </w:tcPr>
          <w:p>
            <w:pPr>
              <w:jc w:val="right"/>
              <w:spacing w:after="0"/>
              <w:rPr>
                <w:sz w:val="20"/>
                <w:szCs w:val="20"/>
                <w:color w:val="auto"/>
              </w:rPr>
            </w:pPr>
            <w:r>
              <w:rPr>
                <w:rFonts w:ascii="Arial" w:cs="Arial" w:eastAsia="Arial" w:hAnsi="Arial"/>
                <w:sz w:val="15"/>
                <w:szCs w:val="15"/>
                <w:color w:val="auto"/>
              </w:rPr>
              <w:t>5 / 5</w:t>
            </w:r>
          </w:p>
        </w:tc>
      </w:tr>
      <w:tr>
        <w:trPr>
          <w:trHeight w:val="535"/>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2026-06-22T05:57:24Z</dcterms:created>
  <dcterms:modified xsi:type="dcterms:W3CDTF">2026-06-22T05:57:24Z</dcterms:modified>
</cp:coreProperties>
</file>