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46" w:lineRule="exact"/>
        <w:rPr>
          <w:sz w:val="24"/>
          <w:szCs w:val="24"/>
          <w:color w:val="auto"/>
        </w:rPr>
      </w:pPr>
    </w:p>
    <w:p>
      <w:pPr>
        <w:jc w:val="center"/>
        <w:ind w:left="1600"/>
        <w:spacing w:after="0" w:line="273" w:lineRule="auto"/>
        <w:rPr>
          <w:sz w:val="20"/>
          <w:szCs w:val="20"/>
          <w:color w:val="auto"/>
        </w:rPr>
      </w:pPr>
      <w:r>
        <w:rPr>
          <w:rFonts w:ascii="Times New Roman" w:cs="Times New Roman" w:eastAsia="Times New Roman" w:hAnsi="Times New Roman"/>
          <w:sz w:val="20"/>
          <w:szCs w:val="20"/>
          <w:b w:val="1"/>
          <w:bCs w:val="1"/>
          <w:color w:val="auto"/>
        </w:rPr>
        <w:t>REPORT OF FOREIGN PRIVATE ISSUER PURSUANT TO RULE 13a-16 OR 15d-16 UNDER THE SECURITIES EXCHANGE ACT OF 1934</w:t>
      </w:r>
    </w:p>
    <w:p>
      <w:pPr>
        <w:spacing w:after="0" w:line="16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For the month of April, 2026</w:t>
      </w:r>
    </w:p>
    <w:p>
      <w:pPr>
        <w:spacing w:after="0" w:line="23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001-41208</w:t>
      </w:r>
    </w:p>
    <w:p>
      <w:pPr>
        <w:spacing w:after="0" w:line="2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19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NOVONIX LIMITED</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Level 38</w:t>
      </w:r>
    </w:p>
    <w:p>
      <w:pPr>
        <w:spacing w:after="0" w:line="2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71 Eagle Street</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Brisbane, QLD 4000 Australia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166" w:lineRule="exact"/>
        <w:rPr>
          <w:sz w:val="24"/>
          <w:szCs w:val="24"/>
          <w:color w:val="auto"/>
        </w:rPr>
      </w:pPr>
    </w:p>
    <w:p>
      <w:pPr>
        <w:ind w:right="1619"/>
        <w:spacing w:after="0" w:line="259"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07" w:right="1440"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FF"/>
        </w:rPr>
        <w:t>ASX Announcement (NOVONIX US$103M Tax Credits Certified by US Government) dated April 10,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4" w:right="1440"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b w:val="1"/>
          <w:bCs w:val="1"/>
          <w:color w:val="auto"/>
        </w:rPr>
        <w:t>NOVONIX LIMITED</w:t>
      </w:r>
    </w:p>
    <w:p>
      <w:pPr>
        <w:spacing w:after="0" w:line="200" w:lineRule="exact"/>
        <w:rPr>
          <w:sz w:val="20"/>
          <w:szCs w:val="20"/>
          <w:color w:val="auto"/>
        </w:rPr>
      </w:pPr>
    </w:p>
    <w:p>
      <w:pPr>
        <w:spacing w:after="0" w:line="245" w:lineRule="exact"/>
        <w:rPr>
          <w:sz w:val="20"/>
          <w:szCs w:val="20"/>
          <w:color w:val="auto"/>
        </w:rPr>
      </w:pPr>
    </w:p>
    <w:p>
      <w:pPr>
        <w:ind w:left="7100"/>
        <w:spacing w:after="0"/>
        <w:tabs>
          <w:tab w:leader="none" w:pos="7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Robert Long</w:t>
      </w:r>
    </w:p>
    <w:p>
      <w:pPr>
        <w:spacing w:after="0" w:line="27"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Robert Long</w:t>
      </w:r>
    </w:p>
    <w:p>
      <w:pPr>
        <w:spacing w:after="0" w:line="9" w:lineRule="exact"/>
        <w:rPr>
          <w:sz w:val="20"/>
          <w:szCs w:val="20"/>
          <w:color w:val="auto"/>
        </w:rPr>
      </w:pPr>
    </w:p>
    <w:p>
      <w:pPr>
        <w:ind w:left="7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25"/>
          <w:szCs w:val="25"/>
          <w:color w:val="00AE42"/>
        </w:rPr>
        <w:t>ASX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442845" cy="360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42845" cy="36004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5"/>
          <w:szCs w:val="25"/>
          <w:color w:val="auto"/>
        </w:rPr>
        <w:t>(ASX: NVX)</w:t>
      </w:r>
    </w:p>
    <w:p>
      <w:pPr>
        <w:spacing w:after="0" w:line="200" w:lineRule="exact"/>
        <w:rPr>
          <w:sz w:val="20"/>
          <w:szCs w:val="20"/>
          <w:color w:val="auto"/>
        </w:rPr>
      </w:pPr>
    </w:p>
    <w:p>
      <w:pPr>
        <w:spacing w:after="0" w:line="202" w:lineRule="exact"/>
        <w:rPr>
          <w:sz w:val="20"/>
          <w:szCs w:val="20"/>
          <w:color w:val="auto"/>
        </w:rPr>
      </w:pPr>
    </w:p>
    <w:p>
      <w:pPr>
        <w:ind w:right="260"/>
        <w:spacing w:after="0" w:line="290" w:lineRule="auto"/>
        <w:rPr>
          <w:sz w:val="20"/>
          <w:szCs w:val="20"/>
          <w:color w:val="auto"/>
        </w:rPr>
      </w:pPr>
      <w:r>
        <w:rPr>
          <w:rFonts w:ascii="Arial" w:cs="Arial" w:eastAsia="Arial" w:hAnsi="Arial"/>
          <w:sz w:val="36"/>
          <w:szCs w:val="36"/>
          <w:b w:val="1"/>
          <w:bCs w:val="1"/>
          <w:color w:val="00AE42"/>
        </w:rPr>
        <w:t>NOVONIX US$103 Million 48C Tax Credits Certified for Synthetic Graphite Facility</w:t>
      </w:r>
    </w:p>
    <w:p>
      <w:pPr>
        <w:spacing w:after="0" w:line="89" w:lineRule="exact"/>
        <w:rPr>
          <w:sz w:val="20"/>
          <w:szCs w:val="20"/>
          <w:color w:val="auto"/>
        </w:rPr>
      </w:pPr>
    </w:p>
    <w:p>
      <w:pPr>
        <w:ind w:right="720"/>
        <w:spacing w:after="0"/>
        <w:rPr>
          <w:sz w:val="20"/>
          <w:szCs w:val="20"/>
          <w:color w:val="auto"/>
        </w:rPr>
      </w:pPr>
      <w:r>
        <w:rPr>
          <w:rFonts w:ascii="Arial" w:cs="Arial" w:eastAsia="Arial" w:hAnsi="Arial"/>
          <w:sz w:val="22"/>
          <w:szCs w:val="22"/>
          <w:b w:val="1"/>
          <w:bCs w:val="1"/>
          <w:color w:val="auto"/>
        </w:rPr>
        <w:t xml:space="preserve">Chattanooga, TN (USA), 10 April 2026 </w:t>
      </w:r>
      <w:r>
        <w:rPr>
          <w:rFonts w:ascii="Arial" w:cs="Arial" w:eastAsia="Arial" w:hAnsi="Arial"/>
          <w:sz w:val="22"/>
          <w:szCs w:val="22"/>
          <w:color w:val="auto"/>
        </w:rPr>
        <w:t>- NOVONIX Limited (NASDAQ: NVX, ASX: NVX) (“NOVONIX” or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 a leading battery materials company, today announced that the U.S. Government has certified its Riverside project in connection with the US$103 million in tax credits previously allocated under the U.S. Government’s Section 48C Advanced Energy Project Credit Program</w:t>
      </w:r>
      <w:r>
        <w:rPr>
          <w:rFonts w:ascii="Arial" w:cs="Arial" w:eastAsia="Arial" w:hAnsi="Arial"/>
          <w:sz w:val="19"/>
          <w:szCs w:val="19"/>
          <w:color w:val="auto"/>
        </w:rPr>
        <w:t>.</w:t>
      </w:r>
    </w:p>
    <w:p>
      <w:pPr>
        <w:spacing w:after="0" w:line="178" w:lineRule="exact"/>
        <w:rPr>
          <w:sz w:val="20"/>
          <w:szCs w:val="20"/>
          <w:color w:val="auto"/>
        </w:rPr>
      </w:pPr>
    </w:p>
    <w:p>
      <w:pPr>
        <w:ind w:right="400"/>
        <w:spacing w:after="0" w:line="245" w:lineRule="auto"/>
        <w:rPr>
          <w:sz w:val="20"/>
          <w:szCs w:val="20"/>
          <w:color w:val="auto"/>
        </w:rPr>
      </w:pPr>
      <w:r>
        <w:rPr>
          <w:rFonts w:ascii="Arial" w:cs="Arial" w:eastAsia="Arial" w:hAnsi="Arial"/>
          <w:sz w:val="22"/>
          <w:szCs w:val="22"/>
          <w:color w:val="auto"/>
        </w:rPr>
        <w:t>“This certification from the Trump administration is the latest vote of confidence in a mission that has always been bigger than politics. I’m proud that building America’s critical mineral supply chain begins right here at home, in Chattanooga, Tennessee.” – U.S. Representative Chuck Fleischmann.</w:t>
      </w:r>
    </w:p>
    <w:p>
      <w:pPr>
        <w:spacing w:after="0" w:line="197" w:lineRule="exact"/>
        <w:rPr>
          <w:sz w:val="20"/>
          <w:szCs w:val="20"/>
          <w:color w:val="auto"/>
        </w:rPr>
      </w:pPr>
    </w:p>
    <w:p>
      <w:pPr>
        <w:ind w:right="260"/>
        <w:spacing w:after="0" w:line="245" w:lineRule="auto"/>
        <w:rPr>
          <w:sz w:val="20"/>
          <w:szCs w:val="20"/>
          <w:color w:val="auto"/>
        </w:rPr>
      </w:pPr>
      <w:r>
        <w:rPr>
          <w:rFonts w:ascii="Arial" w:cs="Arial" w:eastAsia="Arial" w:hAnsi="Arial"/>
          <w:sz w:val="22"/>
          <w:szCs w:val="22"/>
          <w:color w:val="242424"/>
        </w:rPr>
        <w:t>This decision reflects the U.S. government’s confidence in NOVONIX, affirming the Company’s role as an essential partner in establishing a domestic synthetic graphite supply chain that underpins America’s long-term energy and economic security.</w:t>
      </w:r>
    </w:p>
    <w:p>
      <w:pPr>
        <w:spacing w:after="0" w:line="197" w:lineRule="exact"/>
        <w:rPr>
          <w:sz w:val="20"/>
          <w:szCs w:val="20"/>
          <w:color w:val="auto"/>
        </w:rPr>
      </w:pPr>
    </w:p>
    <w:p>
      <w:pPr>
        <w:jc w:val="both"/>
        <w:ind w:right="120"/>
        <w:spacing w:after="0"/>
        <w:rPr>
          <w:sz w:val="20"/>
          <w:szCs w:val="20"/>
          <w:color w:val="auto"/>
        </w:rPr>
      </w:pPr>
      <w:r>
        <w:rPr>
          <w:rFonts w:ascii="Arial" w:cs="Arial" w:eastAsia="Arial" w:hAnsi="Arial"/>
          <w:sz w:val="22"/>
          <w:szCs w:val="22"/>
          <w:color w:val="auto"/>
        </w:rPr>
        <w:t>“This is another significant milestone for NOVONIX and show of support from the U.S. Government, as we continue to scale our U.S. manufacturing footprint,” said Mike O’Kronley, CEO of NOVONIX. “We are focused on delivering a reliable, domestic supply of high-performance synthetic graphite to support the growing demand for battery materials in North America.”</w:t>
      </w:r>
    </w:p>
    <w:p>
      <w:pPr>
        <w:spacing w:after="0" w:line="203" w:lineRule="exact"/>
        <w:rPr>
          <w:sz w:val="20"/>
          <w:szCs w:val="20"/>
          <w:color w:val="auto"/>
        </w:rPr>
      </w:pPr>
    </w:p>
    <w:p>
      <w:pPr>
        <w:ind w:right="420"/>
        <w:spacing w:after="0" w:line="259" w:lineRule="auto"/>
        <w:rPr>
          <w:sz w:val="20"/>
          <w:szCs w:val="20"/>
          <w:color w:val="auto"/>
        </w:rPr>
      </w:pPr>
      <w:r>
        <w:rPr>
          <w:rFonts w:ascii="Arial" w:cs="Arial" w:eastAsia="Arial" w:hAnsi="Arial"/>
          <w:sz w:val="22"/>
          <w:szCs w:val="22"/>
          <w:color w:val="auto"/>
        </w:rPr>
        <w:t>NOVONIX will receive the US$103 million of tax credits when it places its first 11,000 tpa of production in service, provided that occurs before 7 April 2028. These tax credits can be sold to a third party.</w:t>
      </w:r>
    </w:p>
    <w:p>
      <w:pPr>
        <w:spacing w:after="0" w:line="183" w:lineRule="exact"/>
        <w:rPr>
          <w:sz w:val="20"/>
          <w:szCs w:val="20"/>
          <w:color w:val="auto"/>
        </w:rPr>
      </w:pPr>
    </w:p>
    <w:p>
      <w:pPr>
        <w:ind w:right="360"/>
        <w:spacing w:after="0" w:line="259" w:lineRule="auto"/>
        <w:rPr>
          <w:sz w:val="20"/>
          <w:szCs w:val="20"/>
          <w:color w:val="auto"/>
        </w:rPr>
      </w:pPr>
      <w:r>
        <w:rPr>
          <w:rFonts w:ascii="Arial" w:cs="Arial" w:eastAsia="Arial" w:hAnsi="Arial"/>
          <w:sz w:val="22"/>
          <w:szCs w:val="22"/>
          <w:color w:val="auto"/>
        </w:rPr>
        <w:t>The Company will continue to advance engineering, materials development, and financing activities for the project and will provide updates as key milestones are achieved.</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This announcement has been authorized for release by NOVONIX Chairman, Mr. Ron Edmonds.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439420</wp:posOffset>
            </wp:positionV>
            <wp:extent cx="48006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00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22"/>
          <w:szCs w:val="22"/>
          <w:color w:val="373A36"/>
        </w:rPr>
        <w:t>1029 West 19</w:t>
      </w:r>
      <w:r>
        <w:rPr>
          <w:rFonts w:ascii="Arial" w:cs="Arial" w:eastAsia="Arial" w:hAnsi="Arial"/>
          <w:sz w:val="28"/>
          <w:szCs w:val="28"/>
          <w:color w:val="373A36"/>
          <w:vertAlign w:val="superscript"/>
        </w:rPr>
        <w:t>th</w:t>
      </w:r>
      <w:r>
        <w:rPr>
          <w:rFonts w:ascii="Arial" w:cs="Arial" w:eastAsia="Arial" w:hAnsi="Arial"/>
          <w:sz w:val="22"/>
          <w:szCs w:val="22"/>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594995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5"/>
          <w:szCs w:val="25"/>
          <w:color w:val="00AE42"/>
        </w:rPr>
        <w:t>ASX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442845" cy="3600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42845" cy="36004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5"/>
          <w:szCs w:val="25"/>
          <w:color w:val="auto"/>
        </w:rPr>
        <w:t>(ASX: NVX)</w:t>
      </w:r>
    </w:p>
    <w:p>
      <w:pPr>
        <w:spacing w:after="0" w:line="3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NOVONIX</w:t>
      </w:r>
    </w:p>
    <w:p>
      <w:pPr>
        <w:spacing w:after="0" w:line="39" w:lineRule="exact"/>
        <w:rPr>
          <w:sz w:val="20"/>
          <w:szCs w:val="20"/>
          <w:color w:val="auto"/>
        </w:rPr>
      </w:pPr>
    </w:p>
    <w:p>
      <w:pPr>
        <w:ind w:right="340"/>
        <w:spacing w:after="0" w:line="248" w:lineRule="auto"/>
        <w:rPr>
          <w:sz w:val="20"/>
          <w:szCs w:val="20"/>
          <w:color w:val="auto"/>
        </w:rPr>
      </w:pPr>
      <w:r>
        <w:rPr>
          <w:rFonts w:ascii="Arial" w:cs="Arial" w:eastAsia="Arial" w:hAnsi="Arial"/>
          <w:sz w:val="21"/>
          <w:szCs w:val="21"/>
          <w:color w:val="auto"/>
        </w:rPr>
        <w:t>NOVONIX strives to reduce supply chain risk, support U.S. energy independence, and establish a resilient battery materials supply chain. The company is building a North American platform for critical battery materials and anode materials operations at its Chattanooga, Tennessee headquarters. NOVONIX is positioned as a supplier of advanced battery materials and technologies powering the energy storage and electrification economy.</w:t>
      </w: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color w:val="auto"/>
        </w:rPr>
        <w:t>To learn more, visit us at www.novonixgroup.com or on LinkedIn and X.</w:t>
      </w:r>
    </w:p>
    <w:p>
      <w:pPr>
        <w:spacing w:after="0" w:line="3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NOVONIX Limited</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color w:val="auto"/>
        </w:rPr>
        <w:t>Investors: ir@novonixgroup.com</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color w:val="auto"/>
        </w:rPr>
        <w:t>Media: media@novonixgroup.com</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4" w:lineRule="exact"/>
        <w:rPr>
          <w:sz w:val="20"/>
          <w:szCs w:val="20"/>
          <w:color w:val="auto"/>
        </w:rPr>
      </w:pPr>
    </w:p>
    <w:p>
      <w:pPr>
        <w:ind w:right="40"/>
        <w:spacing w:after="0"/>
        <w:rPr>
          <w:sz w:val="20"/>
          <w:szCs w:val="20"/>
          <w:color w:val="auto"/>
        </w:rPr>
      </w:pPr>
      <w:r>
        <w:rPr>
          <w:rFonts w:ascii="Arial" w:cs="Arial" w:eastAsia="Arial" w:hAnsi="Arial"/>
          <w:sz w:val="18"/>
          <w:szCs w:val="18"/>
          <w:color w:val="auto"/>
        </w:rPr>
        <w:t>This communication contains forward-looking statements about the Company and the industry in which it operates. Forward-looking statements can generally be identified by use of words such as “anticipate,” “believe,” “contemplate,” “continue,” “could,” “estimate,” “expect,” “intend,” “may,” “plan,” “potential,” “predict,” “project,” “should,” “target,” “will,” or “would,” or other similar expressions. Examples of forward-looking statements in this communication include, among others, statements made regarding the anticipated assessment of the adjacent property and the timeline therefor, the completion and outcome of any due diligence performed, proposed re-zoning of the property, the decision to purchase the property or not, the negotiation and finalization of the definitive agreements, the anticipated key business terms of the sale, how the purchase of this property or any property will affect the long-term value of the Company, and potential efficiencies resulting from the purchase of the property.</w:t>
      </w:r>
    </w:p>
    <w:p>
      <w:pPr>
        <w:spacing w:after="0" w:line="113"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Company has based such statements on current expectations and projections about future events and trends that it believes may affect its financial condition, results of operations, business strategy and financial needs. Such forward-looking statements involve and are subject to known and unknown risks, uncertainties and other factors which may cause actual results, performance, or achievements to be materially different from any future results, performance or achievements expressed or implied by the forward-looking statements. Such factors include, among others, the timely deployment and scaling of its furnace technology, ability to meet the technical specifications and demand of existing and future customers, the accuracy of estimates regarding market size, expenses, future revenue, capital requirements, needs and access for additional financing, the availability and impact and compliance with the applicable terms of government funding and other support, ability to obtain patent rights effective to protect its technologies and processes and successfully defend any challenges to such rights and prevent others from commercializing such technologies and processes, and regulatory and economic developments in the United States, Australia, and other jurisdictions. These and other factors that could affect its business and results are included in its filings with the U.S. Securities and Exchange Commission (“SEC”), including the Company’s most recent annual report on Form 20-F. Copies of these filings may be obtained by visiting the Company’s Investor Relations website at www.novonixgroup.com or the SEC’s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368300</wp:posOffset>
            </wp:positionV>
            <wp:extent cx="48006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800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373A36"/>
        </w:rPr>
        <w:t>1029 West 19</w:t>
      </w:r>
      <w:r>
        <w:rPr>
          <w:rFonts w:ascii="Arial" w:cs="Arial" w:eastAsia="Arial" w:hAnsi="Arial"/>
          <w:sz w:val="28"/>
          <w:szCs w:val="28"/>
          <w:color w:val="373A36"/>
          <w:vertAlign w:val="superscript"/>
        </w:rPr>
        <w:t>th</w:t>
      </w:r>
      <w:r>
        <w:rPr>
          <w:rFonts w:ascii="Arial" w:cs="Arial" w:eastAsia="Arial" w:hAnsi="Arial"/>
          <w:sz w:val="22"/>
          <w:szCs w:val="22"/>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560705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5"/>
          <w:szCs w:val="25"/>
          <w:color w:val="00AE42"/>
        </w:rPr>
        <w:t>ASX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442845"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42845" cy="360045"/>
                    </a:xfrm>
                    <a:prstGeom prst="rect">
                      <a:avLst/>
                    </a:prstGeom>
                    <a:noFill/>
                  </pic:spPr>
                </pic:pic>
              </a:graphicData>
            </a:graphic>
          </wp:anchor>
        </w:drawing>
      </w:r>
    </w:p>
    <w:p>
      <w:pPr>
        <w:spacing w:after="0" w:line="14" w:lineRule="exact"/>
        <w:rPr>
          <w:sz w:val="20"/>
          <w:szCs w:val="20"/>
          <w:color w:val="auto"/>
        </w:rPr>
      </w:pPr>
    </w:p>
    <w:p>
      <w:pPr>
        <w:jc w:val="right"/>
        <w:spacing w:after="0"/>
        <w:rPr>
          <w:sz w:val="20"/>
          <w:szCs w:val="20"/>
          <w:color w:val="auto"/>
        </w:rPr>
      </w:pPr>
      <w:r>
        <w:rPr>
          <w:rFonts w:ascii="Arial" w:cs="Arial" w:eastAsia="Arial" w:hAnsi="Arial"/>
          <w:sz w:val="25"/>
          <w:szCs w:val="25"/>
          <w:color w:val="auto"/>
        </w:rPr>
        <w:t>(ASX: NVX)</w:t>
      </w:r>
    </w:p>
    <w:p>
      <w:pPr>
        <w:spacing w:after="0" w:line="313" w:lineRule="exact"/>
        <w:rPr>
          <w:sz w:val="20"/>
          <w:szCs w:val="20"/>
          <w:color w:val="auto"/>
        </w:rPr>
      </w:pPr>
    </w:p>
    <w:p>
      <w:pPr>
        <w:ind w:right="120"/>
        <w:spacing w:after="0" w:line="242" w:lineRule="auto"/>
        <w:rPr>
          <w:sz w:val="20"/>
          <w:szCs w:val="20"/>
          <w:color w:val="auto"/>
        </w:rPr>
      </w:pPr>
      <w:r>
        <w:rPr>
          <w:rFonts w:ascii="Arial" w:cs="Arial" w:eastAsia="Arial" w:hAnsi="Arial"/>
          <w:sz w:val="18"/>
          <w:szCs w:val="18"/>
          <w:color w:val="auto"/>
        </w:rPr>
        <w:t>Forward-looking statements are not guarantees of future performance or outcomes, and actual performance and outcomes may differ materially from those made in or suggested by the forward-looking statements contained in this communication. Accordingly, you should not place undue reliance on forward-looking statements. Any forward-looking statement in this communication is based only on information currently available to us and speaks only as of the date on which it is made. The Company undertakes no obligation to update any forward-looking statement, whether written or oral, that may be made from time to time, whether as a result of new information, future developments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6657340</wp:posOffset>
            </wp:positionH>
            <wp:positionV relativeFrom="paragraph">
              <wp:posOffset>374015</wp:posOffset>
            </wp:positionV>
            <wp:extent cx="48006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8006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373A36"/>
        </w:rPr>
        <w:t>1029 West 19</w:t>
      </w:r>
      <w:r>
        <w:rPr>
          <w:rFonts w:ascii="Arial" w:cs="Arial" w:eastAsia="Arial" w:hAnsi="Arial"/>
          <w:sz w:val="28"/>
          <w:szCs w:val="28"/>
          <w:color w:val="373A36"/>
          <w:vertAlign w:val="superscript"/>
        </w:rPr>
        <w:t>th</w:t>
      </w:r>
      <w:r>
        <w:rPr>
          <w:rFonts w:ascii="Arial" w:cs="Arial" w:eastAsia="Arial" w:hAnsi="Arial"/>
          <w:sz w:val="22"/>
          <w:szCs w:val="22"/>
          <w:color w:val="373A36"/>
        </w:rPr>
        <w:t xml:space="preserve"> Street; Chattanooga, TN 37408; USA | novonixgroup.com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568960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2026-04-14T06:08:25Z</dcterms:created>
  <dcterms:modified xsi:type="dcterms:W3CDTF">2026-04-14T06:08:25Z</dcterms:modified>
</cp:coreProperties>
</file>