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nvx-6k-july-2026-22-07-a.htm"/>
      <w:bookmarkStart w:id="1" w:name="ksnvx6kjuly20262207a"/>
      <w:bookmarkEnd w:id="0"/>
      <w:bookmarkEnd w:id="1"/>
      <w:r>
        <w:drawing>
          <wp:anchor behindDoc="0" distT="0" distB="0" distL="0" distR="0" simplePos="0" locked="0" layoutInCell="1" allowOverlap="1" relativeHeight="13">
            <wp:simplePos x="0" y="0"/>
            <wp:positionH relativeFrom="page">
              <wp:posOffset>6534150</wp:posOffset>
            </wp:positionH>
            <wp:positionV relativeFrom="page">
              <wp:posOffset>8848725</wp:posOffset>
            </wp:positionV>
            <wp:extent cx="693420" cy="705485"/>
            <wp:effectExtent l="0" t="0" r="0" b="0"/>
            <wp:wrapNone/>
            <wp:docPr id="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8" descr=""/>
                    <pic:cNvPicPr>
                      <a:picLocks noChangeAspect="1" noChangeArrowheads="1"/>
                    </pic:cNvPicPr>
                  </pic:nvPicPr>
                  <pic:blipFill>
                    <a:blip r:embed="rId2"/>
                    <a:stretch>
                      <a:fillRect/>
                    </a:stretch>
                  </pic:blipFill>
                  <pic:spPr bwMode="auto">
                    <a:xfrm>
                      <a:off x="0" y="0"/>
                      <a:ext cx="693420" cy="705485"/>
                    </a:xfrm>
                    <a:prstGeom prst="rect">
                      <a:avLst/>
                    </a:prstGeom>
                  </pic:spPr>
                </pic:pic>
              </a:graphicData>
            </a:graphic>
          </wp:anchor>
        </w:drawing>
        <w:drawing>
          <wp:anchor behindDoc="0" distT="0" distB="0" distL="0" distR="0" simplePos="0" locked="0" layoutInCell="1" allowOverlap="1" relativeHeight="10">
            <wp:simplePos x="0" y="0"/>
            <wp:positionH relativeFrom="page">
              <wp:posOffset>6534150</wp:posOffset>
            </wp:positionH>
            <wp:positionV relativeFrom="page">
              <wp:posOffset>8848725</wp:posOffset>
            </wp:positionV>
            <wp:extent cx="693420" cy="705485"/>
            <wp:effectExtent l="0" t="0" r="0" b="0"/>
            <wp:wrapNone/>
            <wp:docPr id="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 descr=""/>
                    <pic:cNvPicPr>
                      <a:picLocks noChangeAspect="1" noChangeArrowheads="1"/>
                    </pic:cNvPicPr>
                  </pic:nvPicPr>
                  <pic:blipFill>
                    <a:blip r:embed="rId3"/>
                    <a:stretch>
                      <a:fillRect/>
                    </a:stretch>
                  </pic:blipFill>
                  <pic:spPr bwMode="auto">
                    <a:xfrm>
                      <a:off x="0" y="0"/>
                      <a:ext cx="693420" cy="705485"/>
                    </a:xfrm>
                    <a:prstGeom prst="rect">
                      <a:avLst/>
                    </a:prstGeom>
                  </pic:spPr>
                </pic:pic>
              </a:graphicData>
            </a:graphic>
          </wp:anchor>
        </w:drawing>
        <w:drawing>
          <wp:anchor behindDoc="0" distT="0" distB="0" distL="0" distR="0" simplePos="0" locked="0" layoutInCell="1" allowOverlap="1" relativeHeight="7">
            <wp:simplePos x="0" y="0"/>
            <wp:positionH relativeFrom="page">
              <wp:posOffset>6534150</wp:posOffset>
            </wp:positionH>
            <wp:positionV relativeFrom="page">
              <wp:posOffset>8848725</wp:posOffset>
            </wp:positionV>
            <wp:extent cx="693420" cy="705485"/>
            <wp:effectExtent l="0" t="0" r="0" b="0"/>
            <wp:wrapNone/>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4"/>
                    <a:stretch>
                      <a:fillRect/>
                    </a:stretch>
                  </pic:blipFill>
                  <pic:spPr bwMode="auto">
                    <a:xfrm>
                      <a:off x="0" y="0"/>
                      <a:ext cx="693420" cy="705485"/>
                    </a:xfrm>
                    <a:prstGeom prst="rect">
                      <a:avLst/>
                    </a:prstGeom>
                  </pic:spPr>
                </pic:pic>
              </a:graphicData>
            </a:graphic>
          </wp:anchor>
        </w:drawing>
      </w:r>
      <w:r>
        <w:rPr>
          <w:rFonts w:ascii="Times New Roman" w:hAnsi="Times New Roman"/>
          <w:b/>
          <w:color w:val="000000"/>
          <w:sz w:val="36"/>
        </w:rPr>
        <w:t>UNITED STATES</w:t>
      </w:r>
      <w:r>
        <mc:AlternateContent>
          <mc:Choice Requires="wps">
            <w:drawing>
              <wp:anchor behindDoc="0" distT="0" distB="0" distL="0" distR="0" simplePos="0" locked="0" layoutInCell="1" allowOverlap="1" relativeHeight="11">
                <wp:simplePos x="0" y="0"/>
                <wp:positionH relativeFrom="page">
                  <wp:posOffset>828675</wp:posOffset>
                </wp:positionH>
                <wp:positionV relativeFrom="page">
                  <wp:posOffset>8867775</wp:posOffset>
                </wp:positionV>
                <wp:extent cx="6438900" cy="175260"/>
                <wp:effectExtent l="0" t="0" r="0" b="0"/>
                <wp:wrapNone/>
                <wp:docPr id="4" name="Frame3"/>
                <a:graphic xmlns:a="http://schemas.openxmlformats.org/drawingml/2006/main">
                  <a:graphicData uri="http://schemas.microsoft.com/office/word/2010/wordprocessingShape">
                    <wps:wsp>
                      <wps:cNvSpPr txBox="1"/>
                      <wps:spPr>
                        <a:xfrm>
                          <a:off x="0" y="0"/>
                          <a:ext cx="64389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pt;height:13.8pt;mso-wrap-distance-left:0pt;mso-wrap-distance-right:0pt;mso-wrap-distance-top:0pt;mso-wrap-distance-bottom:0pt;margin-top:698.25pt;mso-position-vertical-relative:page;margin-left:65.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828675</wp:posOffset>
                </wp:positionH>
                <wp:positionV relativeFrom="page">
                  <wp:posOffset>8867775</wp:posOffset>
                </wp:positionV>
                <wp:extent cx="6438900" cy="175260"/>
                <wp:effectExtent l="0" t="0" r="0" b="0"/>
                <wp:wrapNone/>
                <wp:docPr id="5" name="Frame2"/>
                <a:graphic xmlns:a="http://schemas.openxmlformats.org/drawingml/2006/main">
                  <a:graphicData uri="http://schemas.microsoft.com/office/word/2010/wordprocessingShape">
                    <wps:wsp>
                      <wps:cNvSpPr txBox="1"/>
                      <wps:spPr>
                        <a:xfrm>
                          <a:off x="0" y="0"/>
                          <a:ext cx="64389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pt;height:13.8pt;mso-wrap-distance-left:0pt;mso-wrap-distance-right:0pt;mso-wrap-distance-top:0pt;mso-wrap-distance-bottom:0pt;margin-top:698.25pt;mso-position-vertical-relative:page;margin-left:65.2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828675</wp:posOffset>
                </wp:positionH>
                <wp:positionV relativeFrom="page">
                  <wp:posOffset>8867775</wp:posOffset>
                </wp:positionV>
                <wp:extent cx="6438900" cy="175260"/>
                <wp:effectExtent l="0" t="0" r="0" b="0"/>
                <wp:wrapNone/>
                <wp:docPr id="6" name="Frame1"/>
                <a:graphic xmlns:a="http://schemas.openxmlformats.org/drawingml/2006/main">
                  <a:graphicData uri="http://schemas.microsoft.com/office/word/2010/wordprocessingShape">
                    <wps:wsp>
                      <wps:cNvSpPr txBox="1"/>
                      <wps:spPr>
                        <a:xfrm>
                          <a:off x="0" y="0"/>
                          <a:ext cx="64389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7pt;height:13.8pt;mso-wrap-distance-left:0pt;mso-wrap-distance-right:0pt;mso-wrap-distance-top:0pt;mso-wrap-distance-bottom:0pt;margin-top:698.25pt;mso-position-vertical-relative:page;margin-left:65.2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July,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498" w:type="dxa"/>
        <w:jc w:val="left"/>
        <w:tblInd w:w="0" w:type="dxa"/>
        <w:tblLayout w:type="fixed"/>
        <w:tblCellMar>
          <w:top w:w="28" w:type="dxa"/>
          <w:left w:w="28" w:type="dxa"/>
          <w:bottom w:w="28" w:type="dxa"/>
          <w:right w:w="28" w:type="dxa"/>
        </w:tblCellMar>
      </w:tblPr>
      <w:tblGrid>
        <w:gridCol w:w="1141"/>
        <w:gridCol w:w="146"/>
        <w:gridCol w:w="621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Results of Share Purchase Plan Offer dated July 21,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w:anchor="nvx-ex99_2.htm">
              <w:r>
                <w:rPr>
                  <w:rStyle w:val="InternetLink"/>
                  <w:rFonts w:ascii="Times New Roman" w:hAnsi="Times New Roman"/>
                  <w:color w:val="0000FF"/>
                  <w:sz w:val="20"/>
                  <w:u w:val="single"/>
                </w:rPr>
                <w:t>Appendix 2A (Application for quotation of securities) dated July 21,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2892" w:type="dxa"/>
        <w:jc w:val="left"/>
        <w:tblInd w:w="0" w:type="dxa"/>
        <w:tblLayout w:type="fixed"/>
        <w:tblCellMar>
          <w:top w:w="28" w:type="dxa"/>
          <w:left w:w="28" w:type="dxa"/>
          <w:bottom w:w="28" w:type="dxa"/>
          <w:right w:w="28" w:type="dxa"/>
        </w:tblCellMar>
      </w:tblPr>
      <w:tblGrid>
        <w:gridCol w:w="491"/>
        <w:gridCol w:w="2401"/>
      </w:tblGrid>
      <w:tr>
        <w:trPr/>
        <w:tc>
          <w:tcPr>
            <w:tcW w:w="49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289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NOVONIX LIMITED</w:t>
            </w:r>
          </w:p>
          <w:p>
            <w:pPr>
              <w:pStyle w:val="TableContents"/>
              <w:bidi w:val="0"/>
              <w:jc w:val="left"/>
              <w:rPr/>
            </w:pPr>
            <w:r>
              <w:rPr/>
              <w:t> </w:t>
            </w:r>
          </w:p>
          <w:p>
            <w:pPr>
              <w:pStyle w:val="TableContents"/>
              <w:bidi w:val="0"/>
              <w:spacing w:before="0" w:after="283"/>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/s/ 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July 22,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Roboto;sans-serif" w:hAnsi="Roboto;sans-serif"/>
          <w:b/>
          <w:color w:val="000000"/>
          <w:sz w:val="22"/>
        </w:rPr>
      </w:pPr>
      <w:bookmarkStart w:id="2" w:name="nvx-ex99_1.htm"/>
      <w:bookmarkStart w:id="3" w:name="ksnvxex99_1"/>
      <w:bookmarkEnd w:id="2"/>
      <w:bookmarkEnd w:id="3"/>
      <w:r>
        <w:rPr>
          <w:rFonts w:ascii="Roboto;sans-serif" w:hAnsi="Roboto;sans-serif"/>
          <w:b/>
          <w:color w:val="000000"/>
          <w:sz w:val="22"/>
        </w:rPr>
        <w:t>Exhibit 99.1</w:t>
      </w:r>
      <w:r>
        <w:br w:type="page"/>
      </w:r>
    </w:p>
    <w:p>
      <w:pPr>
        <w:pStyle w:val="TextBody"/>
        <w:bidi w:val="0"/>
        <w:jc w:val="right"/>
        <w:rPr/>
      </w:pPr>
      <w:r>
        <w:rPr/>
        <w:drawing>
          <wp:inline distT="0" distB="0" distL="0" distR="0">
            <wp:extent cx="3333750" cy="533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3333750" cy="533400"/>
                    </a:xfrm>
                    <a:prstGeom prst="rect">
                      <a:avLst/>
                    </a:prstGeom>
                  </pic:spPr>
                </pic:pic>
              </a:graphicData>
            </a:graphic>
          </wp:inline>
        </w:drawing>
      </w:r>
    </w:p>
    <w:p>
      <w:pPr>
        <w:pStyle w:val="TextBody"/>
        <w:bidi w:val="0"/>
        <w:jc w:val="right"/>
        <w:rPr>
          <w:rFonts w:ascii="Aptos;sans-serif" w:hAnsi="Aptos;sans-serif"/>
          <w:b/>
          <w:caps/>
          <w:color w:val="00AE42"/>
          <w:sz w:val="28"/>
        </w:rPr>
      </w:pPr>
      <w:r>
        <w:rPr>
          <w:rFonts w:ascii="Aptos;sans-serif" w:hAnsi="Aptos;sans-serif"/>
          <w:b/>
          <w:caps/>
          <w:color w:val="00AE42"/>
          <w:sz w:val="28"/>
        </w:rPr>
        <w:t>Asx Announcement</w:t>
      </w:r>
    </w:p>
    <w:p>
      <w:pPr>
        <w:pStyle w:val="TextBody"/>
        <w:bidi w:val="0"/>
        <w:jc w:val="right"/>
        <w:rPr>
          <w:rFonts w:ascii="Times New Roman" w:hAnsi="Times New Roman"/>
          <w:sz w:val="20"/>
        </w:rPr>
      </w:pPr>
      <w:r>
        <w:rPr>
          <w:rFonts w:ascii="Aptos;sans-serif" w:hAnsi="Aptos;sans-serif"/>
          <w:color w:val="000000"/>
          <w:sz w:val="28"/>
        </w:rPr>
        <w:t>(ASX:</w:t>
      </w:r>
      <w:r>
        <w:rPr>
          <w:rFonts w:ascii="Times New Roman" w:hAnsi="Times New Roman"/>
          <w:color w:val="000000"/>
          <w:sz w:val="20"/>
        </w:rPr>
        <w:t xml:space="preserve"> </w:t>
      </w:r>
      <w:r>
        <w:rPr>
          <w:rFonts w:ascii="Aptos;sans-serif" w:hAnsi="Aptos;sans-serif"/>
          <w:b/>
          <w:color w:val="000000"/>
          <w:sz w:val="28"/>
        </w:rPr>
        <w:t>NVX</w:t>
      </w:r>
      <w:r>
        <w:rPr>
          <w:rFonts w:ascii="Aptos;sans-serif" w:hAnsi="Aptos;sans-serif"/>
          <w:color w:val="000000"/>
          <w:sz w:val="28"/>
        </w:rPr>
        <w:t>)</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373A36"/>
          <w:sz w:val="24"/>
        </w:rPr>
        <w:t>NOT FOR RELEASE TO US WIRE SERVICES OR DISTRIBUTION IN THE UNITED STATES</w:t>
      </w:r>
      <w:r>
        <w:rPr>
          <w:rFonts w:ascii="Aptos;sans-serif" w:hAnsi="Aptos;sans-serif"/>
          <w:b/>
          <w:color w:val="00AE42"/>
          <w:sz w:val="24"/>
        </w:rPr>
        <w:br/>
      </w:r>
      <w:r>
        <w:rPr>
          <w:rFonts w:ascii="Times New Roman" w:hAnsi="Times New Roman"/>
          <w:color w:val="00AE42"/>
          <w:sz w:val="20"/>
        </w:rPr>
        <w:t> </w:t>
      </w:r>
    </w:p>
    <w:p>
      <w:pPr>
        <w:pStyle w:val="TextBody"/>
        <w:bidi w:val="0"/>
        <w:spacing w:before="0" w:after="160"/>
        <w:jc w:val="left"/>
        <w:rPr>
          <w:rFonts w:ascii="Arial" w:hAnsi="Arial"/>
          <w:b/>
          <w:color w:val="00AE42"/>
          <w:sz w:val="32"/>
        </w:rPr>
      </w:pPr>
      <w:r>
        <w:rPr>
          <w:rFonts w:ascii="Arial" w:hAnsi="Arial"/>
          <w:b/>
          <w:color w:val="00AE42"/>
          <w:sz w:val="32"/>
        </w:rPr>
        <w:t>Results of Share Purchase Plan Offer</w:t>
      </w:r>
    </w:p>
    <w:p>
      <w:pPr>
        <w:pStyle w:val="TextBody"/>
        <w:bidi w:val="0"/>
        <w:spacing w:before="0" w:after="160"/>
        <w:jc w:val="left"/>
        <w:rPr>
          <w:rFonts w:ascii="Times New Roman" w:hAnsi="Times New Roman"/>
          <w:sz w:val="20"/>
        </w:rPr>
      </w:pPr>
      <w:r>
        <w:rPr>
          <w:rFonts w:ascii="Aptos;sans-serif" w:hAnsi="Aptos;sans-serif"/>
          <w:b/>
          <w:color w:val="000000"/>
          <w:sz w:val="24"/>
        </w:rPr>
        <w:t>BRISBANE, AUSTRALIA, July 21, 2026</w:t>
      </w:r>
      <w:r>
        <w:rPr>
          <w:rFonts w:ascii="Times New Roman" w:hAnsi="Times New Roman"/>
          <w:color w:val="000000"/>
          <w:sz w:val="20"/>
        </w:rPr>
        <w:t xml:space="preserve"> </w:t>
      </w:r>
      <w:r>
        <w:rPr>
          <w:rFonts w:ascii="Aptos;sans-serif" w:hAnsi="Aptos;sans-serif"/>
          <w:color w:val="000000"/>
          <w:sz w:val="24"/>
        </w:rPr>
        <w:t>- NOVONIX Limited (NASDAQ: NVX, ASX: NVX) (“NOVONIX” or the “Company”), a leading battery materials and technology company, advises that the Share Purchase Plan (SPP) closed at 5:00pm on 17 July 2026.</w:t>
      </w:r>
    </w:p>
    <w:p>
      <w:pPr>
        <w:pStyle w:val="TextBody"/>
        <w:bidi w:val="0"/>
        <w:spacing w:before="0" w:after="160"/>
        <w:jc w:val="left"/>
        <w:rPr>
          <w:rFonts w:ascii="Times New Roman" w:hAnsi="Times New Roman"/>
          <w:sz w:val="20"/>
        </w:rPr>
      </w:pPr>
      <w:r>
        <w:rPr>
          <w:rFonts w:ascii="Aptos;sans-serif" w:hAnsi="Aptos;sans-serif"/>
          <w:color w:val="000000"/>
          <w:sz w:val="24"/>
        </w:rPr>
        <w:t>NOVONIX received valid applications from eligible shareholders for 6,016,250 fully paid ordinary shares in NOVONIX ("SPP Shares") to raise A$962,600 (before costs) under the SPP.</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SPP was priced at A$0.16 per SPP Share, and eligible shareholders were given the opportunity to apply for up to A$30,000 worth of SPP Shares.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NOVONIX will use the proceeds from the SPP to fund capital expenditure required to support production capacity and meet forecast customer demand.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Admiral Robert Natter, NOVONIX Chairman said: “We were pleased to provide all of our eligible shareholders with the opportunity to participate in this offer. We received strong interest in the offer. We thank our shareholders for their ongoing support of NOVONIX and its future.”</w:t>
      </w:r>
    </w:p>
    <w:p>
      <w:pPr>
        <w:pStyle w:val="TextBody"/>
        <w:bidi w:val="0"/>
        <w:spacing w:before="0" w:after="160"/>
        <w:jc w:val="left"/>
        <w:rPr>
          <w:rFonts w:ascii="Times New Roman" w:hAnsi="Times New Roman"/>
          <w:sz w:val="20"/>
        </w:rPr>
      </w:pPr>
      <w:r>
        <w:rPr>
          <w:rFonts w:ascii="Aptos;sans-serif" w:hAnsi="Aptos;sans-serif"/>
          <w:b/>
          <w:color w:val="000000"/>
          <w:sz w:val="24"/>
        </w:rPr>
        <w:t>SPP Further Details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The SPP was announced on 17 June 2026, in connection with a fully underwritten institutional placement of A$20.7 million to sophisticated investors ("Institutional Placement"). NOVONIX successfully completed the Institutional Placement on 17 June 2026.</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issue price of A$0.16 per SPP Share is equivalent to the issue price paid by investors under the Institutional Placement and Conditional Placement launched by NOVONIX in conjunction with the SPP.</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373A36"/>
          <w:sz w:val="22"/>
        </w:rPr>
        <w:t xml:space="preserve">ACN 157 690 830, 1029 West 19th Street; Chattanooga, TN 37408; USA </w:t>
      </w:r>
      <w:r>
        <w:rPr>
          <w:rFonts w:ascii="Aptos;sans-serif" w:hAnsi="Aptos;sans-serif"/>
          <w:color w:val="05AD4B"/>
          <w:sz w:val="22"/>
        </w:rPr>
        <w:t>|</w:t>
      </w:r>
      <w:r>
        <w:rPr>
          <w:rFonts w:ascii="Times New Roman" w:hAnsi="Times New Roman"/>
          <w:color w:val="373A36"/>
          <w:sz w:val="20"/>
        </w:rPr>
        <w:t xml:space="preserve"> </w:t>
      </w:r>
      <w:r>
        <w:rPr>
          <w:rFonts w:ascii="Aptos;sans-serif" w:hAnsi="Aptos;sans-serif"/>
          <w:color w:val="373A36"/>
          <w:sz w:val="22"/>
        </w:rPr>
        <w:t>novonixgroup.com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Roboto;sans-serif" w:hAnsi="Roboto;sans-serif"/>
          <w:b/>
          <w:color w:val="000000"/>
          <w:sz w:val="22"/>
        </w:rPr>
      </w:pPr>
      <w:r>
        <w:rPr>
          <w:rFonts w:ascii="Roboto;sans-serif" w:hAnsi="Roboto;sans-serif"/>
          <w:b/>
          <w:color w:val="000000"/>
          <w:sz w:val="22"/>
        </w:rPr>
        <w:t>Exhibit 99.1</w:t>
      </w:r>
    </w:p>
    <w:p>
      <w:pPr>
        <w:pStyle w:val="TextBody"/>
        <w:bidi w:val="0"/>
        <w:jc w:val="right"/>
        <w:rPr/>
      </w:pPr>
      <w:r>
        <w:rPr/>
        <w:drawing>
          <wp:inline distT="0" distB="0" distL="0" distR="0">
            <wp:extent cx="3333750" cy="5334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6"/>
                    <a:stretch>
                      <a:fillRect/>
                    </a:stretch>
                  </pic:blipFill>
                  <pic:spPr bwMode="auto">
                    <a:xfrm>
                      <a:off x="0" y="0"/>
                      <a:ext cx="3333750" cy="533400"/>
                    </a:xfrm>
                    <a:prstGeom prst="rect">
                      <a:avLst/>
                    </a:prstGeom>
                  </pic:spPr>
                </pic:pic>
              </a:graphicData>
            </a:graphic>
          </wp:inline>
        </w:drawing>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SPP offer was made to eligible shareholders, with valid applications received from approximately 89 eligible shareholders for a total value of A$962,600. Valid applications received represented a participation rate of approximately 0.3% of eligible shareholders, with an average application amount of approximately A$10,816.</w:t>
      </w:r>
    </w:p>
    <w:p>
      <w:pPr>
        <w:pStyle w:val="TextBody"/>
        <w:bidi w:val="0"/>
        <w:spacing w:before="0" w:after="160"/>
        <w:jc w:val="left"/>
        <w:rPr>
          <w:rFonts w:ascii="Aptos;sans-serif" w:hAnsi="Aptos;sans-serif"/>
          <w:color w:val="000000"/>
          <w:sz w:val="24"/>
        </w:rPr>
      </w:pPr>
      <w:r>
        <w:rPr>
          <w:rFonts w:ascii="Aptos;sans-serif" w:hAnsi="Aptos;sans-serif"/>
          <w:color w:val="000000"/>
          <w:sz w:val="24"/>
        </w:rPr>
        <w:t>6,016,250 new SPP Shares will be issued on 22 July 2026, representing approximately 0.6% of NOVONIX’s ordinary shares on issue.</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Trading of the SPP Shares is expected to commence on the ASX on 23 July 2026. Holding statements will be dispatched to successful applicants from 23 July 2026. SPP Shares will rank equally with existing fully paid NVX shares from their date of issue.</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announcement has been authorised for release by Admiral Robert Natter, Chairman.</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ptos;sans-serif" w:hAnsi="Aptos;sans-serif"/>
          <w:b/>
          <w:color w:val="000000"/>
          <w:sz w:val="24"/>
        </w:rPr>
        <w:t xml:space="preserve">About NOVONIX </w:t>
      </w:r>
      <w:r>
        <w:rPr>
          <w:rFonts w:ascii="Aptos;sans-serif" w:hAnsi="Aptos;sans-serif"/>
          <w:color w:val="000000"/>
          <w:sz w:val="24"/>
        </w:rPr>
        <w:b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 and industrial markets. Through proprietary technologies and expanding manufacturing capacity, NOVONIX is scaling critical battery materials to meet growing global demand.</w:t>
      </w:r>
    </w:p>
    <w:p>
      <w:pPr>
        <w:pStyle w:val="TextBody"/>
        <w:bidi w:val="0"/>
        <w:spacing w:before="0" w:after="160"/>
        <w:jc w:val="left"/>
        <w:rPr>
          <w:rFonts w:ascii="Times New Roman" w:hAnsi="Times New Roman"/>
          <w:sz w:val="20"/>
        </w:rPr>
      </w:pPr>
      <w:r>
        <w:rPr>
          <w:rFonts w:ascii="Aptos;sans-serif" w:hAnsi="Aptos;sans-serif"/>
          <w:color w:val="000000"/>
          <w:sz w:val="24"/>
        </w:rPr>
        <w:t xml:space="preserve">To learn more, visit us at </w:t>
      </w:r>
      <w:r>
        <w:rPr>
          <w:rFonts w:ascii="Aptos;sans-serif" w:hAnsi="Aptos;sans-serif"/>
          <w:sz w:val="24"/>
        </w:rPr>
        <w:t>www.novonixgroup.com</w:t>
      </w:r>
      <w:r>
        <w:rPr>
          <w:rFonts w:ascii="Times New Roman" w:hAnsi="Times New Roman"/>
          <w:color w:val="000000"/>
          <w:sz w:val="20"/>
        </w:rPr>
        <w:t xml:space="preserve"> </w:t>
      </w:r>
      <w:r>
        <w:rPr>
          <w:rFonts w:ascii="Aptos;sans-serif" w:hAnsi="Aptos;sans-serif"/>
          <w:color w:val="000000"/>
          <w:sz w:val="24"/>
        </w:rPr>
        <w:t>or on</w:t>
      </w:r>
      <w:r>
        <w:rPr>
          <w:rFonts w:ascii="Times New Roman" w:hAnsi="Times New Roman"/>
          <w:color w:val="005EC8"/>
          <w:sz w:val="20"/>
        </w:rPr>
        <w:t xml:space="preserve"> </w:t>
      </w:r>
      <w:r>
        <w:rPr>
          <w:rFonts w:ascii="Aptos;sans-serif" w:hAnsi="Aptos;sans-serif"/>
          <w:sz w:val="24"/>
        </w:rPr>
        <w:t>LinkedIn</w:t>
      </w:r>
      <w:r>
        <w:rPr>
          <w:rFonts w:ascii="Times New Roman" w:hAnsi="Times New Roman"/>
          <w:color w:val="000000"/>
          <w:sz w:val="20"/>
        </w:rPr>
        <w:t xml:space="preserve"> </w:t>
      </w:r>
      <w:r>
        <w:rPr>
          <w:rFonts w:ascii="Aptos;sans-serif" w:hAnsi="Aptos;sans-serif"/>
          <w:color w:val="000000"/>
          <w:sz w:val="24"/>
        </w:rPr>
        <w:t xml:space="preserve">and </w:t>
      </w:r>
      <w:r>
        <w:rPr>
          <w:rFonts w:ascii="Aptos;sans-serif" w:hAnsi="Aptos;sans-serif"/>
          <w:sz w:val="24"/>
        </w:rPr>
        <w:t>X</w:t>
      </w:r>
      <w:r>
        <w:rPr>
          <w:rFonts w:ascii="Aptos;sans-serif" w:hAnsi="Aptos;sans-serif"/>
          <w:color w:val="000000"/>
          <w:sz w:val="24"/>
        </w:rPr>
        <w: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4"/>
        </w:rPr>
        <w:t xml:space="preserve">For NOVONIX Limited </w:t>
        <w:br/>
      </w:r>
      <w:r>
        <w:rPr>
          <w:rFonts w:ascii="Aptos;sans-serif" w:hAnsi="Aptos;sans-serif"/>
          <w:sz w:val="24"/>
        </w:rPr>
        <w:t>ir@novonixgroup.com</w:t>
      </w:r>
      <w:r>
        <w:rPr>
          <w:rFonts w:ascii="Times New Roman" w:hAnsi="Times New Roman"/>
          <w:color w:val="005EC8"/>
          <w:sz w:val="20"/>
        </w:rPr>
        <w:t xml:space="preserve"> </w:t>
      </w:r>
      <w:r>
        <w:rPr>
          <w:rFonts w:ascii="Aptos;sans-serif" w:hAnsi="Aptos;sans-serif"/>
          <w:color w:val="000000"/>
          <w:sz w:val="24"/>
        </w:rPr>
        <w:t>(investors)</w:t>
        <w:br/>
      </w:r>
      <w:r>
        <w:rPr>
          <w:rFonts w:ascii="Aptos;sans-serif" w:hAnsi="Aptos;sans-serif"/>
          <w:sz w:val="24"/>
        </w:rPr>
        <w:t>media@novonixgroup.com</w:t>
      </w:r>
      <w:r>
        <w:rPr>
          <w:rFonts w:ascii="Times New Roman" w:hAnsi="Times New Roman"/>
          <w:color w:val="000000"/>
          <w:sz w:val="20"/>
        </w:rPr>
        <w:t xml:space="preserve"> </w:t>
      </w:r>
      <w:r>
        <w:rPr>
          <w:rFonts w:ascii="Aptos;sans-serif" w:hAnsi="Aptos;sans-serif"/>
          <w:color w:val="000000"/>
          <w:sz w:val="24"/>
        </w:rPr>
        <w:t>(media)</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6"/>
        </w:rPr>
        <w:t>Forward-looking statements</w:t>
      </w:r>
      <w:r>
        <w:rPr>
          <w:rFonts w:ascii="Aptos;sans-serif" w:hAnsi="Aptos;sans-serif"/>
          <w:b/>
          <w:color w:val="000000"/>
          <w:sz w:val="24"/>
        </w:rPr>
        <w:br/>
      </w:r>
      <w:r>
        <w:rPr>
          <w:rFonts w:ascii="Aptos;sans-serif" w:hAnsi="Aptos;sans-serif"/>
          <w:color w:val="000000"/>
          <w:sz w:val="24"/>
        </w:rPr>
        <w:t>This announcement contains certain "forward-looking statements" that are based on management's beliefs, assumptions, opinions and expectations and on information currently available to management as of the date of this announcement. All statements other than statements of historical facts included in this announcement, including statements regarding NOVONIX’s forecasts, business strategy, plans and objectives, are forward-looking statements. These statements can generally be identified by the use of forward-looking words such as "expect", "anticipate", "likely", "intend", "should", "could", "may", "predict", "plan", "propose", "will", "believe", "forecast", "estimate' or "target". Such</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373A36"/>
          <w:sz w:val="22"/>
        </w:rPr>
        <w:t xml:space="preserve">ACN 157 690 830, 1029 West 19th Street; Chattanooga, TN 37408; USA </w:t>
      </w:r>
      <w:r>
        <w:rPr>
          <w:rFonts w:ascii="Aptos;sans-serif" w:hAnsi="Aptos;sans-serif"/>
          <w:color w:val="05AD4B"/>
          <w:sz w:val="22"/>
        </w:rPr>
        <w:t>|</w:t>
      </w:r>
      <w:r>
        <w:rPr>
          <w:rFonts w:ascii="Times New Roman" w:hAnsi="Times New Roman"/>
          <w:color w:val="373A36"/>
          <w:sz w:val="20"/>
        </w:rPr>
        <w:t xml:space="preserve"> </w:t>
      </w:r>
      <w:r>
        <w:rPr>
          <w:rFonts w:ascii="Aptos;sans-serif" w:hAnsi="Aptos;sans-serif"/>
          <w:color w:val="373A36"/>
          <w:sz w:val="22"/>
        </w:rPr>
        <w:t>novonixgroup.com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Roboto;sans-serif" w:hAnsi="Roboto;sans-serif"/>
          <w:b/>
          <w:color w:val="000000"/>
          <w:sz w:val="22"/>
        </w:rPr>
      </w:pPr>
      <w:r>
        <w:rPr>
          <w:rFonts w:ascii="Roboto;sans-serif" w:hAnsi="Roboto;sans-serif"/>
          <w:b/>
          <w:color w:val="000000"/>
          <w:sz w:val="22"/>
        </w:rPr>
        <w:t>Exhibit 99.1</w:t>
      </w:r>
    </w:p>
    <w:p>
      <w:pPr>
        <w:pStyle w:val="TextBody"/>
        <w:bidi w:val="0"/>
        <w:jc w:val="right"/>
        <w:rPr/>
      </w:pPr>
      <w:r>
        <w:rPr/>
        <w:drawing>
          <wp:inline distT="0" distB="0" distL="0" distR="0">
            <wp:extent cx="3333750" cy="533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7"/>
                    <a:stretch>
                      <a:fillRect/>
                    </a:stretch>
                  </pic:blipFill>
                  <pic:spPr bwMode="auto">
                    <a:xfrm>
                      <a:off x="0" y="0"/>
                      <a:ext cx="3333750" cy="533400"/>
                    </a:xfrm>
                    <a:prstGeom prst="rect">
                      <a:avLst/>
                    </a:prstGeom>
                  </pic:spPr>
                </pic:pic>
              </a:graphicData>
            </a:graphic>
          </wp:inline>
        </w:drawing>
      </w:r>
    </w:p>
    <w:p>
      <w:pPr>
        <w:pStyle w:val="TextBody"/>
        <w:bidi w:val="0"/>
        <w:spacing w:before="0" w:after="160"/>
        <w:jc w:val="left"/>
        <w:rPr>
          <w:rFonts w:ascii="Times New Roman" w:hAnsi="Times New Roman"/>
          <w:sz w:val="20"/>
        </w:rPr>
      </w:pPr>
      <w:r>
        <w:rPr>
          <w:rFonts w:ascii="Aptos;sans-serif" w:hAnsi="Aptos;sans-serif"/>
          <w:color w:val="000000"/>
          <w:sz w:val="24"/>
        </w:rPr>
        <w:t xml:space="preserve">statements may be based on underlying assumptions (which could prove incorrect or may be subject to change) and are subject to the risks disclosed in the Company's most recent annual report on Form 20-F, many of which are outside the control of NOVONIX and are not reliably predictable, which could cause actual results to differ materially, in terms of quantum and timing, from any results described in this announcement. You are strongly cautioned not to place undue reliance on forward-looking statements. Copies of the Company’s most recent annual report may be obtained by visiting the Company’s Investor Relations website at www.novonixgroup.com or the SEC’s website at </w:t>
      </w:r>
      <w:r>
        <w:rPr>
          <w:rFonts w:ascii="Aptos;sans-serif" w:hAnsi="Aptos;sans-serif"/>
          <w:sz w:val="24"/>
        </w:rPr>
        <w:t>www.sec.gov</w:t>
      </w:r>
      <w:r>
        <w:rPr>
          <w:rFonts w:ascii="Aptos;sans-serif" w:hAnsi="Aptos;sans-serif"/>
          <w:color w:val="000000"/>
          <w:sz w:val="24"/>
        </w:rPr>
        <w:t>. No representation is made by NOVONIX or Bell Potter Securities Limited ("Lead Manager") or any of their respective related bodies corporate, shareholders or affiliates, or any of each of their respective officers, directors, partners, employees, consultants, contractors, affiliates, agents, advisers or representatives (each a “Limited Party” and together, the “Limited Parties”) as to the correctness of the forward-looking statements on or after the date of this announcement. NOVONIX does not undertake any obligation to publicly release the result of any revisions to these forward-looking statements to reflect events or circumstances after the date of this announcement or to reflect the occurrence of unanticipated events. To the maximum extent permitted by law, NOVONIX, the Lead Manager and each of their respective Limited Parties disclaim any responsibility for the accuracy or completeness of any forward-looking statements whether as a result of new information, future events or results or otherwise. To the maximum extent permitted by law, each of NOVONIX, the Lead Manager and each of their respective Limited Parties disclaim any responsibility to update or revise any forward-looking statement to reflect any change in NOVONIX's financial condition, status or affairs or any change in the events, conditions or circumstances on which a statement is based, except as required by Australian law.</w:t>
      </w:r>
    </w:p>
    <w:p>
      <w:pPr>
        <w:pStyle w:val="TextBody"/>
        <w:bidi w:val="0"/>
        <w:spacing w:before="0" w:after="160"/>
        <w:jc w:val="left"/>
        <w:rPr>
          <w:rFonts w:ascii="Times New Roman" w:hAnsi="Times New Roman"/>
          <w:sz w:val="20"/>
        </w:rPr>
      </w:pPr>
      <w:r>
        <w:rPr>
          <w:rFonts w:ascii="Aptos;sans-serif" w:hAnsi="Aptos;sans-serif"/>
          <w:b/>
          <w:color w:val="000000"/>
          <w:sz w:val="24"/>
        </w:rPr>
        <w:t>Not for distribution or release in the United States</w:t>
        <w:br/>
      </w:r>
      <w:r>
        <w:rPr>
          <w:rFonts w:ascii="Aptos;sans-serif" w:hAnsi="Aptos;sans-serif"/>
          <w:color w:val="000000"/>
          <w:sz w:val="24"/>
        </w:rPr>
        <w:t>This announcement has been prepared for publication in Australia and may not be released or distributed in the United States. This announcement does not constitute an offer to sell, or a solicitation of an offer to buy, securities in the United States or any other jurisdiction. Any securities described in this announcement have not been, and will not be, registered under the US Securities Act of 1933 and may not be offered or sold in the United States except in transactions exempt from, or not subject to, the registration requirements of the US Securities Act and applicable US state securities laws.</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373A36"/>
          <w:sz w:val="22"/>
        </w:rPr>
        <w:t xml:space="preserve">ACN 157 690 830, 1029 West 19th Street; Chattanooga, TN 37408; USA </w:t>
      </w:r>
      <w:r>
        <w:rPr>
          <w:rFonts w:ascii="Aptos;sans-serif" w:hAnsi="Aptos;sans-serif"/>
          <w:color w:val="05AD4B"/>
          <w:sz w:val="22"/>
        </w:rPr>
        <w:t>|</w:t>
      </w:r>
      <w:r>
        <w:rPr>
          <w:rFonts w:ascii="Times New Roman" w:hAnsi="Times New Roman"/>
          <w:color w:val="373A36"/>
          <w:sz w:val="20"/>
        </w:rPr>
        <w:t xml:space="preserve"> </w:t>
      </w:r>
      <w:r>
        <w:rPr>
          <w:rFonts w:ascii="Aptos;sans-serif" w:hAnsi="Aptos;sans-serif"/>
          <w:color w:val="373A36"/>
          <w:sz w:val="22"/>
        </w:rPr>
        <w:t>novonixgroup.com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18"/>
        </w:rPr>
      </w:pPr>
      <w:bookmarkStart w:id="4" w:name="nvx-ex99_2.htm"/>
      <w:bookmarkStart w:id="5" w:name="ksnvxex99_2"/>
      <w:bookmarkEnd w:id="4"/>
      <w:bookmarkEnd w:id="5"/>
      <w:r>
        <w:rPr>
          <w:rFonts w:ascii="Arial" w:hAnsi="Arial"/>
          <w:b/>
          <w:color w:val="000000"/>
          <w:sz w:val="18"/>
        </w:rPr>
        <w:t>Exhibit 99.2</w:t>
      </w:r>
      <w:r>
        <w:br w:type="page"/>
      </w:r>
    </w:p>
    <w:p>
      <w:pPr>
        <w:pStyle w:val="TextBody"/>
        <w:bidi w:val="0"/>
        <w:spacing w:before="7"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Announcement Summary</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Entity name</w:t>
      </w:r>
    </w:p>
    <w:p>
      <w:pPr>
        <w:pStyle w:val="TextBody"/>
        <w:bidi w:val="0"/>
        <w:spacing w:before="104" w:after="283"/>
        <w:jc w:val="left"/>
        <w:rPr>
          <w:rFonts w:ascii="Arial" w:hAnsi="Arial"/>
          <w:color w:val="000000"/>
          <w:sz w:val="18"/>
        </w:rPr>
      </w:pPr>
      <w:r>
        <w:rPr>
          <w:rFonts w:ascii="Arial" w:hAnsi="Arial"/>
          <w:color w:val="000000"/>
          <w:sz w:val="18"/>
        </w:rPr>
        <w:t>NOVONIX LIMITED</w:t>
      </w:r>
    </w:p>
    <w:p>
      <w:pPr>
        <w:pStyle w:val="TextBody"/>
        <w:bidi w:val="0"/>
        <w:spacing w:before="153" w:after="283"/>
        <w:jc w:val="left"/>
        <w:rPr>
          <w:rFonts w:ascii="Arial" w:hAnsi="Arial"/>
          <w:b/>
          <w:color w:val="000000"/>
          <w:sz w:val="18"/>
        </w:rPr>
      </w:pPr>
      <w:r>
        <w:rPr>
          <w:rFonts w:ascii="Arial" w:hAnsi="Arial"/>
          <w:b/>
          <w:color w:val="000000"/>
          <w:sz w:val="18"/>
        </w:rPr>
        <w:t>Announcement Type</w:t>
      </w:r>
    </w:p>
    <w:p>
      <w:pPr>
        <w:pStyle w:val="TextBody"/>
        <w:bidi w:val="0"/>
        <w:spacing w:before="106" w:after="283"/>
        <w:jc w:val="left"/>
        <w:rPr>
          <w:rFonts w:ascii="Arial" w:hAnsi="Arial"/>
          <w:color w:val="000000"/>
          <w:sz w:val="18"/>
        </w:rPr>
      </w:pPr>
      <w:r>
        <w:rPr>
          <w:rFonts w:ascii="Arial" w:hAnsi="Arial"/>
          <w:color w:val="000000"/>
          <w:sz w:val="18"/>
        </w:rPr>
        <w:t>New announcement</w:t>
      </w:r>
    </w:p>
    <w:p>
      <w:pPr>
        <w:pStyle w:val="TextBody"/>
        <w:bidi w:val="0"/>
        <w:spacing w:before="153" w:after="283"/>
        <w:jc w:val="left"/>
        <w:rPr>
          <w:rFonts w:ascii="Arial" w:hAnsi="Arial"/>
          <w:b/>
          <w:color w:val="000000"/>
          <w:sz w:val="18"/>
        </w:rPr>
      </w:pPr>
      <w:r>
        <w:rPr>
          <w:rFonts w:ascii="Arial" w:hAnsi="Arial"/>
          <w:b/>
          <w:color w:val="000000"/>
          <w:sz w:val="18"/>
        </w:rPr>
        <w:t>Date of this announcement</w:t>
      </w:r>
    </w:p>
    <w:p>
      <w:pPr>
        <w:pStyle w:val="TextBody"/>
        <w:bidi w:val="0"/>
        <w:spacing w:before="84" w:after="283"/>
        <w:jc w:val="left"/>
        <w:rPr>
          <w:rFonts w:ascii="Arial" w:hAnsi="Arial"/>
          <w:color w:val="000000"/>
          <w:sz w:val="18"/>
        </w:rPr>
      </w:pPr>
      <w:r>
        <w:rPr>
          <w:rFonts w:ascii="Arial" w:hAnsi="Arial"/>
          <w:color w:val="000000"/>
          <w:sz w:val="18"/>
        </w:rPr>
        <w:t>Tuesday July 21, 2026</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The +securities to be quoted are:</w:t>
      </w:r>
    </w:p>
    <w:p>
      <w:pPr>
        <w:pStyle w:val="TextBody"/>
        <w:bidi w:val="0"/>
        <w:jc w:val="left"/>
        <w:rPr>
          <w:rFonts w:ascii="Arial" w:hAnsi="Arial"/>
          <w:color w:val="000000"/>
          <w:sz w:val="18"/>
        </w:rPr>
      </w:pPr>
      <w:r>
        <w:rPr>
          <w:rFonts w:ascii="Arial" w:hAnsi="Arial"/>
          <w:color w:val="000000"/>
          <w:sz w:val="18"/>
        </w:rPr>
        <w:t>+Securities issued as part of a transaction or transactions previously announced to the market in an Appendix 3B</w:t>
      </w:r>
    </w:p>
    <w:p>
      <w:pPr>
        <w:pStyle w:val="TextBody"/>
        <w:bidi w:val="0"/>
        <w:spacing w:before="48" w:after="283"/>
        <w:jc w:val="left"/>
        <w:rPr>
          <w:rFonts w:ascii="Arial" w:hAnsi="Arial"/>
          <w:b/>
          <w:color w:val="000000"/>
          <w:sz w:val="18"/>
        </w:rPr>
      </w:pPr>
      <w:r>
        <w:rPr>
          <w:rFonts w:ascii="Arial" w:hAnsi="Arial"/>
          <w:b/>
          <w:color w:val="000000"/>
          <w:sz w:val="18"/>
        </w:rPr>
        <w:t>Total number of +securities to be quoted</w:t>
      </w:r>
    </w:p>
    <w:p>
      <w:pPr>
        <w:pStyle w:val="TextBody"/>
        <w:bidi w:val="0"/>
        <w:jc w:val="left"/>
        <w:rPr/>
      </w:pPr>
      <w:r>
        <w:rPr/>
        <w:t> </w:t>
      </w:r>
    </w:p>
    <w:tbl>
      <w:tblPr>
        <w:tblW w:w="7840" w:type="dxa"/>
        <w:jc w:val="left"/>
        <w:tblInd w:w="0" w:type="dxa"/>
        <w:tblLayout w:type="fixed"/>
        <w:tblCellMar>
          <w:top w:w="28" w:type="dxa"/>
          <w:left w:w="28" w:type="dxa"/>
          <w:bottom w:w="28" w:type="dxa"/>
          <w:right w:w="28" w:type="dxa"/>
        </w:tblCellMar>
      </w:tblPr>
      <w:tblGrid>
        <w:gridCol w:w="723"/>
        <w:gridCol w:w="1336"/>
        <w:gridCol w:w="3269"/>
        <w:gridCol w:w="407"/>
        <w:gridCol w:w="2105"/>
      </w:tblGrid>
      <w:tr>
        <w:trPr/>
        <w:tc>
          <w:tcPr>
            <w:tcW w:w="72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26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ind w:left="0" w:right="0" w:firstLine="562"/>
              <w:jc w:val="left"/>
              <w:rPr>
                <w:sz w:val="4"/>
                <w:szCs w:val="4"/>
              </w:rPr>
            </w:pPr>
            <w:r>
              <w:rPr>
                <w:sz w:val="4"/>
                <w:szCs w:val="4"/>
              </w:rPr>
            </w:r>
          </w:p>
        </w:tc>
      </w:tr>
      <w:tr>
        <w:trPr/>
        <w:tc>
          <w:tcPr>
            <w:tcW w:w="723" w:type="dxa"/>
            <w:tcBorders>
              <w:top w:val="single" w:sz="8" w:space="0" w:color="000000"/>
              <w:left w:val="single" w:sz="8" w:space="0" w:color="000000"/>
            </w:tcBorders>
            <w:tcMar>
              <w:bottom w:w="0" w:type="dxa"/>
              <w:right w:w="0" w:type="dxa"/>
            </w:tcMar>
            <w:vAlign w:val="center"/>
          </w:tcPr>
          <w:p>
            <w:pPr>
              <w:pStyle w:val="TableContents"/>
              <w:bidi w:val="0"/>
              <w:spacing w:before="0" w:after="283"/>
              <w:ind w:left="0" w:right="0" w:firstLine="562"/>
              <w:jc w:val="left"/>
              <w:rPr/>
            </w:pPr>
            <w:r>
              <w:rPr/>
              <w:t> </w:t>
            </w:r>
          </w:p>
        </w:tc>
        <w:tc>
          <w:tcPr>
            <w:tcW w:w="1336" w:type="dxa"/>
            <w:tcBorders>
              <w:top w:val="single" w:sz="8" w:space="0" w:color="000000"/>
            </w:tcBorders>
            <w:tcMar>
              <w:left w:w="0" w:type="dxa"/>
              <w:bottom w:w="0" w:type="dxa"/>
              <w:right w:w="0" w:type="dxa"/>
            </w:tcMar>
            <w:vAlign w:val="center"/>
          </w:tcPr>
          <w:p>
            <w:pPr>
              <w:pStyle w:val="TableContents"/>
              <w:bidi w:val="0"/>
              <w:spacing w:before="0" w:after="283"/>
              <w:ind w:left="0" w:right="0" w:firstLine="562"/>
              <w:jc w:val="left"/>
              <w:rPr/>
            </w:pPr>
            <w:r>
              <w:rPr/>
              <w:t> </w:t>
            </w:r>
          </w:p>
        </w:tc>
        <w:tc>
          <w:tcPr>
            <w:tcW w:w="326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512" w:type="dxa"/>
            <w:gridSpan w:val="2"/>
            <w:tcBorders>
              <w:top w:val="single" w:sz="8" w:space="0" w:color="000000"/>
              <w:right w:val="single" w:sz="8" w:space="0" w:color="000000"/>
            </w:tcBorders>
            <w:tcMar>
              <w:left w:w="0" w:type="dxa"/>
              <w:bottom w:w="0" w:type="dxa"/>
            </w:tcMar>
            <w:vAlign w:val="center"/>
          </w:tcPr>
          <w:p>
            <w:pPr>
              <w:pStyle w:val="TableContents"/>
              <w:bidi w:val="0"/>
              <w:spacing w:before="0" w:after="283"/>
              <w:ind w:left="0" w:right="0" w:firstLine="562"/>
              <w:jc w:val="left"/>
              <w:rPr/>
            </w:pPr>
            <w:r>
              <w:rPr/>
              <w:t> </w:t>
            </w:r>
          </w:p>
        </w:tc>
      </w:tr>
      <w:tr>
        <w:trPr/>
        <w:tc>
          <w:tcPr>
            <w:tcW w:w="723" w:type="dxa"/>
            <w:tcBorders>
              <w:left w:val="single" w:sz="8" w:space="0" w:color="000000"/>
            </w:tcBorders>
            <w:tcMar>
              <w:top w:w="0" w:type="dxa"/>
              <w:bottom w:w="0" w:type="dxa"/>
              <w:right w:w="0" w:type="dxa"/>
            </w:tcMar>
            <w:vAlign w:val="center"/>
          </w:tcPr>
          <w:p>
            <w:pPr>
              <w:pStyle w:val="TableContents"/>
              <w:bidi w:val="0"/>
              <w:spacing w:before="0" w:after="283"/>
              <w:ind w:left="0" w:right="0" w:firstLine="562"/>
              <w:jc w:val="left"/>
              <w:rPr/>
            </w:pPr>
            <w:r>
              <w:rPr/>
              <w:t> </w:t>
            </w:r>
          </w:p>
        </w:tc>
        <w:tc>
          <w:tcPr>
            <w:tcW w:w="1336" w:type="dxa"/>
            <w:tcBorders/>
            <w:tcMar>
              <w:top w:w="0" w:type="dxa"/>
              <w:left w:w="0" w:type="dxa"/>
              <w:bottom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ASX +security</w:t>
            </w:r>
          </w:p>
          <w:p>
            <w:pPr>
              <w:pStyle w:val="TableContents"/>
              <w:bidi w:val="0"/>
              <w:spacing w:before="0" w:after="283"/>
              <w:jc w:val="left"/>
              <w:rPr>
                <w:rFonts w:ascii="Arial" w:hAnsi="Arial"/>
                <w:b/>
                <w:color w:val="000000"/>
                <w:sz w:val="18"/>
              </w:rPr>
            </w:pPr>
            <w:r>
              <w:rPr>
                <w:rFonts w:ascii="Arial" w:hAnsi="Arial"/>
                <w:b/>
                <w:color w:val="000000"/>
                <w:sz w:val="18"/>
              </w:rPr>
              <w:t>code</w:t>
            </w:r>
          </w:p>
        </w:tc>
        <w:tc>
          <w:tcPr>
            <w:tcW w:w="326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Arial" w:hAnsi="Arial"/>
                <w:b/>
                <w:color w:val="000000"/>
                <w:sz w:val="18"/>
              </w:rPr>
            </w:pPr>
            <w:r>
              <w:rPr>
                <w:rFonts w:ascii="Arial" w:hAnsi="Arial"/>
                <w:b/>
                <w:color w:val="000000"/>
                <w:sz w:val="18"/>
              </w:rPr>
              <w:t>Security description</w:t>
            </w:r>
          </w:p>
        </w:tc>
        <w:tc>
          <w:tcPr>
            <w:tcW w:w="2512" w:type="dxa"/>
            <w:gridSpan w:val="2"/>
            <w:tcBorders>
              <w:right w:val="single" w:sz="8" w:space="0" w:color="000000"/>
            </w:tcBorders>
            <w:tcMar>
              <w:top w:w="0" w:type="dxa"/>
              <w:left w:w="0" w:type="dxa"/>
              <w:bottom w:w="0" w:type="dxa"/>
            </w:tcMar>
            <w:vAlign w:val="center"/>
          </w:tcPr>
          <w:p>
            <w:pPr>
              <w:pStyle w:val="TableContents"/>
              <w:bidi w:val="0"/>
              <w:jc w:val="left"/>
              <w:rPr>
                <w:rFonts w:ascii="Arial" w:hAnsi="Arial"/>
                <w:b/>
                <w:color w:val="000000"/>
                <w:sz w:val="18"/>
              </w:rPr>
            </w:pPr>
            <w:r>
              <w:rPr>
                <w:rFonts w:ascii="Arial" w:hAnsi="Arial"/>
                <w:b/>
                <w:color w:val="000000"/>
                <w:sz w:val="18"/>
              </w:rPr>
              <w:t>Number of +securities to</w:t>
            </w:r>
          </w:p>
          <w:p>
            <w:pPr>
              <w:pStyle w:val="TableContents"/>
              <w:bidi w:val="0"/>
              <w:spacing w:before="3" w:after="283"/>
              <w:jc w:val="left"/>
              <w:rPr>
                <w:rFonts w:ascii="Arial" w:hAnsi="Arial"/>
                <w:b/>
                <w:color w:val="000000"/>
                <w:sz w:val="18"/>
              </w:rPr>
            </w:pPr>
            <w:r>
              <w:rPr>
                <w:rFonts w:ascii="Arial" w:hAnsi="Arial"/>
                <w:b/>
                <w:color w:val="000000"/>
                <w:sz w:val="18"/>
              </w:rPr>
              <w:t>be quoted Issue date</w:t>
            </w:r>
          </w:p>
        </w:tc>
      </w:tr>
      <w:tr>
        <w:trPr/>
        <w:tc>
          <w:tcPr>
            <w:tcW w:w="72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9" w:type="dxa"/>
            <w:tcBorders/>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cMar>
              <w:top w:w="0" w:type="dxa"/>
              <w:left w:w="0" w:type="dxa"/>
              <w:bottom w:w="0" w:type="dxa"/>
              <w:right w:w="0" w:type="dxa"/>
            </w:tcMar>
            <w:vAlign w:val="center"/>
          </w:tcPr>
          <w:p>
            <w:pPr>
              <w:pStyle w:val="TableContents"/>
              <w:bidi w:val="0"/>
              <w:spacing w:before="0" w:after="283"/>
              <w:jc w:val="left"/>
              <w:rPr/>
            </w:pPr>
            <w:r>
              <w:rPr/>
              <w:t> </w:t>
            </w:r>
          </w:p>
        </w:tc>
        <w:tc>
          <w:tcPr>
            <w:tcW w:w="2105" w:type="dxa"/>
            <w:tcBorders>
              <w:right w:val="single" w:sz="8" w:space="0" w:color="000000"/>
            </w:tcBorders>
            <w:tcMar>
              <w:top w:w="0" w:type="dxa"/>
              <w:left w:w="0" w:type="dxa"/>
              <w:bottom w:w="0" w:type="dxa"/>
            </w:tcMar>
            <w:vAlign w:val="center"/>
          </w:tcPr>
          <w:p>
            <w:pPr>
              <w:pStyle w:val="TableContents"/>
              <w:bidi w:val="0"/>
              <w:spacing w:before="0" w:after="283"/>
              <w:ind w:left="0" w:right="0" w:firstLine="562"/>
              <w:jc w:val="left"/>
              <w:rPr/>
            </w:pPr>
            <w:r>
              <w:rPr/>
              <w:t> </w:t>
            </w:r>
          </w:p>
        </w:tc>
      </w:tr>
      <w:tr>
        <w:trPr/>
        <w:tc>
          <w:tcPr>
            <w:tcW w:w="723" w:type="dxa"/>
            <w:tcBorders>
              <w:left w:val="single" w:sz="8" w:space="0" w:color="000000"/>
            </w:tcBorders>
            <w:tcMar>
              <w:top w:w="0" w:type="dxa"/>
              <w:bottom w:w="0" w:type="dxa"/>
              <w:right w:w="0" w:type="dxa"/>
            </w:tcMar>
            <w:vAlign w:val="center"/>
          </w:tcPr>
          <w:p>
            <w:pPr>
              <w:pStyle w:val="TableContents"/>
              <w:bidi w:val="0"/>
              <w:spacing w:before="0" w:after="283"/>
              <w:ind w:left="0" w:right="0" w:firstLine="562"/>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w:t>
            </w:r>
          </w:p>
        </w:tc>
        <w:tc>
          <w:tcPr>
            <w:tcW w:w="3269" w:type="dxa"/>
            <w:tcBorders/>
            <w:tcMar>
              <w:top w:w="0" w:type="dxa"/>
              <w:left w:w="0" w:type="dxa"/>
              <w:bottom w:w="0" w:type="dxa"/>
              <w:right w:w="0" w:type="dxa"/>
            </w:tcMar>
            <w:vAlign w:val="center"/>
          </w:tcPr>
          <w:p>
            <w:pPr>
              <w:pStyle w:val="TableContents"/>
              <w:bidi w:val="0"/>
              <w:spacing w:before="0" w:after="283"/>
              <w:ind w:left="0" w:right="0" w:firstLine="1123"/>
              <w:jc w:val="left"/>
              <w:rPr>
                <w:rFonts w:ascii="Arial" w:hAnsi="Arial"/>
                <w:color w:val="000000"/>
                <w:sz w:val="18"/>
              </w:rPr>
            </w:pPr>
            <w:r>
              <w:rPr>
                <w:rFonts w:ascii="Arial" w:hAnsi="Arial"/>
                <w:color w:val="000000"/>
                <w:sz w:val="18"/>
              </w:rPr>
              <w:t>ORDINARY FULLY PAID</w:t>
            </w:r>
          </w:p>
        </w:tc>
        <w:tc>
          <w:tcPr>
            <w:tcW w:w="2512" w:type="dxa"/>
            <w:gridSpan w:val="2"/>
            <w:tcBorders>
              <w:right w:val="single" w:sz="8" w:space="0" w:color="000000"/>
            </w:tcBorders>
            <w:tcMar>
              <w:top w:w="0" w:type="dxa"/>
              <w:left w:w="0" w:type="dxa"/>
              <w:bottom w:w="0" w:type="dxa"/>
            </w:tcMar>
            <w:vAlign w:val="center"/>
          </w:tcPr>
          <w:p>
            <w:pPr>
              <w:pStyle w:val="TableContents"/>
              <w:bidi w:val="0"/>
              <w:spacing w:before="0" w:after="283"/>
              <w:ind w:left="0" w:right="0" w:firstLine="562"/>
              <w:jc w:val="left"/>
              <w:rPr>
                <w:rFonts w:ascii="Arial" w:hAnsi="Arial"/>
                <w:color w:val="000000"/>
                <w:sz w:val="18"/>
              </w:rPr>
            </w:pPr>
            <w:r>
              <w:rPr>
                <w:rFonts w:ascii="Arial" w:hAnsi="Arial"/>
                <w:color w:val="000000"/>
                <w:sz w:val="18"/>
              </w:rPr>
              <w:t>6,016,250 22/07/2026</w:t>
            </w:r>
          </w:p>
        </w:tc>
      </w:tr>
      <w:tr>
        <w:trPr/>
        <w:tc>
          <w:tcPr>
            <w:tcW w:w="723"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firstLine="562"/>
              <w:jc w:val="left"/>
              <w:rPr/>
            </w:pPr>
            <w:r>
              <w:rPr/>
              <w:t> </w:t>
            </w:r>
          </w:p>
        </w:tc>
        <w:tc>
          <w:tcPr>
            <w:tcW w:w="1336" w:type="dxa"/>
            <w:tcBorders>
              <w:bottom w:val="single" w:sz="8" w:space="0" w:color="000000"/>
            </w:tcBorders>
            <w:tcMar>
              <w:top w:w="0" w:type="dxa"/>
              <w:left w:w="0" w:type="dxa"/>
              <w:right w:w="0" w:type="dxa"/>
            </w:tcMar>
            <w:vAlign w:val="center"/>
          </w:tcPr>
          <w:p>
            <w:pPr>
              <w:pStyle w:val="TableContents"/>
              <w:bidi w:val="0"/>
              <w:spacing w:before="0" w:after="283"/>
              <w:ind w:left="0" w:right="0" w:firstLine="562"/>
              <w:jc w:val="left"/>
              <w:rPr/>
            </w:pPr>
            <w:r>
              <w:rPr/>
              <w:t> </w:t>
            </w:r>
          </w:p>
        </w:tc>
        <w:tc>
          <w:tcPr>
            <w:tcW w:w="326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rFonts w:ascii="Arial" w:hAnsi="Arial"/>
          <w:color w:val="000000"/>
          <w:sz w:val="18"/>
        </w:rPr>
      </w:pPr>
      <w:r>
        <w:rPr>
          <w:rFonts w:ascii="Arial" w:hAnsi="Arial"/>
          <w:color w:val="000000"/>
          <w:sz w:val="18"/>
        </w:rPr>
        <w:t>Refer to next page for full details of the announcement</w:t>
      </w:r>
    </w:p>
    <w:p>
      <w:pPr>
        <w:pStyle w:val="HorizontalLine"/>
        <w:pBdr>
          <w:bottom w:val="double" w:sz="2" w:space="0" w:color="808080"/>
        </w:pBdr>
        <w:bidi w:val="0"/>
        <w:spacing w:before="0" w:after="283"/>
        <w:jc w:val="left"/>
        <w:rPr/>
      </w:pPr>
      <w:r>
        <w:rPr/>
      </w:r>
    </w:p>
    <w:p>
      <w:pPr>
        <w:pStyle w:val="TextBody"/>
        <w:bidi w:val="0"/>
        <w:spacing w:before="84" w:after="283"/>
        <w:jc w:val="left"/>
        <w:rPr>
          <w:rFonts w:ascii="Arial" w:hAnsi="Arial"/>
          <w:color w:val="000000"/>
          <w:sz w:val="18"/>
        </w:rPr>
      </w:pPr>
      <w:r>
        <w:rPr>
          <w:rFonts w:ascii="Arial" w:hAnsi="Arial"/>
          <w:color w:val="000000"/>
          <w:sz w:val="18"/>
        </w:rPr>
        <w:t>Part 1 - Entity and announcement details</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1.1 Name of entity</w:t>
      </w:r>
    </w:p>
    <w:p>
      <w:pPr>
        <w:pStyle w:val="TextBody"/>
        <w:bidi w:val="0"/>
        <w:spacing w:before="105" w:after="283"/>
        <w:jc w:val="left"/>
        <w:rPr>
          <w:rFonts w:ascii="Arial" w:hAnsi="Arial"/>
          <w:color w:val="000000"/>
          <w:sz w:val="18"/>
        </w:rPr>
      </w:pPr>
      <w:r>
        <w:rPr>
          <w:rFonts w:ascii="Arial" w:hAnsi="Arial"/>
          <w:color w:val="000000"/>
          <w:sz w:val="18"/>
        </w:rPr>
        <w:t>NOVONIX LIMITED</w:t>
      </w:r>
    </w:p>
    <w:p>
      <w:pPr>
        <w:pStyle w:val="TextBody"/>
        <w:bidi w:val="0"/>
        <w:spacing w:before="150" w:after="283"/>
        <w:jc w:val="left"/>
        <w:rPr>
          <w:rFonts w:ascii="Arial" w:hAnsi="Arial"/>
          <w:color w:val="000000"/>
          <w:sz w:val="18"/>
        </w:rPr>
      </w:pPr>
      <w:r>
        <w:rPr>
          <w:rFonts w:ascii="Arial" w:hAnsi="Arial"/>
          <w:color w:val="000000"/>
          <w:sz w:val="18"/>
        </w:rPr>
        <w:t>We (the entity named above) apply for +quotation of the following +securities and agree to the matters set out in Appendix 2A of the ASX Listing Rules.</w:t>
      </w:r>
    </w:p>
    <w:p>
      <w:pPr>
        <w:pStyle w:val="TextBody"/>
        <w:bidi w:val="0"/>
        <w:jc w:val="left"/>
        <w:rPr/>
      </w:pPr>
      <w:r>
        <w:rPr/>
        <w:t> </w:t>
      </w:r>
    </w:p>
    <w:tbl>
      <w:tblPr>
        <w:tblW w:w="4397" w:type="dxa"/>
        <w:jc w:val="left"/>
        <w:tblInd w:w="0" w:type="dxa"/>
        <w:tblLayout w:type="fixed"/>
        <w:tblCellMar>
          <w:top w:w="28" w:type="dxa"/>
          <w:left w:w="28" w:type="dxa"/>
          <w:bottom w:w="28" w:type="dxa"/>
          <w:right w:w="28" w:type="dxa"/>
        </w:tblCellMar>
      </w:tblPr>
      <w:tblGrid>
        <w:gridCol w:w="2491"/>
        <w:gridCol w:w="1906"/>
      </w:tblGrid>
      <w:tr>
        <w:trPr/>
        <w:tc>
          <w:tcPr>
            <w:tcW w:w="249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9" w:after="283"/>
              <w:jc w:val="left"/>
              <w:rPr>
                <w:rFonts w:ascii="Arial" w:hAnsi="Arial"/>
                <w:b/>
                <w:color w:val="000000"/>
                <w:sz w:val="18"/>
              </w:rPr>
            </w:pPr>
            <w:r>
              <w:rPr>
                <w:rFonts w:ascii="Arial" w:hAnsi="Arial"/>
                <w:b/>
                <w:color w:val="000000"/>
                <w:sz w:val="18"/>
              </w:rPr>
              <w:t>1.2 Registered number type</w:t>
            </w:r>
          </w:p>
        </w:tc>
        <w:tc>
          <w:tcPr>
            <w:tcW w:w="1906" w:type="dxa"/>
            <w:tcBorders/>
            <w:tcMar>
              <w:top w:w="0" w:type="dxa"/>
              <w:left w:w="0" w:type="dxa"/>
              <w:bottom w:w="0" w:type="dxa"/>
              <w:right w:w="0" w:type="dxa"/>
            </w:tcMar>
            <w:vAlign w:val="center"/>
          </w:tcPr>
          <w:p>
            <w:pPr>
              <w:pStyle w:val="TableContents"/>
              <w:bidi w:val="0"/>
              <w:spacing w:before="9" w:after="283"/>
              <w:jc w:val="left"/>
              <w:rPr>
                <w:rFonts w:ascii="Arial" w:hAnsi="Arial"/>
                <w:b/>
                <w:color w:val="000000"/>
                <w:sz w:val="18"/>
              </w:rPr>
            </w:pPr>
            <w:r>
              <w:rPr>
                <w:rFonts w:ascii="Arial" w:hAnsi="Arial"/>
                <w:b/>
                <w:color w:val="000000"/>
                <w:sz w:val="18"/>
              </w:rPr>
              <w:t>Registration number</w:t>
            </w:r>
          </w:p>
        </w:tc>
      </w:tr>
      <w:tr>
        <w:trPr/>
        <w:tc>
          <w:tcPr>
            <w:tcW w:w="2491"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ABN</w:t>
            </w:r>
          </w:p>
        </w:tc>
        <w:tc>
          <w:tcPr>
            <w:tcW w:w="1906"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54157690830</w:t>
            </w:r>
          </w:p>
        </w:tc>
      </w:tr>
    </w:tbl>
    <w:p>
      <w:pPr>
        <w:pStyle w:val="TextBody"/>
        <w:bidi w:val="0"/>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1.3 ASX issuer code</w:t>
      </w:r>
    </w:p>
    <w:p>
      <w:pPr>
        <w:pStyle w:val="TextBody"/>
        <w:bidi w:val="0"/>
        <w:spacing w:before="105" w:after="283"/>
        <w:jc w:val="left"/>
        <w:rPr>
          <w:rFonts w:ascii="Arial" w:hAnsi="Arial"/>
          <w:color w:val="000000"/>
          <w:sz w:val="18"/>
        </w:rPr>
      </w:pPr>
      <w:r>
        <w:rPr>
          <w:rFonts w:ascii="Arial" w:hAnsi="Arial"/>
          <w:color w:val="000000"/>
          <w:sz w:val="18"/>
        </w:rPr>
        <w:t>NVX</w:t>
      </w:r>
    </w:p>
    <w:p>
      <w:pPr>
        <w:pStyle w:val="TextBody"/>
        <w:bidi w:val="0"/>
        <w:spacing w:before="1" w:after="283"/>
        <w:jc w:val="left"/>
        <w:rPr/>
      </w:pPr>
      <w:r>
        <w:rPr/>
        <w:t> </w:t>
      </w:r>
    </w:p>
    <w:p>
      <w:pPr>
        <w:pStyle w:val="TextBody"/>
        <w:bidi w:val="0"/>
        <w:jc w:val="left"/>
        <w:rPr>
          <w:rFonts w:ascii="Arial" w:hAnsi="Arial"/>
          <w:b/>
          <w:color w:val="000000"/>
          <w:sz w:val="18"/>
        </w:rPr>
      </w:pPr>
      <w:r>
        <w:rPr>
          <w:rFonts w:ascii="Arial" w:hAnsi="Arial"/>
          <w:b/>
          <w:color w:val="000000"/>
          <w:sz w:val="18"/>
        </w:rPr>
        <w:t>1.4 The announcement is</w:t>
      </w:r>
    </w:p>
    <w:p>
      <w:pPr>
        <w:pStyle w:val="TextBody"/>
        <w:bidi w:val="0"/>
        <w:jc w:val="left"/>
        <w:rPr>
          <w:rFonts w:ascii="Arial" w:hAnsi="Arial"/>
          <w:color w:val="000000"/>
          <w:sz w:val="18"/>
        </w:rPr>
      </w:pPr>
      <w:r>
        <w:rPr>
          <w:rFonts w:ascii="Arial" w:hAnsi="Arial"/>
          <w:color w:val="000000"/>
          <w:sz w:val="18"/>
        </w:rPr>
        <w:t>New announcement</w:t>
      </w:r>
    </w:p>
    <w:p>
      <w:pPr>
        <w:pStyle w:val="TextBody"/>
        <w:bidi w:val="0"/>
        <w:spacing w:before="48" w:after="283"/>
        <w:jc w:val="left"/>
        <w:rPr>
          <w:rFonts w:ascii="Arial" w:hAnsi="Arial"/>
          <w:b/>
          <w:color w:val="000000"/>
          <w:sz w:val="18"/>
        </w:rPr>
      </w:pPr>
      <w:r>
        <w:rPr>
          <w:rFonts w:ascii="Arial" w:hAnsi="Arial"/>
          <w:b/>
          <w:color w:val="000000"/>
          <w:sz w:val="18"/>
        </w:rPr>
        <w:t>1.5 Date of this announcement</w:t>
      </w:r>
    </w:p>
    <w:p>
      <w:pPr>
        <w:pStyle w:val="TextBody"/>
        <w:bidi w:val="0"/>
        <w:spacing w:before="105" w:after="283"/>
        <w:jc w:val="left"/>
        <w:rPr>
          <w:rFonts w:ascii="Arial" w:hAnsi="Arial"/>
          <w:color w:val="000000"/>
          <w:sz w:val="18"/>
        </w:rPr>
      </w:pPr>
      <w:r>
        <w:rPr>
          <w:rFonts w:ascii="Arial" w:hAnsi="Arial"/>
          <w:color w:val="000000"/>
          <w:sz w:val="18"/>
        </w:rPr>
        <w:t>21/7/2026</w:t>
      </w:r>
    </w:p>
    <w:p>
      <w:pPr>
        <w:pStyle w:val="HorizontalLine"/>
        <w:pBdr>
          <w:bottom w:val="double" w:sz="2" w:space="0" w:color="808080"/>
        </w:pBdr>
        <w:bidi w:val="0"/>
        <w:spacing w:before="0" w:after="283"/>
        <w:jc w:val="left"/>
        <w:rPr/>
      </w:pPr>
      <w:r>
        <w:rPr/>
      </w:r>
    </w:p>
    <w:p>
      <w:pPr>
        <w:pStyle w:val="TextBody"/>
        <w:bidi w:val="0"/>
        <w:spacing w:before="84" w:after="283"/>
        <w:jc w:val="left"/>
        <w:rPr>
          <w:rFonts w:ascii="Arial" w:hAnsi="Arial"/>
          <w:color w:val="000000"/>
          <w:sz w:val="18"/>
        </w:rPr>
      </w:pPr>
      <w:r>
        <w:rPr>
          <w:rFonts w:ascii="Arial" w:hAnsi="Arial"/>
          <w:color w:val="000000"/>
          <w:sz w:val="18"/>
        </w:rPr>
        <w:t>Part 2 - Type of Issue</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TextBody"/>
        <w:bidi w:val="0"/>
        <w:jc w:val="left"/>
        <w:rPr>
          <w:rFonts w:ascii="Arial" w:hAnsi="Arial"/>
          <w:b/>
          <w:color w:val="000000"/>
          <w:sz w:val="18"/>
        </w:rPr>
      </w:pPr>
      <w:r>
        <w:rPr>
          <w:rFonts w:ascii="Arial" w:hAnsi="Arial"/>
          <w:b/>
          <w:color w:val="000000"/>
          <w:sz w:val="18"/>
        </w:rPr>
        <w:t>2.1 The +securities to be quoted are:</w:t>
      </w:r>
    </w:p>
    <w:p>
      <w:pPr>
        <w:pStyle w:val="TextBody"/>
        <w:bidi w:val="0"/>
        <w:jc w:val="left"/>
        <w:rPr>
          <w:rFonts w:ascii="Arial" w:hAnsi="Arial"/>
          <w:color w:val="000000"/>
          <w:sz w:val="18"/>
        </w:rPr>
      </w:pPr>
      <w:r>
        <w:rPr>
          <w:rFonts w:ascii="Arial" w:hAnsi="Arial"/>
          <w:color w:val="000000"/>
          <w:sz w:val="18"/>
        </w:rPr>
        <w:t>+Securities issued as part of a transaction or transactions previously announced to the market in an Appendix 3B</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Previous Appendix 3B details: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6"/>
        <w:gridCol w:w="3405"/>
        <w:gridCol w:w="4604"/>
      </w:tblGrid>
      <w:tr>
        <w:trPr/>
        <w:tc>
          <w:tcPr>
            <w:tcW w:w="2196" w:type="dxa"/>
            <w:tcBorders/>
            <w:vAlign w:val="center"/>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2196" w:type="dxa"/>
            <w:tcBorders/>
            <w:tcMar>
              <w:top w:w="0" w:type="dxa"/>
              <w:left w:w="0" w:type="dxa"/>
              <w:bottom w:w="0" w:type="dxa"/>
              <w:right w:w="0" w:type="dxa"/>
            </w:tcMar>
            <w:vAlign w:val="center"/>
          </w:tcPr>
          <w:p>
            <w:pPr>
              <w:pStyle w:val="TableContents"/>
              <w:bidi w:val="0"/>
              <w:spacing w:before="7" w:after="283"/>
              <w:jc w:val="left"/>
              <w:rPr>
                <w:rFonts w:ascii="Arial" w:hAnsi="Arial"/>
                <w:b/>
                <w:color w:val="000000"/>
                <w:sz w:val="18"/>
              </w:rPr>
            </w:pPr>
            <w:r>
              <w:rPr>
                <w:rFonts w:ascii="Arial" w:hAnsi="Arial"/>
                <w:b/>
                <w:color w:val="000000"/>
                <w:sz w:val="18"/>
              </w:rPr>
              <w:t>Announcement Date and</w:t>
              <w:br/>
              <w:t>Time</w:t>
            </w:r>
          </w:p>
        </w:tc>
        <w:tc>
          <w:tcPr>
            <w:tcW w:w="3405" w:type="dxa"/>
            <w:tcBorders/>
            <w:tcMar>
              <w:top w:w="0" w:type="dxa"/>
              <w:left w:w="0" w:type="dxa"/>
              <w:bottom w:w="0" w:type="dxa"/>
              <w:right w:w="0" w:type="dxa"/>
            </w:tcMar>
            <w:vAlign w:val="center"/>
          </w:tcPr>
          <w:p>
            <w:pPr>
              <w:pStyle w:val="TableContents"/>
              <w:bidi w:val="0"/>
              <w:spacing w:before="7" w:after="283"/>
              <w:jc w:val="left"/>
              <w:rPr>
                <w:rFonts w:ascii="Arial" w:hAnsi="Arial"/>
                <w:b/>
                <w:color w:val="000000"/>
                <w:sz w:val="18"/>
              </w:rPr>
            </w:pPr>
            <w:r>
              <w:rPr>
                <w:rFonts w:ascii="Arial" w:hAnsi="Arial"/>
                <w:b/>
                <w:color w:val="000000"/>
                <w:sz w:val="18"/>
              </w:rPr>
              <w:t>Announcement Title</w:t>
            </w:r>
          </w:p>
        </w:tc>
        <w:tc>
          <w:tcPr>
            <w:tcW w:w="4604" w:type="dxa"/>
            <w:tcBorders>
              <w:bottom w:val="single" w:sz="4" w:space="0" w:color="999999"/>
            </w:tcBorders>
            <w:tcMar>
              <w:top w:w="0" w:type="dxa"/>
              <w:left w:w="0" w:type="dxa"/>
              <w:right w:w="0" w:type="dxa"/>
            </w:tcMar>
            <w:vAlign w:val="center"/>
          </w:tcPr>
          <w:p>
            <w:pPr>
              <w:pStyle w:val="TableContents"/>
              <w:bidi w:val="0"/>
              <w:spacing w:before="7" w:after="283"/>
              <w:jc w:val="left"/>
              <w:rPr>
                <w:rFonts w:ascii="Arial" w:hAnsi="Arial"/>
                <w:b/>
                <w:color w:val="000000"/>
                <w:sz w:val="18"/>
              </w:rPr>
            </w:pPr>
            <w:r>
              <w:rPr>
                <w:rFonts w:ascii="Arial" w:hAnsi="Arial"/>
                <w:b/>
                <w:color w:val="000000"/>
                <w:sz w:val="18"/>
              </w:rPr>
              <w:t>Selected Appendix 3B to submit quotation</w:t>
              <w:br/>
              <w:t>request</w:t>
            </w:r>
          </w:p>
          <w:p>
            <w:pPr>
              <w:pStyle w:val="TableContents"/>
              <w:bidi w:val="0"/>
              <w:spacing w:before="7" w:after="283"/>
              <w:ind w:left="0" w:right="0" w:firstLine="58"/>
              <w:jc w:val="left"/>
              <w:rPr/>
            </w:pPr>
            <w:r>
              <w:rPr/>
              <w:t> </w:t>
            </w:r>
          </w:p>
        </w:tc>
      </w:tr>
      <w:tr>
        <w:trPr/>
        <w:tc>
          <w:tcPr>
            <w:tcW w:w="2196" w:type="dxa"/>
            <w:tcBorders/>
            <w:tcMar>
              <w:top w:w="0" w:type="dxa"/>
              <w:left w:w="0" w:type="dxa"/>
              <w:bottom w:w="0" w:type="dxa"/>
              <w:right w:w="0" w:type="dxa"/>
            </w:tcMar>
            <w:vAlign w:val="center"/>
          </w:tcPr>
          <w:p>
            <w:pPr>
              <w:pStyle w:val="TableContents"/>
              <w:bidi w:val="0"/>
              <w:spacing w:before="63" w:after="63"/>
              <w:ind w:left="0" w:right="0" w:firstLine="58"/>
              <w:jc w:val="left"/>
              <w:rPr>
                <w:rFonts w:ascii="Arial" w:hAnsi="Arial"/>
                <w:color w:val="000000"/>
                <w:sz w:val="18"/>
              </w:rPr>
            </w:pPr>
            <w:r>
              <w:rPr>
                <w:rFonts w:ascii="Arial" w:hAnsi="Arial"/>
                <w:color w:val="000000"/>
                <w:sz w:val="18"/>
              </w:rPr>
              <w:t>17-Jun-2026 10:03</w:t>
            </w:r>
          </w:p>
        </w:tc>
        <w:tc>
          <w:tcPr>
            <w:tcW w:w="3405" w:type="dxa"/>
            <w:tcBorders>
              <w:right w:val="single" w:sz="4" w:space="0" w:color="999999"/>
            </w:tcBorders>
            <w:tcMar>
              <w:top w:w="0" w:type="dxa"/>
              <w:left w:w="0" w:type="dxa"/>
              <w:bottom w:w="0" w:type="dxa"/>
            </w:tcMar>
            <w:vAlign w:val="center"/>
          </w:tcPr>
          <w:p>
            <w:pPr>
              <w:pStyle w:val="TableContents"/>
              <w:bidi w:val="0"/>
              <w:spacing w:before="63" w:after="63"/>
              <w:ind w:left="0" w:right="0" w:firstLine="58"/>
              <w:jc w:val="left"/>
              <w:rPr>
                <w:rFonts w:ascii="Arial" w:hAnsi="Arial"/>
                <w:color w:val="000000"/>
                <w:sz w:val="18"/>
              </w:rPr>
            </w:pPr>
            <w:r>
              <w:rPr>
                <w:rFonts w:ascii="Arial" w:hAnsi="Arial"/>
                <w:color w:val="000000"/>
                <w:sz w:val="18"/>
              </w:rPr>
              <w:t>New - Proposed issue of securities - NVX</w:t>
            </w:r>
          </w:p>
        </w:tc>
        <w:tc>
          <w:tcPr>
            <w:tcW w:w="4604" w:type="dxa"/>
            <w:tcBorders>
              <w:bottom w:val="single" w:sz="4" w:space="0" w:color="999999"/>
              <w:right w:val="single" w:sz="4" w:space="0" w:color="999999"/>
            </w:tcBorders>
            <w:tcMar>
              <w:top w:w="0" w:type="dxa"/>
              <w:left w:w="0" w:type="dxa"/>
            </w:tcMar>
            <w:vAlign w:val="center"/>
          </w:tcPr>
          <w:p>
            <w:pPr>
              <w:pStyle w:val="TableContents"/>
              <w:bidi w:val="0"/>
              <w:spacing w:before="63" w:after="63"/>
              <w:ind w:left="0" w:right="0" w:firstLine="58"/>
              <w:jc w:val="left"/>
              <w:rPr>
                <w:rFonts w:ascii="Arial" w:hAnsi="Arial"/>
                <w:color w:val="000000"/>
                <w:sz w:val="18"/>
              </w:rPr>
            </w:pPr>
            <w:r>
              <w:rPr>
                <w:rFonts w:ascii="Arial" w:hAnsi="Arial"/>
                <w:color w:val="000000"/>
                <w:sz w:val="18"/>
              </w:rPr>
              <w:t>An offer of +securities under a +securities purchase plan</w:t>
            </w:r>
          </w:p>
        </w:tc>
      </w:tr>
    </w:tbl>
    <w:p>
      <w:pPr>
        <w:pStyle w:val="TextBody"/>
        <w:bidi w:val="0"/>
        <w:jc w:val="left"/>
        <w:rPr/>
      </w:pPr>
      <w:r>
        <w:rPr/>
        <w:t> </w:t>
      </w:r>
    </w:p>
    <w:p>
      <w:pPr>
        <w:pStyle w:val="TextBody"/>
        <w:bidi w:val="0"/>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2.3a.2 Are there any further issues of +securities yet to take place to complete the transaction(s) referred to in the Appendix 3B?</w:t>
      </w:r>
    </w:p>
    <w:p>
      <w:pPr>
        <w:pStyle w:val="TextBody"/>
        <w:bidi w:val="0"/>
        <w:jc w:val="left"/>
        <w:rPr>
          <w:rFonts w:ascii="Arial" w:hAnsi="Arial"/>
          <w:color w:val="000000"/>
          <w:sz w:val="18"/>
        </w:rPr>
      </w:pPr>
      <w:r>
        <w:rPr>
          <w:rFonts w:ascii="Arial" w:hAnsi="Arial"/>
          <w:color w:val="000000"/>
          <w:sz w:val="18"/>
        </w:rPr>
        <w:t>No</w:t>
      </w:r>
    </w:p>
    <w:p>
      <w:pPr>
        <w:pStyle w:val="TextBody"/>
        <w:bidi w:val="0"/>
        <w:spacing w:before="48"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84" w:after="283"/>
        <w:jc w:val="left"/>
        <w:rPr>
          <w:rFonts w:ascii="Arial" w:hAnsi="Arial"/>
          <w:color w:val="000000"/>
          <w:sz w:val="18"/>
        </w:rPr>
      </w:pPr>
      <w:r>
        <w:rPr>
          <w:rFonts w:ascii="Arial" w:hAnsi="Arial"/>
          <w:color w:val="000000"/>
          <w:sz w:val="18"/>
        </w:rPr>
        <w:t>Part 3A - number and type of +securities to be quoted where issue has previously been notified to ASX in an Appendix 3B</w:t>
      </w:r>
    </w:p>
    <w:p>
      <w:pPr>
        <w:pStyle w:val="TextBody"/>
        <w:pBdr>
          <w:bottom w:val="single" w:sz="8" w:space="1" w:color="0C3A6C"/>
        </w:pBdr>
        <w:bidi w:val="0"/>
        <w:spacing w:before="3"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18" w:after="283"/>
        <w:jc w:val="left"/>
        <w:rPr>
          <w:rFonts w:ascii="Arial" w:hAnsi="Arial"/>
          <w:color w:val="000000"/>
          <w:sz w:val="18"/>
        </w:rPr>
      </w:pPr>
      <w:r>
        <w:rPr>
          <w:rFonts w:ascii="Arial" w:hAnsi="Arial"/>
          <w:color w:val="000000"/>
          <w:sz w:val="18"/>
        </w:rPr>
        <w:t>Corporate Action Component Detail</w:t>
      </w:r>
    </w:p>
    <w:p>
      <w:pPr>
        <w:pStyle w:val="TextBody"/>
        <w:pBdr>
          <w:bottom w:val="single" w:sz="4" w:space="1" w:color="E3E3E3"/>
        </w:pBdr>
        <w:bidi w:val="0"/>
        <w:spacing w:before="8" w:after="283"/>
        <w:jc w:val="left"/>
        <w:rPr/>
      </w:pPr>
      <w:r>
        <w:rPr/>
        <w:t> </w:t>
      </w:r>
    </w:p>
    <w:p>
      <w:pPr>
        <w:pStyle w:val="TextBody"/>
        <w:bidi w:val="0"/>
        <w:jc w:val="left"/>
        <w:rPr/>
      </w:pPr>
      <w:r>
        <w:rPr/>
        <w:t> </w:t>
      </w:r>
    </w:p>
    <w:p>
      <w:pPr>
        <w:pStyle w:val="TextBody"/>
        <w:bidi w:val="0"/>
        <w:spacing w:before="7" w:after="283"/>
        <w:jc w:val="left"/>
        <w:rPr/>
      </w:pPr>
      <w:r>
        <w:rPr/>
        <w:t> </w:t>
      </w:r>
    </w:p>
    <w:p>
      <w:pPr>
        <w:pStyle w:val="TextBody"/>
        <w:bidi w:val="0"/>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 : ORDINARY FULLY PAID</w:t>
      </w:r>
    </w:p>
    <w:p>
      <w:pPr>
        <w:pStyle w:val="TextBody"/>
        <w:bidi w:val="0"/>
        <w:spacing w:before="1" w:after="283"/>
        <w:jc w:val="left"/>
        <w:rPr/>
      </w:pPr>
      <w:r>
        <w:rPr/>
        <w:t> </w:t>
      </w:r>
    </w:p>
    <w:p>
      <w:pPr>
        <w:pStyle w:val="TextBody"/>
        <w:bidi w:val="0"/>
        <w:jc w:val="left"/>
        <w:rPr>
          <w:rFonts w:ascii="Arial" w:hAnsi="Arial"/>
          <w:b/>
          <w:color w:val="000000"/>
          <w:sz w:val="18"/>
        </w:rPr>
      </w:pPr>
      <w:r>
        <w:rPr>
          <w:rFonts w:ascii="Arial" w:hAnsi="Arial"/>
          <w:b/>
          <w:color w:val="000000"/>
          <w:sz w:val="18"/>
        </w:rPr>
        <w:t>Issue date</w:t>
      </w:r>
    </w:p>
    <w:p>
      <w:pPr>
        <w:pStyle w:val="TextBody"/>
        <w:bidi w:val="0"/>
        <w:spacing w:before="105" w:after="283"/>
        <w:jc w:val="left"/>
        <w:rPr>
          <w:rFonts w:ascii="Arial" w:hAnsi="Arial"/>
          <w:color w:val="000000"/>
          <w:sz w:val="18"/>
        </w:rPr>
      </w:pPr>
      <w:r>
        <w:rPr>
          <w:rFonts w:ascii="Arial" w:hAnsi="Arial"/>
          <w:color w:val="000000"/>
          <w:sz w:val="18"/>
        </w:rPr>
        <w:t>22/7/2026</w:t>
      </w:r>
    </w:p>
    <w:p>
      <w:pPr>
        <w:pStyle w:val="TextBody"/>
        <w:bidi w:val="0"/>
        <w:jc w:val="left"/>
        <w:rPr/>
      </w:pPr>
      <w:r>
        <w:rPr/>
        <w:t> </w:t>
      </w:r>
    </w:p>
    <w:p>
      <w:pPr>
        <w:pStyle w:val="TextBody"/>
        <w:bidi w:val="0"/>
        <w:jc w:val="left"/>
        <w:rPr/>
      </w:pPr>
      <w:r>
        <w:rPr/>
        <w:t> </w:t>
      </w:r>
    </w:p>
    <w:p>
      <w:pPr>
        <w:pStyle w:val="TextBody"/>
        <w:bidi w:val="0"/>
        <w:spacing w:before="8" w:after="283"/>
        <w:jc w:val="left"/>
        <w:rPr/>
      </w:pPr>
      <w:r>
        <w:rPr/>
        <w:t> </w:t>
      </w:r>
    </w:p>
    <w:p>
      <w:pPr>
        <w:pStyle w:val="TextBody"/>
        <w:bidi w:val="0"/>
        <w:jc w:val="left"/>
        <w:rPr>
          <w:rFonts w:ascii="Arial" w:hAnsi="Arial"/>
          <w:color w:val="000000"/>
          <w:sz w:val="18"/>
        </w:rPr>
      </w:pPr>
      <w:r>
        <w:rPr>
          <w:rFonts w:ascii="Arial" w:hAnsi="Arial"/>
          <w:color w:val="000000"/>
          <w:sz w:val="18"/>
        </w:rPr>
        <w:t>Issue details</w:t>
      </w:r>
    </w:p>
    <w:p>
      <w:pPr>
        <w:pStyle w:val="TextBody"/>
        <w:pBdr>
          <w:bottom w:val="single" w:sz="4" w:space="1" w:color="E3E3E3"/>
        </w:pBdr>
        <w:bidi w:val="0"/>
        <w:jc w:val="left"/>
        <w:rPr/>
      </w:pPr>
      <w:r>
        <w:rPr/>
        <w:t> </w:t>
      </w:r>
    </w:p>
    <w:p>
      <w:pPr>
        <w:pStyle w:val="TextBody"/>
        <w:bidi w:val="0"/>
        <w:jc w:val="left"/>
        <w:rPr/>
      </w:pPr>
      <w:r>
        <w:rPr/>
        <w:t> </w:t>
      </w:r>
    </w:p>
    <w:p>
      <w:pPr>
        <w:pStyle w:val="TextBody"/>
        <w:bidi w:val="0"/>
        <w:spacing w:before="137" w:after="283"/>
        <w:jc w:val="left"/>
        <w:rPr>
          <w:rFonts w:ascii="Arial" w:hAnsi="Arial"/>
          <w:b/>
          <w:color w:val="000000"/>
          <w:sz w:val="18"/>
        </w:rPr>
      </w:pPr>
      <w:r>
        <w:rPr>
          <w:rFonts w:ascii="Arial" w:hAnsi="Arial"/>
          <w:b/>
          <w:color w:val="000000"/>
          <w:sz w:val="18"/>
        </w:rPr>
        <w:t>Number of +securities to be quoted</w:t>
      </w:r>
    </w:p>
    <w:p>
      <w:pPr>
        <w:pStyle w:val="TextBody"/>
        <w:bidi w:val="0"/>
        <w:spacing w:before="105" w:after="283"/>
        <w:jc w:val="left"/>
        <w:rPr>
          <w:rFonts w:ascii="Arial" w:hAnsi="Arial"/>
          <w:color w:val="000000"/>
          <w:sz w:val="18"/>
        </w:rPr>
      </w:pPr>
      <w:r>
        <w:rPr>
          <w:rFonts w:ascii="Arial" w:hAnsi="Arial"/>
          <w:color w:val="000000"/>
          <w:sz w:val="18"/>
        </w:rPr>
        <w:t>6,016,250</w:t>
      </w:r>
    </w:p>
    <w:p>
      <w:pPr>
        <w:pStyle w:val="TextBody"/>
        <w:bidi w:val="0"/>
        <w:spacing w:before="154" w:after="283"/>
        <w:jc w:val="left"/>
        <w:rPr>
          <w:rFonts w:ascii="Arial" w:hAnsi="Arial"/>
          <w:b/>
          <w:color w:val="000000"/>
          <w:sz w:val="18"/>
        </w:rPr>
      </w:pPr>
      <w:r>
        <w:rPr>
          <w:rFonts w:ascii="Arial" w:hAnsi="Arial"/>
          <w:b/>
          <w:color w:val="000000"/>
          <w:sz w:val="18"/>
        </w:rPr>
        <w:t>Are the +securities being issued for a cash consideration?</w:t>
      </w:r>
    </w:p>
    <w:p>
      <w:pPr>
        <w:pStyle w:val="TextBody"/>
        <w:bidi w:val="0"/>
        <w:spacing w:before="84" w:after="283"/>
        <w:jc w:val="left"/>
        <w:rPr>
          <w:rFonts w:ascii="Arial" w:hAnsi="Arial"/>
          <w:color w:val="000000"/>
          <w:sz w:val="18"/>
        </w:rPr>
      </w:pPr>
      <w:r>
        <w:rPr>
          <w:rFonts w:ascii="Arial" w:hAnsi="Arial"/>
          <w:color w:val="000000"/>
          <w:sz w:val="18"/>
        </w:rPr>
        <w:t>Yes</w:t>
      </w:r>
    </w:p>
    <w:p>
      <w:pPr>
        <w:pStyle w:val="TextBody"/>
        <w:bidi w:val="0"/>
        <w:jc w:val="left"/>
        <w:rPr/>
      </w:pPr>
      <w:r>
        <w:rPr/>
        <w:t> </w:t>
      </w:r>
    </w:p>
    <w:tbl>
      <w:tblPr>
        <w:tblW w:w="8132" w:type="dxa"/>
        <w:jc w:val="left"/>
        <w:tblInd w:w="0" w:type="dxa"/>
        <w:tblLayout w:type="fixed"/>
        <w:tblCellMar>
          <w:top w:w="28" w:type="dxa"/>
          <w:left w:w="28" w:type="dxa"/>
          <w:bottom w:w="28" w:type="dxa"/>
          <w:right w:w="28" w:type="dxa"/>
        </w:tblCellMar>
      </w:tblPr>
      <w:tblGrid>
        <w:gridCol w:w="4756"/>
        <w:gridCol w:w="3376"/>
      </w:tblGrid>
      <w:tr>
        <w:trPr/>
        <w:tc>
          <w:tcPr>
            <w:tcW w:w="475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4756" w:type="dxa"/>
            <w:tcBorders/>
            <w:tcMar>
              <w:top w:w="0" w:type="dxa"/>
              <w:left w:w="0" w:type="dxa"/>
              <w:bottom w:w="0" w:type="dxa"/>
              <w:right w:w="0" w:type="dxa"/>
            </w:tcMar>
            <w:vAlign w:val="center"/>
          </w:tcPr>
          <w:p>
            <w:pPr>
              <w:pStyle w:val="TableContents"/>
              <w:bidi w:val="0"/>
              <w:spacing w:before="8" w:after="283"/>
              <w:jc w:val="left"/>
              <w:rPr>
                <w:rFonts w:ascii="Arial" w:hAnsi="Arial"/>
                <w:b/>
                <w:color w:val="000000"/>
                <w:sz w:val="18"/>
              </w:rPr>
            </w:pPr>
            <w:r>
              <w:rPr>
                <w:rFonts w:ascii="Arial" w:hAnsi="Arial"/>
                <w:b/>
                <w:color w:val="000000"/>
                <w:sz w:val="18"/>
              </w:rPr>
              <w:t>In what currency is the cash consideration being paid?</w:t>
            </w:r>
          </w:p>
        </w:tc>
        <w:tc>
          <w:tcPr>
            <w:tcW w:w="3376" w:type="dxa"/>
            <w:tcBorders/>
            <w:tcMar>
              <w:top w:w="0" w:type="dxa"/>
              <w:left w:w="0" w:type="dxa"/>
              <w:bottom w:w="0" w:type="dxa"/>
              <w:right w:w="0" w:type="dxa"/>
            </w:tcMar>
            <w:vAlign w:val="center"/>
          </w:tcPr>
          <w:p>
            <w:pPr>
              <w:pStyle w:val="TableContents"/>
              <w:bidi w:val="0"/>
              <w:spacing w:before="8" w:after="283"/>
              <w:jc w:val="left"/>
              <w:rPr>
                <w:rFonts w:ascii="Arial" w:hAnsi="Arial"/>
                <w:b/>
                <w:color w:val="000000"/>
                <w:sz w:val="18"/>
              </w:rPr>
            </w:pPr>
            <w:r>
              <w:rPr>
                <w:rFonts w:ascii="Arial" w:hAnsi="Arial"/>
                <w:b/>
                <w:color w:val="000000"/>
                <w:sz w:val="18"/>
              </w:rPr>
              <w:t>What is the issue price per +security?</w:t>
            </w:r>
          </w:p>
        </w:tc>
      </w:tr>
      <w:tr>
        <w:trPr/>
        <w:tc>
          <w:tcPr>
            <w:tcW w:w="4756" w:type="dxa"/>
            <w:tcBorders/>
            <w:tcMar>
              <w:top w:w="0" w:type="dxa"/>
              <w:left w:w="0" w:type="dxa"/>
              <w:bottom w:w="0" w:type="dxa"/>
              <w:right w:w="0" w:type="dxa"/>
            </w:tcMar>
            <w:vAlign w:val="center"/>
          </w:tcPr>
          <w:p>
            <w:pPr>
              <w:pStyle w:val="TableContents"/>
              <w:bidi w:val="0"/>
              <w:spacing w:before="1" w:after="283"/>
              <w:jc w:val="left"/>
              <w:rPr/>
            </w:pPr>
            <w:r>
              <w:rPr/>
              <w:t> </w:t>
            </w:r>
          </w:p>
        </w:tc>
        <w:tc>
          <w:tcPr>
            <w:tcW w:w="3376" w:type="dxa"/>
            <w:tcBorders/>
            <w:tcMar>
              <w:top w:w="0" w:type="dxa"/>
              <w:left w:w="0" w:type="dxa"/>
              <w:bottom w:w="0" w:type="dxa"/>
              <w:right w:w="0" w:type="dxa"/>
            </w:tcMar>
            <w:vAlign w:val="center"/>
          </w:tcPr>
          <w:p>
            <w:pPr>
              <w:pStyle w:val="TableContents"/>
              <w:bidi w:val="0"/>
              <w:spacing w:before="1" w:after="283"/>
              <w:jc w:val="left"/>
              <w:rPr/>
            </w:pPr>
            <w:r>
              <w:rPr/>
              <w:t> </w:t>
            </w:r>
          </w:p>
        </w:tc>
      </w:tr>
      <w:tr>
        <w:trPr/>
        <w:tc>
          <w:tcPr>
            <w:tcW w:w="4756" w:type="dxa"/>
            <w:tcBorders/>
            <w:tcMar>
              <w:top w:w="0" w:type="dxa"/>
              <w:left w:w="0" w:type="dxa"/>
              <w:bottom w:w="0" w:type="dxa"/>
              <w:right w:w="0" w:type="dxa"/>
            </w:tcMar>
            <w:vAlign w:val="center"/>
          </w:tcPr>
          <w:p>
            <w:pPr>
              <w:pStyle w:val="TableContents"/>
              <w:bidi w:val="0"/>
              <w:spacing w:before="1" w:after="283"/>
              <w:jc w:val="left"/>
              <w:rPr>
                <w:rFonts w:ascii="Arial" w:hAnsi="Arial"/>
                <w:color w:val="000000"/>
                <w:sz w:val="18"/>
              </w:rPr>
            </w:pPr>
            <w:r>
              <w:rPr>
                <w:rFonts w:ascii="Arial" w:hAnsi="Arial"/>
                <w:color w:val="000000"/>
                <w:sz w:val="18"/>
              </w:rPr>
              <w:t>AUD - Australian Dollar</w:t>
            </w:r>
          </w:p>
        </w:tc>
        <w:tc>
          <w:tcPr>
            <w:tcW w:w="3376" w:type="dxa"/>
            <w:tcBorders/>
            <w:tcMar>
              <w:top w:w="0" w:type="dxa"/>
              <w:left w:w="0" w:type="dxa"/>
              <w:bottom w:w="0" w:type="dxa"/>
              <w:right w:w="0" w:type="dxa"/>
            </w:tcMar>
            <w:vAlign w:val="center"/>
          </w:tcPr>
          <w:p>
            <w:pPr>
              <w:pStyle w:val="TableContents"/>
              <w:bidi w:val="0"/>
              <w:spacing w:before="1" w:after="283"/>
              <w:jc w:val="left"/>
              <w:rPr>
                <w:rFonts w:ascii="Arial" w:hAnsi="Arial"/>
                <w:color w:val="000000"/>
                <w:sz w:val="18"/>
              </w:rPr>
            </w:pPr>
            <w:r>
              <w:rPr>
                <w:rFonts w:ascii="Arial" w:hAnsi="Arial"/>
                <w:color w:val="000000"/>
                <w:sz w:val="18"/>
              </w:rPr>
              <w:t>AUD 0.16000000</w:t>
            </w:r>
          </w:p>
        </w:tc>
      </w:tr>
    </w:tbl>
    <w:p>
      <w:pPr>
        <w:pStyle w:val="TextBody"/>
        <w:bidi w:val="0"/>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Any other information the entity wishes to provide about the +securities to be quoted</w:t>
      </w:r>
    </w:p>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0" w:after="283"/>
              <w:jc w:val="left"/>
              <w:rPr/>
            </w:pPr>
            <w:r>
              <w:rPr/>
              <w:t> </w:t>
            </w:r>
          </w:p>
        </w:tc>
      </w:tr>
    </w:tbl>
    <w:p>
      <w:pPr>
        <w:pStyle w:val="TextBody"/>
        <w:bidi w:val="0"/>
        <w:spacing w:before="94" w:after="283"/>
        <w:jc w:val="left"/>
        <w:rPr/>
      </w:pPr>
      <w:r>
        <w:rPr/>
        <w:t> </w:t>
      </w:r>
    </w:p>
    <w:p>
      <w:pPr>
        <w:pStyle w:val="TextBody"/>
        <w:pBdr>
          <w:bottom w:val="single" w:sz="12" w:space="1" w:color="DDDDDD"/>
        </w:pBdr>
        <w:bidi w:val="0"/>
        <w:spacing w:before="94"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84" w:after="283"/>
        <w:jc w:val="left"/>
        <w:rPr>
          <w:rFonts w:ascii="Arial" w:hAnsi="Arial"/>
          <w:color w:val="000000"/>
          <w:sz w:val="18"/>
        </w:rPr>
      </w:pPr>
      <w:r>
        <w:rPr>
          <w:rFonts w:ascii="Arial" w:hAnsi="Arial"/>
          <w:color w:val="000000"/>
          <w:sz w:val="18"/>
        </w:rPr>
        <w:t>Part 4 - Issued capital following quotation</w:t>
      </w:r>
    </w:p>
    <w:p>
      <w:pPr>
        <w:pStyle w:val="TextBody"/>
        <w:pBdr>
          <w:bottom w:val="single" w:sz="8" w:space="1" w:color="0C3A6C"/>
        </w:pBdr>
        <w:bidi w:val="0"/>
        <w:spacing w:before="3" w:after="283"/>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jc w:val="left"/>
        <w:rPr>
          <w:rFonts w:ascii="Arial" w:hAnsi="Arial"/>
          <w:b/>
          <w:color w:val="000000"/>
          <w:sz w:val="18"/>
        </w:rPr>
      </w:pPr>
      <w:r>
        <w:rPr>
          <w:rFonts w:ascii="Arial" w:hAnsi="Arial"/>
          <w:b/>
          <w:color w:val="000000"/>
          <w:sz w:val="18"/>
        </w:rPr>
        <w:t>Following the quotation of the +securities the subject of this application, the issued capital of the entity will comprise:</w:t>
      </w:r>
    </w:p>
    <w:p>
      <w:pPr>
        <w:pStyle w:val="TextBody"/>
        <w:bidi w:val="0"/>
        <w:spacing w:before="83" w:after="283"/>
        <w:jc w:val="left"/>
        <w:rPr>
          <w:rFonts w:ascii="Arial" w:hAnsi="Arial"/>
          <w:color w:val="000000"/>
          <w:sz w:val="18"/>
        </w:rPr>
      </w:pPr>
      <w:r>
        <w:rPr>
          <w:rFonts w:ascii="Arial" w:hAnsi="Arial"/>
          <w:color w:val="000000"/>
          <w:sz w:val="18"/>
        </w:rPr>
        <w:t>The figures in parts 4.1 and 4.2 below are automatically generated and may not reflect the entity's current issued capital if other Appendix 2A, Appendix 3G or Appendix 3H forms are currently with ASX for processing.</w:t>
      </w:r>
    </w:p>
    <w:p>
      <w:pPr>
        <w:pStyle w:val="TextBody"/>
        <w:bidi w:val="0"/>
        <w:spacing w:before="131" w:after="283"/>
        <w:jc w:val="left"/>
        <w:rPr>
          <w:rFonts w:ascii="Arial" w:hAnsi="Arial"/>
          <w:b/>
          <w:color w:val="000000"/>
          <w:sz w:val="18"/>
        </w:rPr>
      </w:pPr>
      <w:r>
        <w:rPr>
          <w:rFonts w:ascii="Arial" w:hAnsi="Arial"/>
          <w:b/>
          <w:color w:val="000000"/>
          <w:sz w:val="18"/>
        </w:rPr>
        <w:t>4.1 Quoted +securities (total number of each +class of +securities quoted on ASX following the +quotation of the</w:t>
      </w:r>
    </w:p>
    <w:p>
      <w:pPr>
        <w:pStyle w:val="TextBody"/>
        <w:bidi w:val="0"/>
        <w:spacing w:before="3" w:after="283"/>
        <w:jc w:val="left"/>
        <w:rPr>
          <w:rFonts w:ascii="Arial" w:hAnsi="Arial"/>
          <w:b/>
          <w:color w:val="000000"/>
          <w:sz w:val="18"/>
        </w:rPr>
      </w:pPr>
      <w:r>
        <w:rPr>
          <w:rFonts w:ascii="Arial" w:hAnsi="Arial"/>
          <w:b/>
          <w:color w:val="000000"/>
          <w:sz w:val="18"/>
        </w:rPr>
        <w:t>+securities subject of this application)</w:t>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3181"/>
        <w:gridCol w:w="1876"/>
      </w:tblGrid>
      <w:tr>
        <w:trPr/>
        <w:tc>
          <w:tcPr>
            <w:tcW w:w="318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172"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 : ORDINARY FULLY PAID</w:t>
            </w:r>
          </w:p>
        </w:tc>
        <w:tc>
          <w:tcPr>
            <w:tcW w:w="1876" w:type="dxa"/>
            <w:tcBorders/>
            <w:tcMar>
              <w:top w:w="0" w:type="dxa"/>
              <w:left w:w="0" w:type="dxa"/>
              <w:bottom w:w="0" w:type="dxa"/>
              <w:right w:w="0" w:type="dxa"/>
            </w:tcMar>
            <w:vAlign w:val="center"/>
          </w:tcPr>
          <w:p>
            <w:pPr>
              <w:pStyle w:val="TableContents"/>
              <w:bidi w:val="0"/>
              <w:spacing w:before="94" w:after="283"/>
              <w:jc w:val="right"/>
              <w:rPr>
                <w:rFonts w:ascii="Arial" w:hAnsi="Arial"/>
                <w:color w:val="000000"/>
                <w:sz w:val="18"/>
              </w:rPr>
            </w:pPr>
            <w:r>
              <w:rPr>
                <w:rFonts w:ascii="Arial" w:hAnsi="Arial"/>
                <w:color w:val="000000"/>
                <w:sz w:val="18"/>
              </w:rPr>
              <w:t>997,612,994</w:t>
            </w:r>
          </w:p>
        </w:tc>
      </w:tr>
    </w:tbl>
    <w:p>
      <w:pPr>
        <w:pStyle w:val="TextBody"/>
        <w:bidi w:val="0"/>
        <w:jc w:val="left"/>
        <w:rPr/>
      </w:pPr>
      <w:r>
        <w:rPr/>
        <w:t> </w:t>
      </w:r>
    </w:p>
    <w:p>
      <w:pPr>
        <w:pStyle w:val="TextBody"/>
        <w:bidi w:val="0"/>
        <w:spacing w:before="10"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4.2 Unquoted +securities (total number of each +class of +securities issued but not quoted on ASX)</w:t>
      </w:r>
    </w:p>
    <w:p>
      <w:pPr>
        <w:pStyle w:val="TextBody"/>
        <w:bidi w:val="0"/>
        <w:spacing w:before="2" w:after="283"/>
        <w:jc w:val="left"/>
        <w:rPr/>
      </w:pPr>
      <w:r>
        <w:rPr/>
        <w:t> </w:t>
      </w:r>
    </w:p>
    <w:tbl>
      <w:tblPr>
        <w:tblW w:w="7682" w:type="dxa"/>
        <w:jc w:val="left"/>
        <w:tblInd w:w="0" w:type="dxa"/>
        <w:tblLayout w:type="fixed"/>
        <w:tblCellMar>
          <w:top w:w="28" w:type="dxa"/>
          <w:left w:w="28" w:type="dxa"/>
          <w:bottom w:w="28" w:type="dxa"/>
          <w:right w:w="28" w:type="dxa"/>
        </w:tblCellMar>
      </w:tblPr>
      <w:tblGrid>
        <w:gridCol w:w="5806"/>
        <w:gridCol w:w="1876"/>
      </w:tblGrid>
      <w:tr>
        <w:trPr/>
        <w:tc>
          <w:tcPr>
            <w:tcW w:w="580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5806" w:type="dxa"/>
            <w:tcBorders/>
            <w:tcMar>
              <w:top w:w="0" w:type="dxa"/>
              <w:left w:w="0" w:type="dxa"/>
              <w:bottom w:w="0" w:type="dxa"/>
              <w:right w:w="0" w:type="dxa"/>
            </w:tcMar>
            <w:vAlign w:val="center"/>
          </w:tcPr>
          <w:p>
            <w:pPr>
              <w:pStyle w:val="TableContents"/>
              <w:bidi w:val="0"/>
              <w:spacing w:before="8" w:after="283"/>
              <w:jc w:val="left"/>
              <w:rPr/>
            </w:pPr>
            <w:r>
              <w:rPr/>
              <w:t> </w:t>
            </w:r>
          </w:p>
          <w:p>
            <w:pPr>
              <w:pStyle w:val="TableContents"/>
              <w:bidi w:val="0"/>
              <w:spacing w:before="0"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5806" w:type="dxa"/>
            <w:tcBorders/>
            <w:tcMar>
              <w:top w:w="0" w:type="dxa"/>
              <w:left w:w="0" w:type="dxa"/>
              <w:bottom w:w="0" w:type="dxa"/>
              <w:right w:w="0" w:type="dxa"/>
            </w:tcMar>
            <w:vAlign w:val="center"/>
          </w:tcPr>
          <w:p>
            <w:pPr>
              <w:pStyle w:val="TableContents"/>
              <w:bidi w:val="0"/>
              <w:spacing w:before="168" w:after="283"/>
              <w:jc w:val="left"/>
              <w:rPr>
                <w:rFonts w:ascii="Arial" w:hAnsi="Arial"/>
                <w:color w:val="000000"/>
                <w:sz w:val="18"/>
              </w:rPr>
            </w:pPr>
            <w:r>
              <w:rPr>
                <w:rFonts w:ascii="Arial" w:hAnsi="Arial"/>
                <w:color w:val="000000"/>
                <w:sz w:val="18"/>
              </w:rPr>
              <w:t>NVXAD : PERFORMANCE RIGHTS</w:t>
            </w:r>
          </w:p>
        </w:tc>
        <w:tc>
          <w:tcPr>
            <w:tcW w:w="1876" w:type="dxa"/>
            <w:tcBorders/>
            <w:tcMar>
              <w:top w:w="0" w:type="dxa"/>
              <w:left w:w="0" w:type="dxa"/>
              <w:bottom w:w="0" w:type="dxa"/>
              <w:right w:w="0" w:type="dxa"/>
            </w:tcMar>
            <w:vAlign w:val="center"/>
          </w:tcPr>
          <w:p>
            <w:pPr>
              <w:pStyle w:val="TableContents"/>
              <w:bidi w:val="0"/>
              <w:spacing w:before="168" w:after="283"/>
              <w:jc w:val="right"/>
              <w:rPr>
                <w:rFonts w:ascii="Arial" w:hAnsi="Arial"/>
                <w:color w:val="000000"/>
                <w:sz w:val="18"/>
              </w:rPr>
            </w:pPr>
            <w:r>
              <w:rPr>
                <w:rFonts w:ascii="Arial" w:hAnsi="Arial"/>
                <w:color w:val="000000"/>
                <w:sz w:val="18"/>
              </w:rPr>
              <w:t>21,565,395</w:t>
            </w:r>
          </w:p>
        </w:tc>
      </w:tr>
      <w:tr>
        <w:trPr/>
        <w:tc>
          <w:tcPr>
            <w:tcW w:w="5806" w:type="dxa"/>
            <w:tcBorders/>
            <w:tcMar>
              <w:top w:w="0" w:type="dxa"/>
              <w:left w:w="0" w:type="dxa"/>
              <w:bottom w:w="0" w:type="dxa"/>
              <w:right w:w="0" w:type="dxa"/>
            </w:tcMar>
            <w:vAlign w:val="center"/>
          </w:tcPr>
          <w:p>
            <w:pPr>
              <w:pStyle w:val="TableContents"/>
              <w:bidi w:val="0"/>
              <w:spacing w:before="2" w:after="283"/>
              <w:jc w:val="left"/>
              <w:rPr/>
            </w:pPr>
            <w:r>
              <w:rPr/>
              <w:t> </w:t>
            </w:r>
          </w:p>
          <w:p>
            <w:pPr>
              <w:pStyle w:val="TableContents"/>
              <w:bidi w:val="0"/>
              <w:spacing w:before="1" w:after="283"/>
              <w:jc w:val="left"/>
              <w:rPr>
                <w:rFonts w:ascii="Arial" w:hAnsi="Arial"/>
                <w:color w:val="000000"/>
                <w:sz w:val="18"/>
              </w:rPr>
            </w:pPr>
            <w:r>
              <w:rPr>
                <w:rFonts w:ascii="Arial" w:hAnsi="Arial"/>
                <w:color w:val="000000"/>
                <w:sz w:val="18"/>
              </w:rPr>
              <w:t>NVXAA : OPTION EXPIRING VARIOUS DATES EX VARIOUS PRICES</w:t>
            </w:r>
          </w:p>
        </w:tc>
        <w:tc>
          <w:tcPr>
            <w:tcW w:w="1876" w:type="dxa"/>
            <w:tcBorders/>
            <w:tcMar>
              <w:top w:w="0" w:type="dxa"/>
              <w:left w:w="0" w:type="dxa"/>
              <w:bottom w:w="0" w:type="dxa"/>
              <w:right w:w="0" w:type="dxa"/>
            </w:tcMar>
            <w:vAlign w:val="center"/>
          </w:tcPr>
          <w:p>
            <w:pPr>
              <w:pStyle w:val="TableContents"/>
              <w:bidi w:val="0"/>
              <w:spacing w:before="2" w:after="283"/>
              <w:jc w:val="left"/>
              <w:rPr/>
            </w:pPr>
            <w:r>
              <w:rPr/>
              <w:t> </w:t>
            </w:r>
          </w:p>
          <w:p>
            <w:pPr>
              <w:pStyle w:val="TableContents"/>
              <w:bidi w:val="0"/>
              <w:spacing w:before="1" w:after="283"/>
              <w:jc w:val="right"/>
              <w:rPr>
                <w:rFonts w:ascii="Arial" w:hAnsi="Arial"/>
                <w:color w:val="000000"/>
                <w:sz w:val="18"/>
              </w:rPr>
            </w:pPr>
            <w:r>
              <w:rPr>
                <w:rFonts w:ascii="Arial" w:hAnsi="Arial"/>
                <w:color w:val="000000"/>
                <w:sz w:val="18"/>
              </w:rPr>
              <w:t>14,016,667</w:t>
            </w:r>
          </w:p>
        </w:tc>
      </w:tr>
      <w:tr>
        <w:trPr/>
        <w:tc>
          <w:tcPr>
            <w:tcW w:w="5806" w:type="dxa"/>
            <w:tcBorders/>
            <w:tcMar>
              <w:top w:w="0" w:type="dxa"/>
              <w:left w:w="0" w:type="dxa"/>
              <w:bottom w:w="0" w:type="dxa"/>
              <w:right w:w="0" w:type="dxa"/>
            </w:tcMar>
            <w:vAlign w:val="center"/>
          </w:tcPr>
          <w:p>
            <w:pPr>
              <w:pStyle w:val="TableContents"/>
              <w:bidi w:val="0"/>
              <w:spacing w:before="2" w:after="283"/>
              <w:jc w:val="left"/>
              <w:rPr/>
            </w:pPr>
            <w:r>
              <w:rPr/>
              <w:t> </w:t>
            </w:r>
          </w:p>
          <w:p>
            <w:pPr>
              <w:pStyle w:val="TableContents"/>
              <w:bidi w:val="0"/>
              <w:spacing w:before="1" w:after="283"/>
              <w:jc w:val="left"/>
              <w:rPr>
                <w:rFonts w:ascii="Arial" w:hAnsi="Arial"/>
                <w:color w:val="000000"/>
                <w:sz w:val="18"/>
              </w:rPr>
            </w:pPr>
            <w:r>
              <w:rPr>
                <w:rFonts w:ascii="Arial" w:hAnsi="Arial"/>
                <w:color w:val="000000"/>
                <w:sz w:val="18"/>
              </w:rPr>
              <w:t>NVXAM : SHARE RIGHTS</w:t>
            </w:r>
          </w:p>
        </w:tc>
        <w:tc>
          <w:tcPr>
            <w:tcW w:w="1876" w:type="dxa"/>
            <w:tcBorders/>
            <w:tcMar>
              <w:top w:w="0" w:type="dxa"/>
              <w:left w:w="0" w:type="dxa"/>
              <w:bottom w:w="0" w:type="dxa"/>
              <w:right w:w="0" w:type="dxa"/>
            </w:tcMar>
            <w:vAlign w:val="center"/>
          </w:tcPr>
          <w:p>
            <w:pPr>
              <w:pStyle w:val="TableContents"/>
              <w:bidi w:val="0"/>
              <w:spacing w:before="2" w:after="283"/>
              <w:jc w:val="left"/>
              <w:rPr/>
            </w:pPr>
            <w:r>
              <w:rPr/>
              <w:t> </w:t>
            </w:r>
          </w:p>
          <w:p>
            <w:pPr>
              <w:pStyle w:val="TableContents"/>
              <w:bidi w:val="0"/>
              <w:spacing w:before="1" w:after="283"/>
              <w:jc w:val="right"/>
              <w:rPr>
                <w:rFonts w:ascii="Arial" w:hAnsi="Arial"/>
                <w:color w:val="000000"/>
                <w:sz w:val="18"/>
              </w:rPr>
            </w:pPr>
            <w:r>
              <w:rPr>
                <w:rFonts w:ascii="Arial" w:hAnsi="Arial"/>
                <w:color w:val="000000"/>
                <w:sz w:val="18"/>
              </w:rPr>
              <w:t>1,371,566</w:t>
            </w:r>
          </w:p>
        </w:tc>
      </w:tr>
      <w:tr>
        <w:trPr/>
        <w:tc>
          <w:tcPr>
            <w:tcW w:w="5806" w:type="dxa"/>
            <w:tcBorders/>
            <w:tcMar>
              <w:top w:w="0" w:type="dxa"/>
              <w:left w:w="0" w:type="dxa"/>
              <w:bottom w:w="0" w:type="dxa"/>
              <w:right w:w="0" w:type="dxa"/>
            </w:tcMar>
            <w:vAlign w:val="center"/>
          </w:tcPr>
          <w:p>
            <w:pPr>
              <w:pStyle w:val="TableContents"/>
              <w:bidi w:val="0"/>
              <w:spacing w:before="2" w:after="283"/>
              <w:jc w:val="left"/>
              <w:rPr/>
            </w:pPr>
            <w:r>
              <w:rPr/>
              <w:t> </w:t>
            </w:r>
          </w:p>
          <w:p>
            <w:pPr>
              <w:pStyle w:val="TableContents"/>
              <w:bidi w:val="0"/>
              <w:spacing w:before="1" w:after="283"/>
              <w:jc w:val="left"/>
              <w:rPr>
                <w:rFonts w:ascii="Arial" w:hAnsi="Arial"/>
                <w:color w:val="000000"/>
                <w:sz w:val="18"/>
              </w:rPr>
            </w:pPr>
            <w:r>
              <w:rPr>
                <w:rFonts w:ascii="Arial" w:hAnsi="Arial"/>
                <w:color w:val="000000"/>
                <w:sz w:val="18"/>
              </w:rPr>
              <w:t>NVXAL : CONVERTIBLE NOTES</w:t>
            </w:r>
          </w:p>
        </w:tc>
        <w:tc>
          <w:tcPr>
            <w:tcW w:w="1876" w:type="dxa"/>
            <w:tcBorders/>
            <w:tcMar>
              <w:top w:w="0" w:type="dxa"/>
              <w:left w:w="0" w:type="dxa"/>
              <w:bottom w:w="0" w:type="dxa"/>
              <w:right w:w="0" w:type="dxa"/>
            </w:tcMar>
            <w:vAlign w:val="center"/>
          </w:tcPr>
          <w:p>
            <w:pPr>
              <w:pStyle w:val="TableContents"/>
              <w:bidi w:val="0"/>
              <w:spacing w:before="2" w:after="283"/>
              <w:jc w:val="left"/>
              <w:rPr/>
            </w:pPr>
            <w:r>
              <w:rPr/>
              <w:t> </w:t>
            </w:r>
          </w:p>
          <w:p>
            <w:pPr>
              <w:pStyle w:val="TableContents"/>
              <w:bidi w:val="0"/>
              <w:spacing w:before="1" w:after="283"/>
              <w:jc w:val="right"/>
              <w:rPr>
                <w:rFonts w:ascii="Arial" w:hAnsi="Arial"/>
                <w:color w:val="000000"/>
                <w:sz w:val="18"/>
              </w:rPr>
            </w:pPr>
            <w:r>
              <w:rPr>
                <w:rFonts w:ascii="Arial" w:hAnsi="Arial"/>
                <w:color w:val="000000"/>
                <w:sz w:val="18"/>
              </w:rPr>
              <w:t>45,221,586</w:t>
            </w:r>
          </w:p>
        </w:tc>
      </w:tr>
      <w:tr>
        <w:trPr/>
        <w:tc>
          <w:tcPr>
            <w:tcW w:w="5806" w:type="dxa"/>
            <w:tcBorders/>
            <w:tcMar>
              <w:top w:w="0" w:type="dxa"/>
              <w:left w:w="0" w:type="dxa"/>
              <w:bottom w:w="0" w:type="dxa"/>
              <w:right w:w="0" w:type="dxa"/>
            </w:tcMar>
            <w:vAlign w:val="center"/>
          </w:tcPr>
          <w:p>
            <w:pPr>
              <w:pStyle w:val="TableContents"/>
              <w:bidi w:val="0"/>
              <w:spacing w:before="2" w:after="283"/>
              <w:jc w:val="left"/>
              <w:rPr/>
            </w:pPr>
            <w:r>
              <w:rPr/>
              <w:t> </w:t>
            </w:r>
          </w:p>
          <w:p>
            <w:pPr>
              <w:pStyle w:val="TableContents"/>
              <w:bidi w:val="0"/>
              <w:spacing w:before="1" w:after="283"/>
              <w:jc w:val="left"/>
              <w:rPr>
                <w:rFonts w:ascii="Arial" w:hAnsi="Arial"/>
                <w:color w:val="000000"/>
                <w:sz w:val="18"/>
              </w:rPr>
            </w:pPr>
            <w:r>
              <w:rPr>
                <w:rFonts w:ascii="Arial" w:hAnsi="Arial"/>
                <w:color w:val="000000"/>
                <w:sz w:val="18"/>
              </w:rPr>
              <w:t>NVXAH : CONVERTIBLE DEBENTURES</w:t>
            </w:r>
          </w:p>
        </w:tc>
        <w:tc>
          <w:tcPr>
            <w:tcW w:w="1876" w:type="dxa"/>
            <w:tcBorders/>
            <w:tcMar>
              <w:top w:w="0" w:type="dxa"/>
              <w:left w:w="0" w:type="dxa"/>
              <w:bottom w:w="0" w:type="dxa"/>
              <w:right w:w="0" w:type="dxa"/>
            </w:tcMar>
            <w:vAlign w:val="center"/>
          </w:tcPr>
          <w:p>
            <w:pPr>
              <w:pStyle w:val="TableContents"/>
              <w:bidi w:val="0"/>
              <w:spacing w:before="2" w:after="283"/>
              <w:jc w:val="left"/>
              <w:rPr/>
            </w:pPr>
            <w:r>
              <w:rPr/>
              <w:t> </w:t>
            </w:r>
          </w:p>
          <w:p>
            <w:pPr>
              <w:pStyle w:val="TableContents"/>
              <w:bidi w:val="0"/>
              <w:spacing w:before="1" w:after="283"/>
              <w:jc w:val="right"/>
              <w:rPr>
                <w:rFonts w:ascii="Arial" w:hAnsi="Arial"/>
                <w:color w:val="000000"/>
                <w:sz w:val="18"/>
              </w:rPr>
            </w:pPr>
            <w:r>
              <w:rPr>
                <w:rFonts w:ascii="Arial" w:hAnsi="Arial"/>
                <w:color w:val="000000"/>
                <w:sz w:val="18"/>
              </w:rPr>
              <w:t>35,000,000</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Roboto">
    <w:altName w:val="sans-serif"/>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1706</Words>
  <Characters>9491</Characters>
  <CharactersWithSpaces>11178</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