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nvx-6k-july-10-26_spp_cl.htm"/>
      <w:bookmarkStart w:id="1" w:name="ksnvx6kjuly1026_spp_cl"/>
      <w:bookmarkEnd w:id="0"/>
      <w:bookmarkEnd w:id="1"/>
      <w:r>
        <w:drawing>
          <wp:anchor behindDoc="0" distT="0" distB="0" distL="0" distR="0" simplePos="0" locked="0" layoutInCell="1" allowOverlap="1" relativeHeight="9">
            <wp:simplePos x="0" y="0"/>
            <wp:positionH relativeFrom="page">
              <wp:posOffset>6667500</wp:posOffset>
            </wp:positionH>
            <wp:positionV relativeFrom="page">
              <wp:posOffset>9239250</wp:posOffset>
            </wp:positionV>
            <wp:extent cx="693420" cy="705485"/>
            <wp:effectExtent l="0" t="0" r="0" b="0"/>
            <wp:wrapNone/>
            <wp:docPr id="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5" descr=""/>
                    <pic:cNvPicPr>
                      <a:picLocks noChangeAspect="1" noChangeArrowheads="1"/>
                    </pic:cNvPicPr>
                  </pic:nvPicPr>
                  <pic:blipFill>
                    <a:blip r:embed="rId2"/>
                    <a:stretch>
                      <a:fillRect/>
                    </a:stretch>
                  </pic:blipFill>
                  <pic:spPr bwMode="auto">
                    <a:xfrm>
                      <a:off x="0" y="0"/>
                      <a:ext cx="693420" cy="705485"/>
                    </a:xfrm>
                    <a:prstGeom prst="rect">
                      <a:avLst/>
                    </a:prstGeom>
                  </pic:spPr>
                </pic:pic>
              </a:graphicData>
            </a:graphic>
          </wp:anchor>
        </w:drawing>
        <w:drawing>
          <wp:anchor behindDoc="0" distT="0" distB="0" distL="0" distR="0" simplePos="0" locked="0" layoutInCell="1" allowOverlap="1" relativeHeight="6">
            <wp:simplePos x="0" y="0"/>
            <wp:positionH relativeFrom="page">
              <wp:posOffset>6667500</wp:posOffset>
            </wp:positionH>
            <wp:positionV relativeFrom="page">
              <wp:posOffset>9239250</wp:posOffset>
            </wp:positionV>
            <wp:extent cx="693420" cy="705485"/>
            <wp:effectExtent l="0" t="0" r="0" b="0"/>
            <wp:wrapNone/>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93420" cy="705485"/>
                    </a:xfrm>
                    <a:prstGeom prst="rect">
                      <a:avLst/>
                    </a:prstGeom>
                  </pic:spPr>
                </pic:pic>
              </a:graphicData>
            </a:graphic>
          </wp:anchor>
        </w:drawing>
      </w:r>
      <w:r>
        <w:rPr/>
        <w:t> </w:t>
      </w:r>
      <w:r>
        <mc:AlternateContent>
          <mc:Choice Requires="wps">
            <w:drawing>
              <wp:anchor behindDoc="0" distT="0" distB="0" distL="0" distR="0" simplePos="0" locked="0" layoutInCell="1" allowOverlap="1" relativeHeight="7">
                <wp:simplePos x="0" y="0"/>
                <wp:positionH relativeFrom="page">
                  <wp:posOffset>895350</wp:posOffset>
                </wp:positionH>
                <wp:positionV relativeFrom="page">
                  <wp:posOffset>9210675</wp:posOffset>
                </wp:positionV>
                <wp:extent cx="6438900" cy="175260"/>
                <wp:effectExtent l="0" t="0" r="0" b="0"/>
                <wp:wrapNone/>
                <wp:docPr id="3" name="Frame2"/>
                <a:graphic xmlns:a="http://schemas.openxmlformats.org/drawingml/2006/main">
                  <a:graphicData uri="http://schemas.microsoft.com/office/word/2010/wordprocessingShape">
                    <wps:wsp>
                      <wps:cNvSpPr txBox="1"/>
                      <wps:spPr>
                        <a:xfrm>
                          <a:off x="0" y="0"/>
                          <a:ext cx="64389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07pt;height:13.8pt;mso-wrap-distance-left:0pt;mso-wrap-distance-right:0pt;mso-wrap-distance-top:0pt;mso-wrap-distance-bottom:0pt;margin-top:725.25pt;mso-position-vertical-relative:page;margin-left:70.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895350</wp:posOffset>
                </wp:positionH>
                <wp:positionV relativeFrom="page">
                  <wp:posOffset>9210675</wp:posOffset>
                </wp:positionV>
                <wp:extent cx="6438900" cy="175260"/>
                <wp:effectExtent l="0" t="0" r="0" b="0"/>
                <wp:wrapNone/>
                <wp:docPr id="4" name="Frame1"/>
                <a:graphic xmlns:a="http://schemas.openxmlformats.org/drawingml/2006/main">
                  <a:graphicData uri="http://schemas.microsoft.com/office/word/2010/wordprocessingShape">
                    <wps:wsp>
                      <wps:cNvSpPr txBox="1"/>
                      <wps:spPr>
                        <a:xfrm>
                          <a:off x="0" y="0"/>
                          <a:ext cx="64389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07pt;height:13.8pt;mso-wrap-distance-left:0pt;mso-wrap-distance-right:0pt;mso-wrap-distance-top:0pt;mso-wrap-distance-bottom:0pt;margin-top:725.25pt;mso-position-vertical-relative:page;margin-left:70.5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REPORT OF FOREIGN PRIVATE ISSUER PURSUANT TO RULE 13a-16 OR 15d-16 UNDER THE</w:t>
      </w:r>
    </w:p>
    <w:p>
      <w:pPr>
        <w:pStyle w:val="TextBody"/>
        <w:bidi w:val="0"/>
        <w:jc w:val="center"/>
        <w:rPr>
          <w:rFonts w:ascii="Times New Roman" w:hAnsi="Times New Roman"/>
          <w:b/>
          <w:color w:val="000000"/>
          <w:sz w:val="22"/>
        </w:rPr>
      </w:pPr>
      <w:r>
        <w:rPr>
          <w:rFonts w:ascii="Times New Roman" w:hAnsi="Times New Roman"/>
          <w:b/>
          <w:color w:val="000000"/>
          <w:sz w:val="22"/>
        </w:rPr>
        <w:t>SECURITIES EXCHANGE ACT OF 1934</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For the month of July, 2026</w:t>
      </w:r>
    </w:p>
    <w:p>
      <w:pPr>
        <w:pStyle w:val="TextBody"/>
        <w:bidi w:val="0"/>
        <w:jc w:val="left"/>
        <w:rPr/>
      </w:pPr>
      <w:r>
        <w:rPr/>
        <w:t> </w:t>
      </w:r>
    </w:p>
    <w:tbl>
      <w:tblPr>
        <w:tblW w:w="2648" w:type="dxa"/>
        <w:jc w:val="left"/>
        <w:tblInd w:w="0" w:type="dxa"/>
        <w:tblLayout w:type="fixed"/>
        <w:tblCellMar>
          <w:top w:w="28" w:type="dxa"/>
          <w:left w:w="28" w:type="dxa"/>
          <w:bottom w:w="28" w:type="dxa"/>
          <w:right w:w="28" w:type="dxa"/>
        </w:tblCellMar>
      </w:tblPr>
      <w:tblGrid>
        <w:gridCol w:w="161"/>
        <w:gridCol w:w="22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001-41208</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NOVONIX LIMITED</w:t>
      </w:r>
    </w:p>
    <w:p>
      <w:pPr>
        <w:pStyle w:val="TextBody"/>
        <w:bidi w:val="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Level 38</w:t>
      </w:r>
    </w:p>
    <w:p>
      <w:pPr>
        <w:pStyle w:val="TextBody"/>
        <w:bidi w:val="0"/>
        <w:jc w:val="center"/>
        <w:rPr>
          <w:rFonts w:ascii="Times New Roman" w:hAnsi="Times New Roman"/>
          <w:color w:val="000000"/>
          <w:sz w:val="20"/>
        </w:rPr>
      </w:pPr>
      <w:r>
        <w:rPr>
          <w:rFonts w:ascii="Times New Roman" w:hAnsi="Times New Roman"/>
          <w:color w:val="000000"/>
          <w:sz w:val="20"/>
        </w:rPr>
        <w:t>71 Eagle Street</w:t>
      </w:r>
    </w:p>
    <w:p>
      <w:pPr>
        <w:pStyle w:val="TextBody"/>
        <w:bidi w:val="0"/>
        <w:jc w:val="center"/>
        <w:rPr>
          <w:rFonts w:ascii="Times New Roman" w:hAnsi="Times New Roman"/>
          <w:color w:val="000000"/>
          <w:sz w:val="20"/>
        </w:rPr>
      </w:pPr>
      <w:r>
        <w:rPr>
          <w:rFonts w:ascii="Times New Roman" w:hAnsi="Times New Roman"/>
          <w:color w:val="000000"/>
          <w:sz w:val="20"/>
        </w:rPr>
        <w:t>Brisbane, QLD 4000 Australia</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w:t>
        <w:noBreakHyphen/>
        <w:t>F or Form 40</w:t>
        <w:noBreakHyphen/>
        <w:t>F.</w:t>
      </w:r>
    </w:p>
    <w:p>
      <w:pPr>
        <w:pStyle w:val="TextBody"/>
        <w:bidi w:val="0"/>
        <w:jc w:val="left"/>
        <w:rPr>
          <w:rFonts w:ascii="Times New Roman" w:hAnsi="Times New Roman"/>
          <w:sz w:val="20"/>
        </w:rPr>
      </w:pPr>
      <w:r>
        <w:rPr>
          <w:rFonts w:ascii="Times New Roman" w:hAnsi="Times New Roman"/>
          <w:color w:val="000000"/>
          <w:sz w:val="20"/>
        </w:rPr>
        <w:t xml:space="preserve">Form 20-F </w:t>
      </w:r>
      <w:r>
        <w:rPr>
          <w:rFonts w:ascii="Times New Roman" w:hAnsi="Times New Roman"/>
          <w:sz w:val="20"/>
        </w:rPr>
        <w:t>☒</w:t>
      </w:r>
      <w:r>
        <w:rPr>
          <w:rFonts w:ascii="Times New Roman" w:hAnsi="Times New Roman"/>
          <w:color w:val="000000"/>
          <w:sz w:val="20"/>
        </w:rPr>
        <w:t xml:space="preserve"> Form 40-F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101(b)(1):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101(b)(7): </w:t>
      </w:r>
      <w:r>
        <w:rPr>
          <w:rFonts w:ascii="Times New Roman" w:hAnsi="Times New Roman"/>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8248" w:type="dxa"/>
        <w:jc w:val="left"/>
        <w:tblInd w:w="0" w:type="dxa"/>
        <w:tblLayout w:type="fixed"/>
        <w:tblCellMar>
          <w:top w:w="28" w:type="dxa"/>
          <w:left w:w="28" w:type="dxa"/>
          <w:bottom w:w="28" w:type="dxa"/>
          <w:right w:w="28" w:type="dxa"/>
        </w:tblCellMar>
      </w:tblPr>
      <w:tblGrid>
        <w:gridCol w:w="1141"/>
        <w:gridCol w:w="146"/>
        <w:gridCol w:w="6961"/>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1"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61" w:type="dxa"/>
            <w:tcBorders/>
            <w:tcMar>
              <w:top w:w="0" w:type="dxa"/>
              <w:left w:w="0" w:type="dxa"/>
              <w:bottom w:w="0" w:type="dxa"/>
              <w:right w:w="0" w:type="dxa"/>
            </w:tcMar>
            <w:vAlign w:val="center"/>
          </w:tcPr>
          <w:p>
            <w:pPr>
              <w:pStyle w:val="TableContents"/>
              <w:bidi w:val="0"/>
              <w:spacing w:before="0" w:after="283"/>
              <w:jc w:val="left"/>
              <w:rPr/>
            </w:pPr>
            <w:hyperlink w:anchor="nvx-ex99_1.htm">
              <w:r>
                <w:rPr>
                  <w:rStyle w:val="InternetLink"/>
                  <w:rFonts w:ascii="Times New Roman" w:hAnsi="Times New Roman"/>
                  <w:color w:val="0000FF"/>
                  <w:sz w:val="20"/>
                  <w:u w:val="single"/>
                </w:rPr>
                <w:t>ASX Announcement (Share Purchase Plan - Updated Timetable) dated July 10, 2026</w:t>
              </w:r>
            </w:hyperlink>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3298" w:type="dxa"/>
        <w:jc w:val="left"/>
        <w:tblInd w:w="0" w:type="dxa"/>
        <w:tblLayout w:type="fixed"/>
        <w:tblCellMar>
          <w:top w:w="28" w:type="dxa"/>
          <w:left w:w="28" w:type="dxa"/>
          <w:bottom w:w="28" w:type="dxa"/>
          <w:right w:w="28" w:type="dxa"/>
        </w:tblCellMar>
      </w:tblPr>
      <w:tblGrid>
        <w:gridCol w:w="421"/>
        <w:gridCol w:w="476"/>
        <w:gridCol w:w="2401"/>
      </w:tblGrid>
      <w:tr>
        <w:trPr/>
        <w:tc>
          <w:tcPr>
            <w:tcW w:w="42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NOVONIX LIMITED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Mike O'Kronley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Mike O'Kronley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July 10, 2026</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Arial" w:hAnsi="Arial"/>
          <w:b/>
          <w:color w:val="000000"/>
          <w:sz w:val="22"/>
        </w:rPr>
      </w:pPr>
      <w:bookmarkStart w:id="2" w:name="nvx-ex99_1.htm"/>
      <w:bookmarkStart w:id="3" w:name="ksnvxex99_1"/>
      <w:bookmarkEnd w:id="2"/>
      <w:bookmarkEnd w:id="3"/>
      <w:r>
        <w:rPr>
          <w:rFonts w:ascii="Arial" w:hAnsi="Arial"/>
          <w:b/>
          <w:color w:val="000000"/>
          <w:sz w:val="22"/>
        </w:rPr>
        <w:t>EXHIBIT 99.1</w:t>
      </w:r>
      <w:r>
        <w:br w:type="page"/>
      </w:r>
    </w:p>
    <w:p>
      <w:pPr>
        <w:pStyle w:val="TextBody"/>
        <w:bidi w:val="0"/>
        <w:jc w:val="right"/>
        <w:rPr/>
      </w:pPr>
      <w:r>
        <w:rPr/>
        <w:drawing>
          <wp:inline distT="0" distB="0" distL="0" distR="0">
            <wp:extent cx="2543175" cy="40957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2543175" cy="409575"/>
                    </a:xfrm>
                    <a:prstGeom prst="rect">
                      <a:avLst/>
                    </a:prstGeom>
                  </pic:spPr>
                </pic:pic>
              </a:graphicData>
            </a:graphic>
          </wp:inline>
        </w:drawing>
      </w:r>
    </w:p>
    <w:p>
      <w:pPr>
        <w:pStyle w:val="TextBody"/>
        <w:bidi w:val="0"/>
        <w:jc w:val="right"/>
        <w:rPr/>
      </w:pPr>
      <w:r>
        <w:rPr/>
        <w:t> </w:t>
      </w:r>
    </w:p>
    <w:p>
      <w:pPr>
        <w:pStyle w:val="TextBody"/>
        <w:bidi w:val="0"/>
        <w:jc w:val="right"/>
        <w:rPr>
          <w:rFonts w:ascii="Aptos;sans-serif" w:hAnsi="Aptos;sans-serif"/>
          <w:b/>
          <w:caps/>
          <w:color w:val="00AE42"/>
          <w:sz w:val="26"/>
        </w:rPr>
      </w:pPr>
      <w:r>
        <w:rPr>
          <w:rFonts w:ascii="Aptos;sans-serif" w:hAnsi="Aptos;sans-serif"/>
          <w:b/>
          <w:caps/>
          <w:color w:val="00AE42"/>
          <w:sz w:val="26"/>
        </w:rPr>
        <w:t>Asx Announcement</w:t>
      </w:r>
    </w:p>
    <w:p>
      <w:pPr>
        <w:pStyle w:val="TextBody"/>
        <w:bidi w:val="0"/>
        <w:jc w:val="right"/>
        <w:rPr>
          <w:rFonts w:ascii="Times New Roman" w:hAnsi="Times New Roman"/>
          <w:sz w:val="20"/>
        </w:rPr>
      </w:pPr>
      <w:r>
        <w:rPr>
          <w:rFonts w:ascii="Aptos;sans-serif" w:hAnsi="Aptos;sans-serif"/>
          <w:color w:val="000000"/>
          <w:sz w:val="26"/>
        </w:rPr>
        <w:t xml:space="preserve">(ASX: </w:t>
      </w:r>
      <w:r>
        <w:rPr>
          <w:rFonts w:ascii="Aptos;sans-serif" w:hAnsi="Aptos;sans-serif"/>
          <w:b/>
          <w:color w:val="000000"/>
          <w:sz w:val="26"/>
        </w:rPr>
        <w:t>NVX</w:t>
      </w:r>
      <w:r>
        <w:rPr>
          <w:rFonts w:ascii="Aptos;sans-serif" w:hAnsi="Aptos;sans-serif"/>
          <w:color w:val="000000"/>
          <w:sz w:val="26"/>
        </w:rPr>
        <w:t>)</w:t>
      </w:r>
    </w:p>
    <w:p>
      <w:pPr>
        <w:pStyle w:val="TextBody"/>
        <w:bidi w:val="0"/>
        <w:jc w:val="left"/>
        <w:rPr>
          <w:rFonts w:ascii="Aptos;sans-serif" w:hAnsi="Aptos;sans-serif"/>
          <w:b/>
          <w:color w:val="000000"/>
          <w:sz w:val="24"/>
        </w:rPr>
      </w:pPr>
      <w:r>
        <w:rPr>
          <w:rFonts w:ascii="Aptos;sans-serif" w:hAnsi="Aptos;sans-serif"/>
          <w:b/>
          <w:color w:val="000000"/>
          <w:sz w:val="24"/>
        </w:rPr>
        <w:br/>
        <w:t>NOT FOR RELEASE TO US WIRE SERVICES OR DISTRIBUTION IN THE UNITED STATES</w:t>
      </w:r>
    </w:p>
    <w:p>
      <w:pPr>
        <w:pStyle w:val="TextBody"/>
        <w:bidi w:val="0"/>
        <w:jc w:val="left"/>
        <w:rPr/>
      </w:pPr>
      <w:r>
        <w:rPr/>
        <w:t> </w:t>
      </w:r>
    </w:p>
    <w:p>
      <w:pPr>
        <w:pStyle w:val="TextBody"/>
        <w:bidi w:val="0"/>
        <w:spacing w:before="0" w:after="240"/>
        <w:jc w:val="left"/>
        <w:rPr>
          <w:rFonts w:ascii="Aptos;sans-serif" w:hAnsi="Aptos;sans-serif"/>
          <w:b/>
          <w:color w:val="00AE42"/>
          <w:sz w:val="40"/>
        </w:rPr>
      </w:pPr>
      <w:r>
        <w:rPr>
          <w:rFonts w:ascii="Aptos;sans-serif" w:hAnsi="Aptos;sans-serif"/>
          <w:b/>
          <w:color w:val="00AE42"/>
          <w:sz w:val="40"/>
        </w:rPr>
        <w:t>Share Purchase Plan – Updated Timetable</w:t>
      </w:r>
    </w:p>
    <w:p>
      <w:pPr>
        <w:pStyle w:val="TextBody"/>
        <w:bidi w:val="0"/>
        <w:spacing w:before="0" w:after="160"/>
        <w:jc w:val="left"/>
        <w:rPr>
          <w:rFonts w:ascii="Times New Roman" w:hAnsi="Times New Roman"/>
          <w:sz w:val="20"/>
        </w:rPr>
      </w:pPr>
      <w:r>
        <w:rPr>
          <w:rFonts w:ascii="Aptos;sans-serif" w:hAnsi="Aptos;sans-serif"/>
          <w:b/>
          <w:color w:val="000000"/>
          <w:sz w:val="26"/>
        </w:rPr>
        <w:t>BRISBANE, Australia, July 10, 2026</w:t>
      </w:r>
      <w:r>
        <w:rPr>
          <w:rFonts w:ascii="Times New Roman" w:hAnsi="Times New Roman"/>
          <w:color w:val="000000"/>
          <w:sz w:val="20"/>
        </w:rPr>
        <w:t xml:space="preserve"> </w:t>
      </w:r>
      <w:r>
        <w:rPr>
          <w:rFonts w:ascii="Aptos;sans-serif" w:hAnsi="Aptos;sans-serif"/>
          <w:color w:val="000000"/>
          <w:sz w:val="24"/>
        </w:rPr>
        <w:t>- NOVONIX Limited (NASDAQ: NVX, ASX: NVX) (“NOVONIX” or “the Company”) a leading battery materials and technology company, provides an update in relation to the Share Purchase Plan ("SPP") announced on 17 June 2026.</w:t>
      </w:r>
    </w:p>
    <w:p>
      <w:pPr>
        <w:pStyle w:val="TextBody"/>
        <w:bidi w:val="0"/>
        <w:spacing w:before="0" w:after="160"/>
        <w:jc w:val="left"/>
        <w:rPr>
          <w:rFonts w:ascii="Times New Roman" w:hAnsi="Times New Roman"/>
          <w:sz w:val="20"/>
        </w:rPr>
      </w:pPr>
      <w:r>
        <w:rPr>
          <w:rFonts w:ascii="Aptos;sans-serif" w:hAnsi="Aptos;sans-serif"/>
          <w:color w:val="000000"/>
          <w:sz w:val="24"/>
        </w:rPr>
        <w:t>Following receipt of the waivers sought by the Company from ASX Listing Rules 7.1 and 10.11 as announced on 6 July 2026,</w:t>
      </w:r>
      <w:r>
        <w:rPr>
          <w:rFonts w:ascii="Aptos;sans-serif" w:hAnsi="Aptos;sans-serif"/>
          <w:color w:val="000000"/>
          <w:sz w:val="16"/>
        </w:rPr>
        <w:t>1</w:t>
      </w:r>
      <w:r>
        <w:rPr>
          <w:rFonts w:ascii="Times New Roman" w:hAnsi="Times New Roman"/>
          <w:color w:val="000000"/>
          <w:sz w:val="20"/>
        </w:rPr>
        <w:t xml:space="preserve"> </w:t>
      </w:r>
      <w:r>
        <w:rPr>
          <w:rFonts w:ascii="Aptos;sans-serif" w:hAnsi="Aptos;sans-serif"/>
          <w:color w:val="000000"/>
          <w:sz w:val="24"/>
        </w:rPr>
        <w:t>the Company advises that it has revised the SPP timetable and will bring forward the SPP Closing Date. The SPP will now close at 5:00pm AEST on Friday, 17 July 2026 ("Revised Closing Date"), instead of the previously announced closing date of 14 August 2026.</w:t>
      </w:r>
    </w:p>
    <w:p>
      <w:pPr>
        <w:pStyle w:val="TextBody"/>
        <w:bidi w:val="0"/>
        <w:jc w:val="left"/>
        <w:rPr>
          <w:rFonts w:ascii="Times New Roman" w:hAnsi="Times New Roman"/>
          <w:sz w:val="20"/>
        </w:rPr>
      </w:pPr>
      <w:r>
        <w:rPr>
          <w:rFonts w:ascii="Aptos;sans-serif" w:hAnsi="Aptos;sans-serif"/>
          <w:color w:val="000000"/>
          <w:sz w:val="24"/>
        </w:rPr>
        <w:t>You must ensure that your application and payment are received (in cleared funds) by 5:00pm (Sydney time) on the Revised Closing Date. The Company advises that any further applications or payments under the SPP received after the Revised Closing Date will not be accepted, and the relevant application monies will be returned in full to the applicant (without interest), as soon as practicable after the Allotment Date.</w:t>
      </w:r>
      <w:r>
        <w:rPr>
          <w:rFonts w:ascii="Times New Roman" w:hAnsi="Times New Roman"/>
          <w:color w:val="000000"/>
          <w:sz w:val="20"/>
        </w:rPr>
        <w:t xml:space="preserve"> </w:t>
      </w:r>
    </w:p>
    <w:p>
      <w:pPr>
        <w:pStyle w:val="TextBody"/>
        <w:bidi w:val="0"/>
        <w:jc w:val="left"/>
        <w:rPr/>
      </w:pPr>
      <w:r>
        <w:rPr/>
        <w:t> </w:t>
      </w:r>
    </w:p>
    <w:p>
      <w:pPr>
        <w:pStyle w:val="TextBody"/>
        <w:bidi w:val="0"/>
        <w:spacing w:before="0" w:after="120"/>
        <w:jc w:val="left"/>
        <w:rPr>
          <w:rFonts w:ascii="Aptos;sans-serif" w:hAnsi="Aptos;sans-serif"/>
          <w:color w:val="000000"/>
          <w:sz w:val="24"/>
        </w:rPr>
      </w:pPr>
      <w:r>
        <w:rPr>
          <w:rFonts w:ascii="Aptos;sans-serif" w:hAnsi="Aptos;sans-serif"/>
          <w:color w:val="000000"/>
          <w:sz w:val="24"/>
        </w:rPr>
        <w:t>The revised indicative timetable is set out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93"/>
        <w:gridCol w:w="3512"/>
      </w:tblGrid>
      <w:tr>
        <w:trPr/>
        <w:tc>
          <w:tcPr>
            <w:tcW w:w="6693" w:type="dxa"/>
            <w:tcBorders/>
            <w:vAlign w:val="center"/>
          </w:tcPr>
          <w:p>
            <w:pPr>
              <w:pStyle w:val="TableContents"/>
              <w:bidi w:val="0"/>
              <w:spacing w:before="0" w:after="283"/>
              <w:jc w:val="left"/>
              <w:rPr>
                <w:sz w:val="4"/>
                <w:szCs w:val="4"/>
              </w:rPr>
            </w:pPr>
            <w:r>
              <w:rPr>
                <w:sz w:val="4"/>
                <w:szCs w:val="4"/>
              </w:rPr>
            </w:r>
          </w:p>
        </w:tc>
        <w:tc>
          <w:tcPr>
            <w:tcW w:w="3512" w:type="dxa"/>
            <w:tcBorders/>
            <w:vAlign w:val="center"/>
          </w:tcPr>
          <w:p>
            <w:pPr>
              <w:pStyle w:val="TableContents"/>
              <w:bidi w:val="0"/>
              <w:spacing w:before="0" w:after="283"/>
              <w:jc w:val="left"/>
              <w:rPr>
                <w:sz w:val="4"/>
                <w:szCs w:val="4"/>
              </w:rPr>
            </w:pPr>
            <w:r>
              <w:rPr>
                <w:sz w:val="4"/>
                <w:szCs w:val="4"/>
              </w:rPr>
            </w:r>
          </w:p>
        </w:tc>
      </w:tr>
      <w:tr>
        <w:trPr/>
        <w:tc>
          <w:tcPr>
            <w:tcW w:w="6693" w:type="dxa"/>
            <w:tcBorders>
              <w:top w:val="single" w:sz="4" w:space="0" w:color="CFD2D3"/>
              <w:left w:val="single" w:sz="4" w:space="0" w:color="CFD2D3"/>
            </w:tcBorders>
            <w:shd w:fill="00AE42" w:val="clear"/>
            <w:tcMar>
              <w:left w:w="108" w:type="dxa"/>
              <w:bottom w:w="0" w:type="dxa"/>
              <w:right w:w="0" w:type="dxa"/>
            </w:tcMar>
            <w:vAlign w:val="center"/>
          </w:tcPr>
          <w:p>
            <w:pPr>
              <w:pStyle w:val="TableContents"/>
              <w:bidi w:val="0"/>
              <w:spacing w:before="0" w:after="283"/>
              <w:jc w:val="left"/>
              <w:rPr>
                <w:rFonts w:ascii="Aptos;sans-serif" w:hAnsi="Aptos;sans-serif"/>
                <w:b/>
                <w:color w:val="FFFFFF"/>
                <w:sz w:val="24"/>
              </w:rPr>
            </w:pPr>
            <w:r>
              <w:rPr>
                <w:rFonts w:ascii="Aptos;sans-serif" w:hAnsi="Aptos;sans-serif"/>
                <w:b/>
                <w:color w:val="FFFFFF"/>
                <w:sz w:val="24"/>
              </w:rPr>
              <w:t>Event</w:t>
            </w:r>
          </w:p>
        </w:tc>
        <w:tc>
          <w:tcPr>
            <w:tcW w:w="3512" w:type="dxa"/>
            <w:tcBorders>
              <w:top w:val="single" w:sz="4" w:space="0" w:color="CFD2D3"/>
              <w:right w:val="single" w:sz="4" w:space="0" w:color="CFD2D3"/>
            </w:tcBorders>
            <w:shd w:fill="00AE42" w:val="clear"/>
            <w:tcMar>
              <w:left w:w="0" w:type="dxa"/>
              <w:bottom w:w="0" w:type="dxa"/>
              <w:right w:w="108" w:type="dxa"/>
            </w:tcMar>
            <w:vAlign w:val="center"/>
          </w:tcPr>
          <w:p>
            <w:pPr>
              <w:pStyle w:val="TableContents"/>
              <w:bidi w:val="0"/>
              <w:spacing w:before="0" w:after="283"/>
              <w:jc w:val="left"/>
              <w:rPr>
                <w:rFonts w:ascii="Aptos;sans-serif" w:hAnsi="Aptos;sans-serif"/>
                <w:b/>
                <w:color w:val="FFFFFF"/>
                <w:sz w:val="24"/>
              </w:rPr>
            </w:pPr>
            <w:r>
              <w:rPr>
                <w:rFonts w:ascii="Aptos;sans-serif" w:hAnsi="Aptos;sans-serif"/>
                <w:b/>
                <w:color w:val="FFFFFF"/>
                <w:sz w:val="24"/>
              </w:rPr>
              <w:t>Date (and time if relevant)</w:t>
            </w:r>
          </w:p>
        </w:tc>
      </w:tr>
      <w:tr>
        <w:trPr/>
        <w:tc>
          <w:tcPr>
            <w:tcW w:w="6693" w:type="dxa"/>
            <w:tcBorders>
              <w:left w:val="single" w:sz="4" w:space="0" w:color="CFD2D3"/>
            </w:tcBorders>
            <w:tcMar>
              <w:top w:w="0" w:type="dxa"/>
              <w:left w:w="108"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Record date for the SPP</w:t>
            </w:r>
          </w:p>
        </w:tc>
        <w:tc>
          <w:tcPr>
            <w:tcW w:w="3512" w:type="dxa"/>
            <w:tcBorders>
              <w:right w:val="single" w:sz="4" w:space="0" w:color="CFD2D3"/>
            </w:tcBorders>
            <w:tcMar>
              <w:top w:w="0" w:type="dxa"/>
              <w:left w:w="0" w:type="dxa"/>
              <w:bottom w:w="0" w:type="dxa"/>
              <w:right w:w="108"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7:00pm on 16 June 2026</w:t>
            </w:r>
          </w:p>
        </w:tc>
      </w:tr>
      <w:tr>
        <w:trPr/>
        <w:tc>
          <w:tcPr>
            <w:tcW w:w="6693" w:type="dxa"/>
            <w:tcBorders>
              <w:left w:val="single" w:sz="4" w:space="0" w:color="CFD2D3"/>
            </w:tcBorders>
            <w:tcMar>
              <w:top w:w="0" w:type="dxa"/>
              <w:left w:w="108"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Opening Date and date that the SPP Booklet is made available</w:t>
            </w:r>
          </w:p>
        </w:tc>
        <w:tc>
          <w:tcPr>
            <w:tcW w:w="3512" w:type="dxa"/>
            <w:tcBorders>
              <w:right w:val="single" w:sz="4" w:space="0" w:color="CFD2D3"/>
            </w:tcBorders>
            <w:tcMar>
              <w:top w:w="0" w:type="dxa"/>
              <w:left w:w="0" w:type="dxa"/>
              <w:bottom w:w="0" w:type="dxa"/>
              <w:right w:w="108"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10:00am on 22 June 2026</w:t>
            </w:r>
          </w:p>
        </w:tc>
      </w:tr>
      <w:tr>
        <w:trPr/>
        <w:tc>
          <w:tcPr>
            <w:tcW w:w="6693" w:type="dxa"/>
            <w:tcBorders>
              <w:left w:val="single" w:sz="4" w:space="0" w:color="CFD2D3"/>
            </w:tcBorders>
            <w:tcMar>
              <w:top w:w="0" w:type="dxa"/>
              <w:left w:w="108" w:type="dxa"/>
              <w:bottom w:w="0" w:type="dxa"/>
              <w:right w:w="0" w:type="dxa"/>
            </w:tcMar>
            <w:vAlign w:val="center"/>
          </w:tcPr>
          <w:p>
            <w:pPr>
              <w:pStyle w:val="TableContents"/>
              <w:bidi w:val="0"/>
              <w:spacing w:before="0" w:after="283"/>
              <w:jc w:val="left"/>
              <w:rPr>
                <w:rFonts w:ascii="Times New Roman" w:hAnsi="Times New Roman"/>
                <w:sz w:val="22"/>
              </w:rPr>
            </w:pPr>
            <w:r>
              <w:rPr>
                <w:rFonts w:ascii="Aptos;sans-serif" w:hAnsi="Aptos;sans-serif"/>
                <w:color w:val="000000"/>
                <w:sz w:val="22"/>
              </w:rPr>
              <w:t>Revised Closing Date</w:t>
            </w:r>
            <w:r>
              <w:rPr>
                <w:rFonts w:ascii="Times New Roman" w:hAnsi="Times New Roman"/>
                <w:color w:val="000000"/>
                <w:sz w:val="22"/>
              </w:rPr>
              <w:t xml:space="preserve"> </w:t>
            </w:r>
          </w:p>
        </w:tc>
        <w:tc>
          <w:tcPr>
            <w:tcW w:w="3512" w:type="dxa"/>
            <w:tcBorders>
              <w:right w:val="single" w:sz="4" w:space="0" w:color="CFD2D3"/>
            </w:tcBorders>
            <w:tcMar>
              <w:top w:w="0" w:type="dxa"/>
              <w:left w:w="0" w:type="dxa"/>
              <w:bottom w:w="0" w:type="dxa"/>
              <w:right w:w="108"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5:00pm on 17 July 2026</w:t>
            </w:r>
          </w:p>
        </w:tc>
      </w:tr>
      <w:tr>
        <w:trPr/>
        <w:tc>
          <w:tcPr>
            <w:tcW w:w="6693" w:type="dxa"/>
            <w:tcBorders>
              <w:left w:val="single" w:sz="4" w:space="0" w:color="CFD2D3"/>
            </w:tcBorders>
            <w:tcMar>
              <w:top w:w="0" w:type="dxa"/>
              <w:left w:w="108"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SPP results announcement</w:t>
            </w:r>
          </w:p>
        </w:tc>
        <w:tc>
          <w:tcPr>
            <w:tcW w:w="3512" w:type="dxa"/>
            <w:tcBorders>
              <w:right w:val="single" w:sz="4" w:space="0" w:color="CFD2D3"/>
            </w:tcBorders>
            <w:tcMar>
              <w:top w:w="0" w:type="dxa"/>
              <w:left w:w="0" w:type="dxa"/>
              <w:bottom w:w="0" w:type="dxa"/>
              <w:right w:w="108"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On or about 20 July 2026</w:t>
            </w:r>
          </w:p>
        </w:tc>
      </w:tr>
      <w:tr>
        <w:trPr/>
        <w:tc>
          <w:tcPr>
            <w:tcW w:w="6693" w:type="dxa"/>
            <w:tcBorders>
              <w:left w:val="single" w:sz="4" w:space="0" w:color="CFD2D3"/>
            </w:tcBorders>
            <w:tcMar>
              <w:top w:w="0" w:type="dxa"/>
              <w:left w:w="108"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Allotment Date</w:t>
            </w:r>
          </w:p>
        </w:tc>
        <w:tc>
          <w:tcPr>
            <w:tcW w:w="3512" w:type="dxa"/>
            <w:tcBorders>
              <w:right w:val="single" w:sz="4" w:space="0" w:color="CFD2D3"/>
            </w:tcBorders>
            <w:tcMar>
              <w:top w:w="0" w:type="dxa"/>
              <w:left w:w="0" w:type="dxa"/>
              <w:bottom w:w="0" w:type="dxa"/>
              <w:right w:w="108"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On or about 22 July 2026</w:t>
            </w:r>
          </w:p>
        </w:tc>
      </w:tr>
      <w:tr>
        <w:trPr/>
        <w:tc>
          <w:tcPr>
            <w:tcW w:w="6693" w:type="dxa"/>
            <w:tcBorders>
              <w:left w:val="single" w:sz="4" w:space="0" w:color="CFD2D3"/>
              <w:bottom w:val="single" w:sz="4" w:space="0" w:color="CFD2D3"/>
            </w:tcBorders>
            <w:tcMar>
              <w:top w:w="0" w:type="dxa"/>
              <w:left w:w="108"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Commencement of trading of Shares</w:t>
            </w:r>
          </w:p>
        </w:tc>
        <w:tc>
          <w:tcPr>
            <w:tcW w:w="3512" w:type="dxa"/>
            <w:tcBorders>
              <w:bottom w:val="single" w:sz="4" w:space="0" w:color="CFD2D3"/>
              <w:right w:val="single" w:sz="4" w:space="0" w:color="CFD2D3"/>
            </w:tcBorders>
            <w:tcMar>
              <w:top w:w="0" w:type="dxa"/>
              <w:left w:w="0" w:type="dxa"/>
              <w:right w:w="108"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On or about 23 July 2026</w:t>
            </w:r>
          </w:p>
        </w:tc>
      </w:tr>
    </w:tbl>
    <w:p>
      <w:pPr>
        <w:pStyle w:val="TextBody"/>
        <w:bidi w:val="0"/>
        <w:jc w:val="left"/>
        <w:rPr>
          <w:rFonts w:ascii="Times New Roman" w:hAnsi="Times New Roman"/>
          <w:sz w:val="20"/>
        </w:rPr>
      </w:pPr>
      <w:r>
        <w:rPr>
          <w:rFonts w:ascii="Aptos;sans-serif" w:hAnsi="Aptos;sans-serif"/>
          <w:i/>
          <w:color w:val="000000"/>
          <w:sz w:val="8"/>
        </w:rPr>
        <w:br/>
      </w:r>
      <w:r>
        <w:rPr>
          <w:rFonts w:ascii="Aptos;sans-serif" w:hAnsi="Aptos;sans-serif"/>
          <w:b/>
          <w:color w:val="000000"/>
          <w:sz w:val="22"/>
        </w:rPr>
        <w:t>Note:</w:t>
      </w:r>
      <w:r>
        <w:rPr>
          <w:rFonts w:ascii="Times New Roman" w:hAnsi="Times New Roman"/>
          <w:color w:val="000000"/>
          <w:sz w:val="20"/>
        </w:rPr>
        <w:t xml:space="preserve"> </w:t>
      </w:r>
      <w:r>
        <w:rPr>
          <w:rFonts w:ascii="Aptos;sans-serif" w:hAnsi="Aptos;sans-serif"/>
          <w:color w:val="000000"/>
          <w:sz w:val="22"/>
        </w:rPr>
        <w:t>This timetable is indicative only and subject to change. All dates and times are Sydney time. The commencement of trading and quotation of SPP Shares is subject to confirmation from ASX. Subject to</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rial" w:hAnsi="Arial"/>
          <w:color w:val="000000"/>
          <w:sz w:val="13"/>
        </w:rPr>
        <w:t>1</w:t>
      </w:r>
      <w:r>
        <w:rPr>
          <w:rFonts w:ascii="Times New Roman" w:hAnsi="Times New Roman"/>
          <w:color w:val="000000"/>
          <w:sz w:val="20"/>
        </w:rPr>
        <w:t xml:space="preserve"> </w:t>
      </w:r>
      <w:r>
        <w:rPr>
          <w:rFonts w:ascii="Arial" w:hAnsi="Arial"/>
          <w:color w:val="000000"/>
          <w:sz w:val="20"/>
        </w:rPr>
        <w:t>See ASX Announcement dated 6 July 2026 for further detail regarding the waivers granted by ASX, including the conditions on which the waivers were granted and the Company's reasons for seeking the waivers in relation to the SPP.</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373A36"/>
          <w:sz w:val="22"/>
        </w:rPr>
        <w:t>ACN 157 690 830, 1029 West 19</w:t>
      </w:r>
      <w:r>
        <w:rPr>
          <w:rFonts w:ascii="Aptos;sans-serif" w:hAnsi="Aptos;sans-serif"/>
          <w:color w:val="373A36"/>
          <w:sz w:val="15"/>
        </w:rPr>
        <w:t>th</w:t>
      </w:r>
      <w:r>
        <w:rPr>
          <w:rFonts w:ascii="Times New Roman" w:hAnsi="Times New Roman"/>
          <w:color w:val="373A36"/>
          <w:sz w:val="20"/>
        </w:rPr>
        <w:t xml:space="preserve"> </w:t>
      </w:r>
      <w:r>
        <w:rPr>
          <w:rFonts w:ascii="Aptos;sans-serif" w:hAnsi="Aptos;sans-serif"/>
          <w:color w:val="373A36"/>
          <w:sz w:val="22"/>
        </w:rPr>
        <w:t>Street; Chattanooga, TN 37408; USA | novonixgroup.com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Arial" w:hAnsi="Arial"/>
          <w:b/>
          <w:color w:val="000000"/>
          <w:sz w:val="22"/>
        </w:rPr>
      </w:pPr>
      <w:r>
        <w:rPr>
          <w:rFonts w:ascii="Arial" w:hAnsi="Arial"/>
          <w:b/>
          <w:color w:val="000000"/>
          <w:sz w:val="22"/>
        </w:rPr>
        <w:t>EXHIBIT 99.1</w:t>
      </w:r>
    </w:p>
    <w:p>
      <w:pPr>
        <w:pStyle w:val="TextBody"/>
        <w:bidi w:val="0"/>
        <w:jc w:val="right"/>
        <w:rPr/>
      </w:pPr>
      <w:r>
        <w:rPr/>
        <w:drawing>
          <wp:inline distT="0" distB="0" distL="0" distR="0">
            <wp:extent cx="2543175" cy="409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5"/>
                    <a:stretch>
                      <a:fillRect/>
                    </a:stretch>
                  </pic:blipFill>
                  <pic:spPr bwMode="auto">
                    <a:xfrm>
                      <a:off x="0" y="0"/>
                      <a:ext cx="2543175" cy="409575"/>
                    </a:xfrm>
                    <a:prstGeom prst="rect">
                      <a:avLst/>
                    </a:prstGeom>
                  </pic:spPr>
                </pic:pic>
              </a:graphicData>
            </a:graphic>
          </wp:inline>
        </w:drawing>
      </w:r>
    </w:p>
    <w:p>
      <w:pPr>
        <w:pStyle w:val="TextBody"/>
        <w:bidi w:val="0"/>
        <w:jc w:val="right"/>
        <w:rPr/>
      </w:pPr>
      <w:r>
        <w:rPr/>
        <w:t> </w:t>
      </w:r>
    </w:p>
    <w:p>
      <w:pPr>
        <w:pStyle w:val="TextBody"/>
        <w:bidi w:val="0"/>
        <w:jc w:val="left"/>
        <w:rPr>
          <w:rFonts w:ascii="Times New Roman" w:hAnsi="Times New Roman"/>
          <w:sz w:val="20"/>
        </w:rPr>
      </w:pPr>
      <w:r>
        <w:rPr>
          <w:rFonts w:ascii="Aptos;sans-serif" w:hAnsi="Aptos;sans-serif"/>
          <w:color w:val="000000"/>
          <w:sz w:val="22"/>
        </w:rPr>
        <w:t>the requirements of the Corporations Act, the ASX Listing Rules and other applicable rules, NOVONIX reserves the right to amend this timetable at any time at its absolute and sole discretion, including shortening or extending the period for the SPP or accepting late Applications, either generally or in particular cases, without notice.</w:t>
        <w:br/>
      </w:r>
      <w:r>
        <w:rPr>
          <w:rFonts w:ascii="Times New Roman" w:hAnsi="Times New Roman"/>
          <w:color w:val="000000"/>
          <w:sz w:val="20"/>
        </w:rPr>
        <w:t> </w:t>
      </w:r>
    </w:p>
    <w:p>
      <w:pPr>
        <w:pStyle w:val="TextBody"/>
        <w:bidi w:val="0"/>
        <w:spacing w:before="0" w:after="288"/>
        <w:jc w:val="left"/>
        <w:rPr>
          <w:rFonts w:ascii="Aptos;sans-serif" w:hAnsi="Aptos;sans-serif"/>
          <w:color w:val="000000"/>
          <w:sz w:val="24"/>
        </w:rPr>
      </w:pPr>
      <w:r>
        <w:rPr>
          <w:rFonts w:ascii="Aptos;sans-serif" w:hAnsi="Aptos;sans-serif"/>
          <w:color w:val="000000"/>
          <w:sz w:val="24"/>
        </w:rPr>
        <w:t>This announcement has been authorised for release by Admiral Robert Natter, Chairman.</w:t>
      </w:r>
    </w:p>
    <w:p>
      <w:pPr>
        <w:pStyle w:val="TextBody"/>
        <w:bidi w:val="0"/>
        <w:spacing w:before="0" w:after="288"/>
        <w:jc w:val="left"/>
        <w:rPr>
          <w:rFonts w:ascii="Times New Roman" w:hAnsi="Times New Roman"/>
          <w:sz w:val="20"/>
        </w:rPr>
      </w:pPr>
      <w:r>
        <w:rPr>
          <w:rFonts w:ascii="Aptos;sans-serif" w:hAnsi="Aptos;sans-serif"/>
          <w:b/>
          <w:color w:val="000000"/>
          <w:sz w:val="26"/>
        </w:rPr>
        <w:t xml:space="preserve">About NOVONIX </w:t>
        <w:br/>
      </w:r>
      <w:r>
        <w:rPr>
          <w:rFonts w:ascii="Aptos;sans-serif" w:hAnsi="Aptos;sans-serif"/>
          <w:color w:val="000000"/>
          <w:sz w:val="24"/>
        </w:rPr>
        <w:t>NOVONIX is building a resilient North American battery materials supply chain to reduce risk and support U.S. energy independence. Headquartered in Chattanooga, Tennessee, the company produces high-performance synthetic graphite anode materials for lithium-ion batteries, serving energy storage, electric vehicles, and industrial markets. Through proprietary technologies and expanding manufacturing capacity, NOVONIX is scaling critical battery materials to meet growing global demand.</w:t>
      </w:r>
    </w:p>
    <w:p>
      <w:pPr>
        <w:pStyle w:val="TextBody"/>
        <w:bidi w:val="0"/>
        <w:spacing w:before="0" w:after="288"/>
        <w:jc w:val="left"/>
        <w:rPr>
          <w:rFonts w:ascii="Times New Roman" w:hAnsi="Times New Roman"/>
          <w:sz w:val="20"/>
        </w:rPr>
      </w:pPr>
      <w:r>
        <w:rPr>
          <w:rFonts w:ascii="Aptos;sans-serif" w:hAnsi="Aptos;sans-serif"/>
          <w:color w:val="000000"/>
          <w:sz w:val="24"/>
        </w:rPr>
        <w:t xml:space="preserve">To learn more, visit us at </w:t>
      </w:r>
      <w:r>
        <w:rPr>
          <w:rFonts w:ascii="Aptos;sans-serif" w:hAnsi="Aptos;sans-serif"/>
          <w:sz w:val="24"/>
        </w:rPr>
        <w:t>www.novonixgroup.com</w:t>
      </w:r>
      <w:r>
        <w:rPr>
          <w:rFonts w:ascii="Times New Roman" w:hAnsi="Times New Roman"/>
          <w:color w:val="000000"/>
          <w:sz w:val="20"/>
        </w:rPr>
        <w:t xml:space="preserve"> </w:t>
      </w:r>
      <w:r>
        <w:rPr>
          <w:rFonts w:ascii="Aptos;sans-serif" w:hAnsi="Aptos;sans-serif"/>
          <w:color w:val="000000"/>
          <w:sz w:val="24"/>
        </w:rPr>
        <w:t>or on</w:t>
      </w:r>
      <w:r>
        <w:rPr>
          <w:rFonts w:ascii="Times New Roman" w:hAnsi="Times New Roman"/>
          <w:color w:val="005EC8"/>
          <w:sz w:val="20"/>
        </w:rPr>
        <w:t xml:space="preserve"> </w:t>
      </w:r>
      <w:r>
        <w:rPr>
          <w:rFonts w:ascii="Aptos;sans-serif" w:hAnsi="Aptos;sans-serif"/>
          <w:sz w:val="24"/>
        </w:rPr>
        <w:t>LinkedIn</w:t>
      </w:r>
      <w:r>
        <w:rPr>
          <w:rFonts w:ascii="Times New Roman" w:hAnsi="Times New Roman"/>
          <w:color w:val="000000"/>
          <w:sz w:val="20"/>
        </w:rPr>
        <w:t xml:space="preserve"> </w:t>
      </w:r>
      <w:r>
        <w:rPr>
          <w:rFonts w:ascii="Aptos;sans-serif" w:hAnsi="Aptos;sans-serif"/>
          <w:color w:val="000000"/>
          <w:sz w:val="24"/>
        </w:rPr>
        <w:t>and</w:t>
      </w:r>
      <w:r>
        <w:rPr>
          <w:rFonts w:ascii="Times New Roman" w:hAnsi="Times New Roman"/>
          <w:color w:val="004689"/>
          <w:sz w:val="20"/>
        </w:rPr>
        <w:t xml:space="preserve"> </w:t>
      </w:r>
      <w:r>
        <w:rPr>
          <w:rFonts w:ascii="Aptos;sans-serif" w:hAnsi="Aptos;sans-serif"/>
          <w:sz w:val="24"/>
        </w:rPr>
        <w:t>X</w:t>
      </w:r>
      <w:r>
        <w:rPr>
          <w:rFonts w:ascii="Aptos;sans-serif" w:hAnsi="Aptos;sans-serif"/>
          <w:color w:val="000000"/>
          <w:sz w:val="24"/>
        </w:rPr>
        <w:t>.</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ptos;sans-serif" w:hAnsi="Aptos;sans-serif"/>
          <w:b/>
          <w:color w:val="000000"/>
          <w:sz w:val="26"/>
        </w:rPr>
        <w:br/>
        <w:t>For NOVONIX Limited</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ptos;sans-serif" w:hAnsi="Aptos;sans-serif"/>
          <w:color w:val="000000"/>
          <w:sz w:val="24"/>
        </w:rPr>
        <w:t xml:space="preserve">Investors: </w:t>
      </w:r>
      <w:r>
        <w:rPr>
          <w:rFonts w:ascii="Aptos;sans-serif" w:hAnsi="Aptos;sans-serif"/>
          <w:sz w:val="24"/>
        </w:rPr>
        <w:t>ir@novonixgroup.com</w:t>
      </w:r>
    </w:p>
    <w:p>
      <w:pPr>
        <w:pStyle w:val="TextBody"/>
        <w:bidi w:val="0"/>
        <w:spacing w:before="0" w:after="120"/>
        <w:jc w:val="left"/>
        <w:rPr>
          <w:rFonts w:ascii="Times New Roman" w:hAnsi="Times New Roman"/>
          <w:sz w:val="20"/>
        </w:rPr>
      </w:pPr>
      <w:r>
        <w:rPr>
          <w:rFonts w:ascii="Aptos;sans-serif" w:hAnsi="Aptos;sans-serif"/>
          <w:color w:val="000000"/>
          <w:sz w:val="24"/>
        </w:rPr>
        <w:t xml:space="preserve">Media: </w:t>
      </w:r>
      <w:r>
        <w:rPr>
          <w:rFonts w:ascii="Aptos;sans-serif" w:hAnsi="Aptos;sans-serif"/>
          <w:sz w:val="24"/>
        </w:rPr>
        <w:t>media@novonixgroup.com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373A36"/>
          <w:sz w:val="22"/>
        </w:rPr>
        <w:t>ACN 157 690 830, 1029 West 19</w:t>
      </w:r>
      <w:r>
        <w:rPr>
          <w:rFonts w:ascii="Aptos;sans-serif" w:hAnsi="Aptos;sans-serif"/>
          <w:color w:val="373A36"/>
          <w:sz w:val="15"/>
        </w:rPr>
        <w:t>th</w:t>
      </w:r>
      <w:r>
        <w:rPr>
          <w:rFonts w:ascii="Times New Roman" w:hAnsi="Times New Roman"/>
          <w:color w:val="373A36"/>
          <w:sz w:val="20"/>
        </w:rPr>
        <w:t xml:space="preserve"> </w:t>
      </w:r>
      <w:r>
        <w:rPr>
          <w:rFonts w:ascii="Aptos;sans-serif" w:hAnsi="Aptos;sans-serif"/>
          <w:color w:val="373A36"/>
          <w:sz w:val="22"/>
        </w:rPr>
        <w:t>Street; Chattanooga, TN 37408; USA | novonixgroup.com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2.gif"/><Relationship Id="rId5" Type="http://schemas.openxmlformats.org/officeDocument/2006/relationships/image" Target="media/image2.gif"/><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718</Words>
  <Characters>3822</Characters>
  <CharactersWithSpaces>4545</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