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May,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FF"/>
              </w:rPr>
              <w:t>Appendix 3H (Notification of cessation of securities) dated May 27, 2026</w:t>
            </w:r>
          </w:p>
        </w:tc>
      </w:tr>
      <w:tr>
        <w:trPr>
          <w:trHeight w:val="743"/>
        </w:trPr>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4420" w:type="dxa"/>
            <w:vAlign w:val="bottom"/>
            <w:tcBorders>
              <w:top w:val="single" w:sz="8" w:color="0000FF"/>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Robert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Long</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 w:name="page4"/>
    <w:bookmarkEnd w:id="3"/>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269240</wp:posOffset>
            </wp:positionV>
            <wp:extent cx="222885"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Announcement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97790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Entity name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Announcement Type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Date of this announcement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Wednesday May 27, 2026</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Details of +securities that have ceased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Borders>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ind w:left="840"/>
              <w:spacing w:after="0"/>
              <w:rPr>
                <w:sz w:val="20"/>
                <w:szCs w:val="20"/>
                <w:color w:val="auto"/>
              </w:rPr>
            </w:pPr>
            <w:r>
              <w:rPr>
                <w:rFonts w:ascii="Arial" w:cs="Arial" w:eastAsia="Arial" w:hAnsi="Arial"/>
                <w:sz w:val="16"/>
                <w:szCs w:val="16"/>
                <w:b w:val="1"/>
                <w:bCs w:val="1"/>
                <w:color w:val="auto"/>
              </w:rPr>
              <w:t>Number of</w:t>
            </w:r>
          </w:p>
        </w:tc>
        <w:tc>
          <w:tcPr>
            <w:tcW w:w="1980" w:type="dxa"/>
            <w:vAlign w:val="bottom"/>
            <w:tcBorders>
              <w:top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ASX +security</w:t>
            </w:r>
          </w:p>
        </w:tc>
        <w:tc>
          <w:tcPr>
            <w:tcW w:w="2700" w:type="dxa"/>
            <w:vAlign w:val="bottom"/>
          </w:tcPr>
          <w:p>
            <w:pPr>
              <w:spacing w:after="0"/>
              <w:rPr>
                <w:sz w:val="17"/>
                <w:szCs w:val="17"/>
                <w:color w:val="auto"/>
              </w:rPr>
            </w:pPr>
          </w:p>
        </w:tc>
        <w:tc>
          <w:tcPr>
            <w:tcW w:w="4320" w:type="dxa"/>
            <w:vAlign w:val="bottom"/>
          </w:tcPr>
          <w:p>
            <w:pPr>
              <w:ind w:left="400"/>
              <w:spacing w:after="0"/>
              <w:rPr>
                <w:sz w:val="20"/>
                <w:szCs w:val="20"/>
                <w:color w:val="auto"/>
              </w:rPr>
            </w:pPr>
            <w:r>
              <w:rPr>
                <w:rFonts w:ascii="Arial" w:cs="Arial" w:eastAsia="Arial" w:hAnsi="Arial"/>
                <w:sz w:val="16"/>
                <w:szCs w:val="16"/>
                <w:b w:val="1"/>
                <w:bCs w:val="1"/>
                <w:color w:val="auto"/>
              </w:rPr>
              <w:t>+securities that The +securities have</w:t>
            </w: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Date of</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code</w:t>
            </w:r>
          </w:p>
        </w:tc>
        <w:tc>
          <w:tcPr>
            <w:tcW w:w="2700" w:type="dxa"/>
            <w:vAlign w:val="bottom"/>
          </w:tcPr>
          <w:p>
            <w:pPr>
              <w:ind w:left="340"/>
              <w:spacing w:after="0"/>
              <w:rPr>
                <w:sz w:val="20"/>
                <w:szCs w:val="20"/>
                <w:color w:val="auto"/>
              </w:rPr>
            </w:pPr>
            <w:r>
              <w:rPr>
                <w:rFonts w:ascii="Arial" w:cs="Arial" w:eastAsia="Arial" w:hAnsi="Arial"/>
                <w:sz w:val="16"/>
                <w:szCs w:val="16"/>
                <w:b w:val="1"/>
                <w:bCs w:val="1"/>
                <w:color w:val="auto"/>
              </w:rPr>
              <w:t>Security description</w:t>
            </w:r>
          </w:p>
        </w:tc>
        <w:tc>
          <w:tcPr>
            <w:tcW w:w="4320" w:type="dxa"/>
            <w:vAlign w:val="bottom"/>
          </w:tcPr>
          <w:p>
            <w:pPr>
              <w:ind w:left="640"/>
              <w:spacing w:after="0"/>
              <w:rPr>
                <w:sz w:val="20"/>
                <w:szCs w:val="20"/>
                <w:color w:val="auto"/>
              </w:rPr>
            </w:pPr>
            <w:r>
              <w:rPr>
                <w:rFonts w:ascii="Arial" w:cs="Arial" w:eastAsia="Arial" w:hAnsi="Arial"/>
                <w:sz w:val="16"/>
                <w:szCs w:val="16"/>
                <w:b w:val="1"/>
                <w:bCs w:val="1"/>
                <w:color w:val="auto"/>
              </w:rPr>
              <w:t>have ceased ceased due to</w:t>
            </w: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cessation</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ind w:left="620"/>
              <w:spacing w:after="0"/>
              <w:rPr>
                <w:sz w:val="20"/>
                <w:szCs w:val="20"/>
                <w:color w:val="auto"/>
              </w:rPr>
            </w:pPr>
            <w:r>
              <w:rPr>
                <w:rFonts w:ascii="Arial" w:cs="Arial" w:eastAsia="Arial" w:hAnsi="Arial"/>
                <w:sz w:val="16"/>
                <w:szCs w:val="16"/>
                <w:color w:val="auto"/>
              </w:rPr>
              <w:t>NVXAD</w:t>
            </w:r>
          </w:p>
        </w:tc>
        <w:tc>
          <w:tcPr>
            <w:tcW w:w="2700" w:type="dxa"/>
            <w:vAlign w:val="bottom"/>
          </w:tcPr>
          <w:p>
            <w:pPr>
              <w:ind w:left="340"/>
              <w:spacing w:after="0"/>
              <w:rPr>
                <w:sz w:val="20"/>
                <w:szCs w:val="20"/>
                <w:color w:val="auto"/>
              </w:rPr>
            </w:pPr>
            <w:r>
              <w:rPr>
                <w:rFonts w:ascii="Arial" w:cs="Arial" w:eastAsia="Arial" w:hAnsi="Arial"/>
                <w:sz w:val="16"/>
                <w:szCs w:val="16"/>
                <w:color w:val="auto"/>
              </w:rPr>
              <w:t>PERFORMANCE RIGHTS</w:t>
            </w:r>
          </w:p>
        </w:tc>
        <w:tc>
          <w:tcPr>
            <w:tcW w:w="6300" w:type="dxa"/>
            <w:vAlign w:val="bottom"/>
            <w:tcBorders>
              <w:right w:val="single" w:sz="8" w:color="auto"/>
            </w:tcBorders>
            <w:gridSpan w:val="2"/>
          </w:tcPr>
          <w:p>
            <w:pPr>
              <w:ind w:left="920"/>
              <w:spacing w:after="0"/>
              <w:rPr>
                <w:sz w:val="20"/>
                <w:szCs w:val="20"/>
                <w:color w:val="auto"/>
              </w:rPr>
            </w:pPr>
            <w:r>
              <w:rPr>
                <w:rFonts w:ascii="Arial" w:cs="Arial" w:eastAsia="Arial" w:hAnsi="Arial"/>
                <w:sz w:val="16"/>
                <w:szCs w:val="16"/>
                <w:color w:val="auto"/>
              </w:rPr>
              <w:t>2,932,881 Lapse of conditional right to securities 27/05/2026</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320" w:type="dxa"/>
            <w:vAlign w:val="bottom"/>
          </w:tcPr>
          <w:p>
            <w:pPr>
              <w:ind w:left="1680"/>
              <w:spacing w:after="0"/>
              <w:rPr>
                <w:sz w:val="20"/>
                <w:szCs w:val="20"/>
                <w:color w:val="auto"/>
              </w:rPr>
            </w:pPr>
            <w:r>
              <w:rPr>
                <w:rFonts w:ascii="Arial" w:cs="Arial" w:eastAsia="Arial" w:hAnsi="Arial"/>
                <w:sz w:val="16"/>
                <w:szCs w:val="16"/>
                <w:color w:val="auto"/>
              </w:rPr>
              <w:t>because the conditions have not</w:t>
            </w:r>
          </w:p>
        </w:tc>
        <w:tc>
          <w:tcPr>
            <w:tcW w:w="1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320" w:type="dxa"/>
            <w:vAlign w:val="bottom"/>
          </w:tcPr>
          <w:p>
            <w:pPr>
              <w:ind w:left="1680"/>
              <w:spacing w:after="0"/>
              <w:rPr>
                <w:sz w:val="20"/>
                <w:szCs w:val="20"/>
                <w:color w:val="auto"/>
              </w:rPr>
            </w:pPr>
            <w:r>
              <w:rPr>
                <w:rFonts w:ascii="Arial" w:cs="Arial" w:eastAsia="Arial" w:hAnsi="Arial"/>
                <w:sz w:val="16"/>
                <w:szCs w:val="16"/>
                <w:color w:val="auto"/>
              </w:rPr>
              <w:t>been, or have become incapable of</w:t>
            </w:r>
          </w:p>
        </w:tc>
        <w:tc>
          <w:tcPr>
            <w:tcW w:w="1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20" w:type="dxa"/>
            <w:vAlign w:val="bottom"/>
          </w:tcPr>
          <w:p>
            <w:pPr>
              <w:ind w:left="1680"/>
              <w:spacing w:after="0"/>
              <w:rPr>
                <w:sz w:val="20"/>
                <w:szCs w:val="20"/>
                <w:color w:val="auto"/>
              </w:rPr>
            </w:pPr>
            <w:r>
              <w:rPr>
                <w:rFonts w:ascii="Arial" w:cs="Arial" w:eastAsia="Arial" w:hAnsi="Arial"/>
                <w:sz w:val="16"/>
                <w:szCs w:val="16"/>
                <w:color w:val="auto"/>
              </w:rPr>
              <w:t>being, satisfied</w:t>
            </w:r>
          </w:p>
        </w:tc>
        <w:tc>
          <w:tcPr>
            <w:tcW w:w="19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Borders>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gridSpan w:val="2"/>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2"/>
          </w:tcPr>
          <w:p>
            <w:pPr>
              <w:ind w:left="480"/>
              <w:spacing w:after="0"/>
              <w:rPr>
                <w:sz w:val="20"/>
                <w:szCs w:val="20"/>
                <w:color w:val="auto"/>
              </w:rPr>
            </w:pPr>
            <w:r>
              <w:rPr>
                <w:rFonts w:ascii="Arial" w:cs="Arial" w:eastAsia="Arial" w:hAnsi="Arial"/>
                <w:sz w:val="16"/>
                <w:szCs w:val="16"/>
                <w:color w:val="auto"/>
              </w:rPr>
              <w:t>Refer to next page for full details of the announcement</w:t>
            </w:r>
          </w:p>
        </w:tc>
        <w:tc>
          <w:tcPr>
            <w:tcW w:w="4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Borders>
              <w:bottom w:val="single" w:sz="8" w:color="999999"/>
            </w:tcBorders>
          </w:tcPr>
          <w:p>
            <w:pPr>
              <w:spacing w:after="0"/>
              <w:rPr>
                <w:sz w:val="9"/>
                <w:szCs w:val="9"/>
                <w:color w:val="auto"/>
              </w:rPr>
            </w:pPr>
          </w:p>
        </w:tc>
        <w:tc>
          <w:tcPr>
            <w:tcW w:w="2700" w:type="dxa"/>
            <w:vAlign w:val="bottom"/>
            <w:tcBorders>
              <w:bottom w:val="single" w:sz="8" w:color="999999"/>
            </w:tcBorders>
          </w:tcPr>
          <w:p>
            <w:pPr>
              <w:spacing w:after="0"/>
              <w:rPr>
                <w:sz w:val="9"/>
                <w:szCs w:val="9"/>
                <w:color w:val="auto"/>
              </w:rPr>
            </w:pPr>
          </w:p>
        </w:tc>
        <w:tc>
          <w:tcPr>
            <w:tcW w:w="4320" w:type="dxa"/>
            <w:vAlign w:val="bottom"/>
            <w:tcBorders>
              <w:bottom w:val="single" w:sz="8" w:color="999999"/>
            </w:tcBorders>
          </w:tcPr>
          <w:p>
            <w:pPr>
              <w:spacing w:after="0"/>
              <w:rPr>
                <w:sz w:val="9"/>
                <w:szCs w:val="9"/>
                <w:color w:val="auto"/>
              </w:rPr>
            </w:pPr>
          </w:p>
        </w:tc>
        <w:tc>
          <w:tcPr>
            <w:tcW w:w="1980" w:type="dxa"/>
            <w:vAlign w:val="bottom"/>
            <w:tcBorders>
              <w:bottom w:val="single" w:sz="8" w:color="999999"/>
            </w:tcBorders>
          </w:tcPr>
          <w:p>
            <w:pPr>
              <w:spacing w:after="0"/>
              <w:rPr>
                <w:sz w:val="9"/>
                <w:szCs w:val="9"/>
                <w:color w:val="auto"/>
              </w:rPr>
            </w:pPr>
          </w:p>
        </w:tc>
        <w:tc>
          <w:tcPr>
            <w:tcW w:w="40" w:type="dxa"/>
            <w:vAlign w:val="bottom"/>
            <w:tcBorders>
              <w:bottom w:val="single" w:sz="8" w:color="999999"/>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6"/>
                <w:szCs w:val="16"/>
                <w:color w:val="auto"/>
              </w:rPr>
              <w:t>Appendix 3H - Notification of cessation of securities</w:t>
            </w:r>
          </w:p>
        </w:tc>
        <w:tc>
          <w:tcPr>
            <w:tcW w:w="432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1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800" w:type="dxa"/>
            <w:vAlign w:val="bottom"/>
            <w:gridSpan w:val="3"/>
            <w:vMerge w:val="continue"/>
          </w:tcPr>
          <w:p>
            <w:pPr>
              <w:spacing w:after="0"/>
              <w:rPr>
                <w:sz w:val="8"/>
                <w:szCs w:val="8"/>
                <w:color w:val="auto"/>
              </w:rPr>
            </w:pPr>
          </w:p>
        </w:tc>
        <w:tc>
          <w:tcPr>
            <w:tcW w:w="4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0"/>
        </w:trPr>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 w:name="page5"/>
    <w:bookmarkEnd w:id="4"/>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269240</wp:posOffset>
            </wp:positionV>
            <wp:extent cx="22288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Part 1 - Announcement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106680</wp:posOffset>
            </wp:positionV>
            <wp:extent cx="1748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1.1 Name of +Entity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(the entity named above) provide the following information about our issued capital.</w:t>
      </w:r>
    </w:p>
    <w:p>
      <w:pPr>
        <w:sectPr>
          <w:pgSz w:w="11900" w:h="16838" w:orient="portrait"/>
          <w:cols w:equalWidth="0" w:num="1">
            <w:col w:w="11240"/>
          </w:cols>
          <w:pgMar w:left="320" w:top="598" w:right="339" w:bottom="1440" w:gutter="0" w:footer="0" w:header="0"/>
        </w:sectPr>
      </w:pP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1.2 Registered Number Type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Number</w:t>
      </w:r>
    </w:p>
    <w:p>
      <w:pPr>
        <w:spacing w:after="0" w:line="100" w:lineRule="exact"/>
        <w:rPr>
          <w:sz w:val="20"/>
          <w:szCs w:val="20"/>
          <w:color w:val="auto"/>
        </w:rPr>
      </w:pPr>
    </w:p>
    <w:p>
      <w:pPr>
        <w:sectPr>
          <w:pgSz w:w="11900" w:h="16838" w:orient="portrait"/>
          <w:cols w:equalWidth="0" w:num="2">
            <w:col w:w="4300" w:space="720"/>
            <w:col w:w="6220"/>
          </w:cols>
          <w:pgMar w:left="320" w:top="598" w:right="3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ABN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54157690830</w:t>
      </w:r>
    </w:p>
    <w:p>
      <w:pPr>
        <w:spacing w:after="0" w:line="200" w:lineRule="exact"/>
        <w:rPr>
          <w:sz w:val="20"/>
          <w:szCs w:val="20"/>
          <w:color w:val="auto"/>
        </w:rPr>
      </w:pPr>
    </w:p>
    <w:p>
      <w:pPr>
        <w:sectPr>
          <w:pgSz w:w="11900" w:h="16838" w:orient="portrait"/>
          <w:cols w:equalWidth="0" w:num="2">
            <w:col w:w="4300" w:space="720"/>
            <w:col w:w="6220"/>
          </w:cols>
          <w:pgMar w:left="320" w:top="598" w:right="339" w:bottom="1440" w:gutter="0" w:footer="0" w:header="0"/>
          <w:type w:val="continuous"/>
        </w:sectPr>
      </w:pPr>
    </w:p>
    <w:p>
      <w:pPr>
        <w:spacing w:after="0" w:line="26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1.3 ASX issuer code</w:t>
      </w:r>
    </w:p>
    <w:p>
      <w:pPr>
        <w:spacing w:after="0" w:line="1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NVX</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1.4 The announcement is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New announcement</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1.5 Date of this announcement</w:t>
      </w:r>
    </w:p>
    <w:p>
      <w:pPr>
        <w:spacing w:after="0" w:line="1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27/5/2026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7240" w:type="dxa"/>
            <w:vAlign w:val="bottom"/>
            <w:shd w:val="clear" w:color="auto" w:fill="999999"/>
          </w:tcPr>
          <w:p>
            <w:pPr>
              <w:spacing w:after="0" w:line="20" w:lineRule="exact"/>
              <w:rPr>
                <w:sz w:val="1"/>
                <w:szCs w:val="1"/>
                <w:color w:val="auto"/>
              </w:rPr>
            </w:pPr>
          </w:p>
        </w:tc>
        <w:tc>
          <w:tcPr>
            <w:tcW w:w="386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60" w:type="dxa"/>
            <w:vAlign w:val="bottom"/>
            <w:gridSpan w:val="2"/>
            <w:vMerge w:val="restart"/>
          </w:tcPr>
          <w:p>
            <w:pPr>
              <w:ind w:left="120"/>
              <w:spacing w:after="0"/>
              <w:rPr>
                <w:sz w:val="20"/>
                <w:szCs w:val="20"/>
                <w:color w:val="auto"/>
              </w:rPr>
            </w:pPr>
            <w:r>
              <w:rPr>
                <w:rFonts w:ascii="Arial" w:cs="Arial" w:eastAsia="Arial" w:hAnsi="Arial"/>
                <w:sz w:val="16"/>
                <w:szCs w:val="16"/>
                <w:color w:val="auto"/>
              </w:rPr>
              <w:t>Appendix 3H - Notification of cessation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2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360" w:type="dxa"/>
            <w:vAlign w:val="bottom"/>
            <w:gridSpan w:val="2"/>
            <w:vMerge w:val="continue"/>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0"/>
        </w:trPr>
        <w:tc>
          <w:tcPr>
            <w:tcW w:w="1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5" w:name="page6"/>
    <w:bookmarkEnd w:id="5"/>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577215</wp:posOffset>
            </wp:positionV>
            <wp:extent cx="22288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2 - Details of +equity securities or +debt securities that have ceased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40201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ASX +Security Code and Description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NVXAD : PERFORMANCE RIGHTS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Unquoted +equity securities that have ceased Number</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of securities that have ceased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2,932,881</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Reason for cessation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Lapse of conditional right to securities because the conditions have not been, or have become incapable of being, satisfied</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460" w:type="dxa"/>
            <w:vAlign w:val="bottom"/>
          </w:tcPr>
          <w:p>
            <w:pPr>
              <w:spacing w:after="0"/>
              <w:rPr>
                <w:sz w:val="20"/>
                <w:szCs w:val="20"/>
                <w:color w:val="auto"/>
              </w:rPr>
            </w:pPr>
            <w:r>
              <w:rPr>
                <w:rFonts w:ascii="Arial" w:cs="Arial" w:eastAsia="Arial" w:hAnsi="Arial"/>
                <w:sz w:val="16"/>
                <w:szCs w:val="16"/>
                <w:b w:val="1"/>
                <w:bCs w:val="1"/>
                <w:color w:val="auto"/>
              </w:rPr>
              <w:t>Date of cessation</w:t>
            </w:r>
          </w:p>
        </w:tc>
        <w:tc>
          <w:tcPr>
            <w:tcW w:w="5480" w:type="dxa"/>
            <w:vAlign w:val="bottom"/>
          </w:tcPr>
          <w:p>
            <w:pPr>
              <w:ind w:left="1140"/>
              <w:spacing w:after="0"/>
              <w:rPr>
                <w:sz w:val="20"/>
                <w:szCs w:val="20"/>
                <w:color w:val="auto"/>
              </w:rPr>
            </w:pPr>
            <w:r>
              <w:rPr>
                <w:rFonts w:ascii="Arial" w:cs="Arial" w:eastAsia="Arial" w:hAnsi="Arial"/>
                <w:sz w:val="16"/>
                <w:szCs w:val="16"/>
                <w:b w:val="1"/>
                <w:bCs w:val="1"/>
                <w:color w:val="auto"/>
              </w:rPr>
              <w:t>Is the entity paying any consideration for the cessation?</w:t>
            </w:r>
          </w:p>
        </w:tc>
        <w:tc>
          <w:tcPr>
            <w:tcW w:w="0" w:type="dxa"/>
            <w:vAlign w:val="bottom"/>
          </w:tcPr>
          <w:p>
            <w:pPr>
              <w:spacing w:after="0"/>
              <w:rPr>
                <w:sz w:val="1"/>
                <w:szCs w:val="1"/>
                <w:color w:val="auto"/>
              </w:rPr>
            </w:pPr>
          </w:p>
        </w:tc>
      </w:tr>
      <w:tr>
        <w:trPr>
          <w:trHeight w:val="215"/>
        </w:trPr>
        <w:tc>
          <w:tcPr>
            <w:tcW w:w="2460" w:type="dxa"/>
            <w:vAlign w:val="bottom"/>
            <w:vMerge w:val="restart"/>
          </w:tcPr>
          <w:p>
            <w:pPr>
              <w:spacing w:after="0"/>
              <w:rPr>
                <w:sz w:val="20"/>
                <w:szCs w:val="20"/>
                <w:color w:val="auto"/>
              </w:rPr>
            </w:pPr>
            <w:r>
              <w:rPr>
                <w:rFonts w:ascii="Arial" w:cs="Arial" w:eastAsia="Arial" w:hAnsi="Arial"/>
                <w:sz w:val="16"/>
                <w:szCs w:val="16"/>
                <w:color w:val="auto"/>
              </w:rPr>
              <w:t>27/5/2026</w:t>
            </w:r>
          </w:p>
        </w:tc>
        <w:tc>
          <w:tcPr>
            <w:tcW w:w="5480" w:type="dxa"/>
            <w:vAlign w:val="bottom"/>
          </w:tcPr>
          <w:p>
            <w:pPr>
              <w:ind w:left="114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5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Any other information the entity wishes to notify to ASX about the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35560</wp:posOffset>
            </wp:positionV>
            <wp:extent cx="6493510"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3510" cy="1416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7240" w:type="dxa"/>
            <w:vAlign w:val="bottom"/>
            <w:shd w:val="clear" w:color="auto" w:fill="999999"/>
          </w:tcPr>
          <w:p>
            <w:pPr>
              <w:spacing w:after="0" w:line="20" w:lineRule="exact"/>
              <w:rPr>
                <w:sz w:val="1"/>
                <w:szCs w:val="1"/>
                <w:color w:val="auto"/>
              </w:rPr>
            </w:pPr>
          </w:p>
        </w:tc>
        <w:tc>
          <w:tcPr>
            <w:tcW w:w="386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60" w:type="dxa"/>
            <w:vAlign w:val="bottom"/>
            <w:gridSpan w:val="2"/>
            <w:vMerge w:val="restart"/>
          </w:tcPr>
          <w:p>
            <w:pPr>
              <w:ind w:left="120"/>
              <w:spacing w:after="0"/>
              <w:rPr>
                <w:sz w:val="20"/>
                <w:szCs w:val="20"/>
                <w:color w:val="auto"/>
              </w:rPr>
            </w:pPr>
            <w:r>
              <w:rPr>
                <w:rFonts w:ascii="Arial" w:cs="Arial" w:eastAsia="Arial" w:hAnsi="Arial"/>
                <w:sz w:val="16"/>
                <w:szCs w:val="16"/>
                <w:color w:val="auto"/>
              </w:rPr>
              <w:t>Appendix 3H - Notification of cessation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3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360" w:type="dxa"/>
            <w:vAlign w:val="bottom"/>
            <w:gridSpan w:val="2"/>
            <w:vMerge w:val="continue"/>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3"/>
        </w:trPr>
        <w:tc>
          <w:tcPr>
            <w:tcW w:w="1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 w:name="page7"/>
    <w:bookmarkEnd w:id="6"/>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577215</wp:posOffset>
            </wp:positionV>
            <wp:extent cx="22288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3 - Issued capital following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2305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Following the cessation of the +securities the subject of this notification, the issued capital of the entity will comprise:</w:t>
      </w:r>
    </w:p>
    <w:p>
      <w:pPr>
        <w:spacing w:after="0" w:line="113" w:lineRule="exact"/>
        <w:rPr>
          <w:sz w:val="20"/>
          <w:szCs w:val="20"/>
          <w:color w:val="auto"/>
        </w:rPr>
      </w:pPr>
    </w:p>
    <w:p>
      <w:pPr>
        <w:ind w:left="660" w:right="460"/>
        <w:spacing w:after="0" w:line="286" w:lineRule="auto"/>
        <w:rPr>
          <w:sz w:val="20"/>
          <w:szCs w:val="20"/>
          <w:color w:val="auto"/>
        </w:rPr>
      </w:pPr>
      <w:r>
        <w:rPr>
          <w:rFonts w:ascii="Arial" w:cs="Arial" w:eastAsia="Arial" w:hAnsi="Arial"/>
          <w:sz w:val="16"/>
          <w:szCs w:val="16"/>
          <w:color w:val="auto"/>
        </w:rPr>
        <w:t>The figures in parts 3.1 and 3.2 below are automatically generated and may not reflect the entity's current issued capital if other Appendix 2A, Appendix 3G or Appendix 3H forms are currently with ASX for processing.</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8820" w:type="dxa"/>
            <w:vAlign w:val="bottom"/>
          </w:tcPr>
          <w:p>
            <w:pPr>
              <w:spacing w:after="0"/>
              <w:rPr>
                <w:sz w:val="20"/>
                <w:szCs w:val="20"/>
                <w:color w:val="auto"/>
              </w:rPr>
            </w:pPr>
            <w:r>
              <w:rPr>
                <w:rFonts w:ascii="Arial" w:cs="Arial" w:eastAsia="Arial" w:hAnsi="Arial"/>
                <w:sz w:val="16"/>
                <w:szCs w:val="16"/>
                <w:b w:val="1"/>
                <w:bCs w:val="1"/>
                <w:color w:val="auto"/>
              </w:rPr>
              <w:t>3.1 Quoted +equity securities and +debt securities (total number of each +class of +securities quoted on ASX)</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8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0" w:type="dxa"/>
            <w:vAlign w:val="bottom"/>
          </w:tcPr>
          <w:p>
            <w:pPr>
              <w:spacing w:after="0"/>
              <w:rPr>
                <w:sz w:val="1"/>
                <w:szCs w:val="1"/>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6"/>
                <w:szCs w:val="16"/>
                <w:b w:val="1"/>
                <w:bCs w:val="1"/>
                <w:color w:val="auto"/>
              </w:rPr>
              <w:t>ASX +security code and description</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+securities on issue</w:t>
            </w:r>
          </w:p>
        </w:tc>
        <w:tc>
          <w:tcPr>
            <w:tcW w:w="0" w:type="dxa"/>
            <w:vAlign w:val="bottom"/>
          </w:tcPr>
          <w:p>
            <w:pPr>
              <w:spacing w:after="0"/>
              <w:rPr>
                <w:sz w:val="1"/>
                <w:szCs w:val="1"/>
                <w:color w:val="auto"/>
              </w:rPr>
            </w:pPr>
          </w:p>
        </w:tc>
      </w:tr>
      <w:tr>
        <w:trPr>
          <w:trHeight w:val="397"/>
        </w:trPr>
        <w:tc>
          <w:tcPr>
            <w:tcW w:w="8820" w:type="dxa"/>
            <w:vAlign w:val="bottom"/>
          </w:tcPr>
          <w:p>
            <w:pPr>
              <w:ind w:left="60"/>
              <w:spacing w:after="0"/>
              <w:rPr>
                <w:sz w:val="20"/>
                <w:szCs w:val="20"/>
                <w:color w:val="auto"/>
              </w:rPr>
            </w:pPr>
            <w:r>
              <w:rPr>
                <w:rFonts w:ascii="Arial" w:cs="Arial" w:eastAsia="Arial" w:hAnsi="Arial"/>
                <w:sz w:val="16"/>
                <w:szCs w:val="16"/>
                <w:color w:val="auto"/>
              </w:rPr>
              <w:t>NVX : ORDINARY FULLY PAID</w:t>
            </w: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862,227,757</w:t>
            </w:r>
          </w:p>
        </w:tc>
        <w:tc>
          <w:tcPr>
            <w:tcW w:w="0" w:type="dxa"/>
            <w:vAlign w:val="bottom"/>
          </w:tcPr>
          <w:p>
            <w:pPr>
              <w:spacing w:after="0"/>
              <w:rPr>
                <w:sz w:val="1"/>
                <w:szCs w:val="1"/>
                <w:color w:val="auto"/>
              </w:rPr>
            </w:pPr>
          </w:p>
        </w:tc>
      </w:tr>
      <w:tr>
        <w:trPr>
          <w:trHeight w:val="81"/>
        </w:trPr>
        <w:tc>
          <w:tcPr>
            <w:tcW w:w="88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0"/>
        </w:trPr>
        <w:tc>
          <w:tcPr>
            <w:tcW w:w="8820" w:type="dxa"/>
            <w:vAlign w:val="bottom"/>
          </w:tcPr>
          <w:p>
            <w:pPr>
              <w:spacing w:after="0"/>
              <w:rPr>
                <w:sz w:val="20"/>
                <w:szCs w:val="20"/>
                <w:color w:val="auto"/>
              </w:rPr>
            </w:pPr>
            <w:r>
              <w:rPr>
                <w:rFonts w:ascii="Arial" w:cs="Arial" w:eastAsia="Arial" w:hAnsi="Arial"/>
                <w:sz w:val="16"/>
                <w:szCs w:val="16"/>
                <w:b w:val="1"/>
                <w:bCs w:val="1"/>
                <w:color w:val="auto"/>
              </w:rPr>
              <w:t>3.2 Unquoted +equity securities (total number of each +class of +equity securities issued but not quoted on ASX)</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8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0" w:type="dxa"/>
            <w:vAlign w:val="bottom"/>
          </w:tcPr>
          <w:p>
            <w:pPr>
              <w:spacing w:after="0"/>
              <w:rPr>
                <w:sz w:val="1"/>
                <w:szCs w:val="1"/>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6"/>
                <w:szCs w:val="16"/>
                <w:b w:val="1"/>
                <w:bCs w:val="1"/>
                <w:color w:val="auto"/>
              </w:rPr>
              <w:t>ASX +security code and description</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+securities on issue</w:t>
            </w:r>
          </w:p>
        </w:tc>
        <w:tc>
          <w:tcPr>
            <w:tcW w:w="0" w:type="dxa"/>
            <w:vAlign w:val="bottom"/>
          </w:tcPr>
          <w:p>
            <w:pPr>
              <w:spacing w:after="0"/>
              <w:rPr>
                <w:sz w:val="1"/>
                <w:szCs w:val="1"/>
                <w:color w:val="auto"/>
              </w:rPr>
            </w:pPr>
          </w:p>
        </w:tc>
      </w:tr>
      <w:tr>
        <w:trPr>
          <w:trHeight w:val="478"/>
        </w:trPr>
        <w:tc>
          <w:tcPr>
            <w:tcW w:w="8820" w:type="dxa"/>
            <w:vAlign w:val="bottom"/>
          </w:tcPr>
          <w:p>
            <w:pPr>
              <w:ind w:left="60"/>
              <w:spacing w:after="0"/>
              <w:rPr>
                <w:sz w:val="20"/>
                <w:szCs w:val="20"/>
                <w:color w:val="auto"/>
              </w:rPr>
            </w:pPr>
            <w:r>
              <w:rPr>
                <w:rFonts w:ascii="Arial" w:cs="Arial" w:eastAsia="Arial" w:hAnsi="Arial"/>
                <w:sz w:val="16"/>
                <w:szCs w:val="16"/>
                <w:color w:val="auto"/>
              </w:rPr>
              <w:t>NVXAD : PERFORMANCE RIGHTS</w:t>
            </w:r>
          </w:p>
        </w:tc>
        <w:tc>
          <w:tcPr>
            <w:tcW w:w="1660" w:type="dxa"/>
            <w:vAlign w:val="bottom"/>
          </w:tcPr>
          <w:p>
            <w:pPr>
              <w:jc w:val="right"/>
              <w:spacing w:after="0"/>
              <w:rPr>
                <w:sz w:val="20"/>
                <w:szCs w:val="20"/>
                <w:color w:val="auto"/>
              </w:rPr>
            </w:pPr>
            <w:r>
              <w:rPr>
                <w:rFonts w:ascii="Arial" w:cs="Arial" w:eastAsia="Arial" w:hAnsi="Arial"/>
                <w:sz w:val="16"/>
                <w:szCs w:val="16"/>
                <w:color w:val="auto"/>
              </w:rPr>
              <w:t>27,401,382</w:t>
            </w:r>
          </w:p>
        </w:tc>
        <w:tc>
          <w:tcPr>
            <w:tcW w:w="0" w:type="dxa"/>
            <w:vAlign w:val="bottom"/>
          </w:tcPr>
          <w:p>
            <w:pPr>
              <w:spacing w:after="0"/>
              <w:rPr>
                <w:sz w:val="1"/>
                <w:szCs w:val="1"/>
                <w:color w:val="auto"/>
              </w:rPr>
            </w:pPr>
          </w:p>
        </w:tc>
      </w:tr>
      <w:tr>
        <w:trPr>
          <w:trHeight w:val="554"/>
        </w:trPr>
        <w:tc>
          <w:tcPr>
            <w:tcW w:w="8820" w:type="dxa"/>
            <w:vAlign w:val="bottom"/>
          </w:tcPr>
          <w:p>
            <w:pPr>
              <w:ind w:left="60"/>
              <w:spacing w:after="0"/>
              <w:rPr>
                <w:sz w:val="20"/>
                <w:szCs w:val="20"/>
                <w:color w:val="auto"/>
              </w:rPr>
            </w:pPr>
            <w:r>
              <w:rPr>
                <w:rFonts w:ascii="Arial" w:cs="Arial" w:eastAsia="Arial" w:hAnsi="Arial"/>
                <w:sz w:val="16"/>
                <w:szCs w:val="16"/>
                <w:color w:val="auto"/>
              </w:rPr>
              <w:t>NVXAA : OPTION EXPIRING VARIOUS DATES EX VARIOUS PRICES</w:t>
            </w:r>
          </w:p>
        </w:tc>
        <w:tc>
          <w:tcPr>
            <w:tcW w:w="1660" w:type="dxa"/>
            <w:vAlign w:val="bottom"/>
          </w:tcPr>
          <w:p>
            <w:pPr>
              <w:jc w:val="right"/>
              <w:spacing w:after="0"/>
              <w:rPr>
                <w:sz w:val="20"/>
                <w:szCs w:val="20"/>
                <w:color w:val="auto"/>
              </w:rPr>
            </w:pPr>
            <w:r>
              <w:rPr>
                <w:rFonts w:ascii="Arial" w:cs="Arial" w:eastAsia="Arial" w:hAnsi="Arial"/>
                <w:sz w:val="16"/>
                <w:szCs w:val="16"/>
                <w:color w:val="auto"/>
              </w:rPr>
              <w:t>14,016,667</w:t>
            </w:r>
          </w:p>
        </w:tc>
        <w:tc>
          <w:tcPr>
            <w:tcW w:w="0" w:type="dxa"/>
            <w:vAlign w:val="bottom"/>
          </w:tcPr>
          <w:p>
            <w:pPr>
              <w:spacing w:after="0"/>
              <w:rPr>
                <w:sz w:val="1"/>
                <w:szCs w:val="1"/>
                <w:color w:val="auto"/>
              </w:rPr>
            </w:pPr>
          </w:p>
        </w:tc>
      </w:tr>
      <w:tr>
        <w:trPr>
          <w:trHeight w:val="540"/>
        </w:trPr>
        <w:tc>
          <w:tcPr>
            <w:tcW w:w="8820" w:type="dxa"/>
            <w:vAlign w:val="bottom"/>
          </w:tcPr>
          <w:p>
            <w:pPr>
              <w:ind w:left="60"/>
              <w:spacing w:after="0"/>
              <w:rPr>
                <w:sz w:val="20"/>
                <w:szCs w:val="20"/>
                <w:color w:val="auto"/>
              </w:rPr>
            </w:pPr>
            <w:r>
              <w:rPr>
                <w:rFonts w:ascii="Arial" w:cs="Arial" w:eastAsia="Arial" w:hAnsi="Arial"/>
                <w:sz w:val="16"/>
                <w:szCs w:val="16"/>
                <w:color w:val="auto"/>
              </w:rPr>
              <w:t>NVXAB : SHARE RIGHTS</w:t>
            </w:r>
          </w:p>
        </w:tc>
        <w:tc>
          <w:tcPr>
            <w:tcW w:w="1660" w:type="dxa"/>
            <w:vAlign w:val="bottom"/>
          </w:tcPr>
          <w:p>
            <w:pPr>
              <w:jc w:val="right"/>
              <w:spacing w:after="0"/>
              <w:rPr>
                <w:sz w:val="20"/>
                <w:szCs w:val="20"/>
                <w:color w:val="auto"/>
              </w:rPr>
            </w:pPr>
            <w:r>
              <w:rPr>
                <w:rFonts w:ascii="Arial" w:cs="Arial" w:eastAsia="Arial" w:hAnsi="Arial"/>
                <w:sz w:val="16"/>
                <w:szCs w:val="16"/>
                <w:color w:val="auto"/>
              </w:rPr>
              <w:t>1,371,566</w:t>
            </w:r>
          </w:p>
        </w:tc>
        <w:tc>
          <w:tcPr>
            <w:tcW w:w="0" w:type="dxa"/>
            <w:vAlign w:val="bottom"/>
          </w:tcPr>
          <w:p>
            <w:pPr>
              <w:spacing w:after="0"/>
              <w:rPr>
                <w:sz w:val="1"/>
                <w:szCs w:val="1"/>
                <w:color w:val="auto"/>
              </w:rPr>
            </w:pPr>
          </w:p>
        </w:tc>
      </w:tr>
      <w:tr>
        <w:trPr>
          <w:trHeight w:val="553"/>
        </w:trPr>
        <w:tc>
          <w:tcPr>
            <w:tcW w:w="8820" w:type="dxa"/>
            <w:vAlign w:val="bottom"/>
          </w:tcPr>
          <w:p>
            <w:pPr>
              <w:ind w:left="60"/>
              <w:spacing w:after="0"/>
              <w:rPr>
                <w:sz w:val="20"/>
                <w:szCs w:val="20"/>
                <w:color w:val="auto"/>
              </w:rPr>
            </w:pPr>
            <w:r>
              <w:rPr>
                <w:rFonts w:ascii="Arial" w:cs="Arial" w:eastAsia="Arial" w:hAnsi="Arial"/>
                <w:sz w:val="16"/>
                <w:szCs w:val="16"/>
                <w:color w:val="auto"/>
              </w:rPr>
              <w:t>NVXAL : CONVERTIBLE NOTES</w:t>
            </w:r>
          </w:p>
        </w:tc>
        <w:tc>
          <w:tcPr>
            <w:tcW w:w="1660" w:type="dxa"/>
            <w:vAlign w:val="bottom"/>
          </w:tcPr>
          <w:p>
            <w:pPr>
              <w:jc w:val="right"/>
              <w:spacing w:after="0"/>
              <w:rPr>
                <w:sz w:val="20"/>
                <w:szCs w:val="20"/>
                <w:color w:val="auto"/>
              </w:rPr>
            </w:pPr>
            <w:r>
              <w:rPr>
                <w:rFonts w:ascii="Arial" w:cs="Arial" w:eastAsia="Arial" w:hAnsi="Arial"/>
                <w:sz w:val="16"/>
                <w:szCs w:val="16"/>
                <w:color w:val="auto"/>
              </w:rPr>
              <w:t>45,221,586</w:t>
            </w:r>
          </w:p>
        </w:tc>
        <w:tc>
          <w:tcPr>
            <w:tcW w:w="0" w:type="dxa"/>
            <w:vAlign w:val="bottom"/>
          </w:tcPr>
          <w:p>
            <w:pPr>
              <w:spacing w:after="0"/>
              <w:rPr>
                <w:sz w:val="1"/>
                <w:szCs w:val="1"/>
                <w:color w:val="auto"/>
              </w:rPr>
            </w:pPr>
          </w:p>
        </w:tc>
      </w:tr>
      <w:tr>
        <w:trPr>
          <w:trHeight w:val="770"/>
        </w:trPr>
        <w:tc>
          <w:tcPr>
            <w:tcW w:w="8820" w:type="dxa"/>
            <w:vAlign w:val="bottom"/>
          </w:tcPr>
          <w:p>
            <w:pPr>
              <w:ind w:left="60"/>
              <w:spacing w:after="0"/>
              <w:rPr>
                <w:sz w:val="20"/>
                <w:szCs w:val="20"/>
                <w:color w:val="auto"/>
              </w:rPr>
            </w:pPr>
            <w:r>
              <w:rPr>
                <w:rFonts w:ascii="Arial" w:cs="Arial" w:eastAsia="Arial" w:hAnsi="Arial"/>
                <w:sz w:val="16"/>
                <w:szCs w:val="16"/>
                <w:color w:val="auto"/>
              </w:rPr>
              <w:t>NVXAH : CONVERTIBLE DEBENTURES</w:t>
            </w:r>
          </w:p>
        </w:tc>
        <w:tc>
          <w:tcPr>
            <w:tcW w:w="1660" w:type="dxa"/>
            <w:vAlign w:val="bottom"/>
          </w:tcPr>
          <w:p>
            <w:pPr>
              <w:jc w:val="right"/>
              <w:spacing w:after="0"/>
              <w:rPr>
                <w:sz w:val="20"/>
                <w:szCs w:val="20"/>
                <w:color w:val="auto"/>
              </w:rPr>
            </w:pPr>
            <w:r>
              <w:rPr>
                <w:rFonts w:ascii="Arial" w:cs="Arial" w:eastAsia="Arial" w:hAnsi="Arial"/>
                <w:sz w:val="16"/>
                <w:szCs w:val="16"/>
                <w:color w:val="auto"/>
              </w:rPr>
              <w:t>35,000,000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00" w:right="360"/>
        <w:spacing w:after="0" w:line="266" w:lineRule="auto"/>
        <w:rPr>
          <w:sz w:val="20"/>
          <w:szCs w:val="20"/>
          <w:color w:val="auto"/>
        </w:rPr>
      </w:pPr>
      <w:r>
        <w:rPr>
          <w:rFonts w:ascii="Arial" w:cs="Arial" w:eastAsia="Arial" w:hAnsi="Arial"/>
          <w:sz w:val="16"/>
          <w:szCs w:val="16"/>
          <w:color w:val="auto"/>
        </w:rPr>
        <w:t>Note: the figures stated in the tables above are used to calculate the total market capitalisation of the entity published by ASX from time to time. The table will not include those classes of +securities that have ceased or lapsed in their entirety in ASX records before the announcement date described in Q1.5, even if the entity has advised ASX of a change to that class of +security in Part 2 of this form.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7240" w:type="dxa"/>
            <w:vAlign w:val="bottom"/>
            <w:shd w:val="clear" w:color="auto" w:fill="999999"/>
          </w:tcPr>
          <w:p>
            <w:pPr>
              <w:spacing w:after="0" w:line="20" w:lineRule="exact"/>
              <w:rPr>
                <w:sz w:val="1"/>
                <w:szCs w:val="1"/>
                <w:color w:val="auto"/>
              </w:rPr>
            </w:pPr>
          </w:p>
        </w:tc>
        <w:tc>
          <w:tcPr>
            <w:tcW w:w="386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60" w:type="dxa"/>
            <w:vAlign w:val="bottom"/>
            <w:gridSpan w:val="2"/>
            <w:vMerge w:val="restart"/>
          </w:tcPr>
          <w:p>
            <w:pPr>
              <w:ind w:left="120"/>
              <w:spacing w:after="0"/>
              <w:rPr>
                <w:sz w:val="20"/>
                <w:szCs w:val="20"/>
                <w:color w:val="auto"/>
              </w:rPr>
            </w:pPr>
            <w:r>
              <w:rPr>
                <w:rFonts w:ascii="Arial" w:cs="Arial" w:eastAsia="Arial" w:hAnsi="Arial"/>
                <w:sz w:val="16"/>
                <w:szCs w:val="16"/>
                <w:color w:val="auto"/>
              </w:rPr>
              <w:t>Appendix 3H - Notification of cessation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4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360" w:type="dxa"/>
            <w:vAlign w:val="bottom"/>
            <w:gridSpan w:val="2"/>
            <w:vMerge w:val="continue"/>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3"/>
        </w:trPr>
        <w:tc>
          <w:tcPr>
            <w:tcW w:w="1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2026-05-27T05:18:28Z</dcterms:created>
  <dcterms:modified xsi:type="dcterms:W3CDTF">2026-05-27T05:18:28Z</dcterms:modified>
</cp:coreProperties>
</file>